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pStyle w:val="Title"/>
        <w:snapToGrid w:val="0"/>
      </w:pPr>
      <w:r>
        <w:rPr>
          <w:rFonts w:ascii="Songti SC" w:hAnsi="Songti SC" w:eastAsia="Songti SC" w:cs="Songti SC"/>
          <w:b/>
          <w:color w:val="000000"/>
          <w:sz w:val="38"/>
        </w:rPr>
        <w:t>新吴区智慧餐厅信创适配实施方案</w:t>
      </w:r>
    </w:p>
    <w:p>
      <w:pPr>
        <w:spacing w:after="200"/>
        <w:snapToGrid w:val="0"/>
      </w:pPr>
      <w:r>
        <w:t>2026年10月20日  V4.0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一 项目概述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本项目对新吴区智慧营养健康餐厅系统实施信创适配和迁移。新建海光x86_64应用主机和数据主机各一台，部署银河麒麟V10商业版、东方通Web及缓存中间件、GBase 8s数据库和本地EMQX企业版，完成应用、数据、设备及外部接口适配。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项目安排两名技术人员，计划周期一个月，按20个工作日、约40人天组织。环境部署与系统适配10个工作日，数据迁移及演练3个工作日，正式切换2个工作日，综合测试及问题处理5个工作日。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二 建设范围与产品配置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6491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建设项目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产品及范围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计算资源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新购海光x86_64主机两台，新环境与原环境并行建设。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操作系统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银河麒麟高级服务器操作系统V10商业版，两套。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Web中间件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东方通TongHttpServer，承担HTTPS、Web代理和PHP接入。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缓存中间件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东方通TongRDS，替换原生Redis。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数据库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南大通用GBase 8s，迁移原MySQL业务数据与访问逻辑。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消息中间件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本地EMQX企业版，替换阿里云公有MQTT服务。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业务范围覆盖智慧餐厅、AI运动营养师、PC端、小程序、人员及人脸、排菜称重、电子菜牌、大屏、图片、后台任务和城运中心汇聚。按实际交付产品、版本、补丁、架构、许可及维护服务管理，形成完整软件与依赖清单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三 现有服务器配置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现有两台服务器配置依据2026年10月19日现场命令查询记录整理。两台均为KVM虚拟机，CPU为海光C86 5380、x86_64架构，操作系统为openEuler 24.03 LTS。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246"/>
        <w:gridCol w:w="3246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项目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40.40.45.4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30.30.45.4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CPU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8 vCPU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8 vCPU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内存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16GB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16GB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系统盘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数据盘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500GB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数据盘挂载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/workspace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/data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两台系统盘均分配100GB，查询时根文件系统容量约57GB；MySQL数据目录均位于系统盘。新环境核对实际挂载与文件系统容量，数据库和持久化数据按目录规划落数据盘。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四 新环境资源申请与部署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246"/>
        <w:gridCol w:w="3246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项目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应用主机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数据主机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数量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1台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CPU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8核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8核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内存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16GB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16GB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系统盘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数据盘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500GB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100GB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部署区域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DMZ</w:t>
            </w:r>
          </w:p>
        </w:tc>
        <w:tc>
          <w:tcPr>
            <w:tcW w:type="dxa" w:w="32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非DMZ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应用主机承载TongHttpServer、PHP业务应用、EMQX、后台任务及图片服务；数据主机承载GBase 8s与TongRDS。原两台主机在迁移期间保持服务，按验收及保留期安排后续下线。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资源按需核算，依据现网数据量、业务峰值及供货版本运行要求形成测算材料，经审批后交付。计算、内存、磁盘与独立备份存储分别列项，资源配置和费用以批准的采购清单为准。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五 环境部署与中间件适配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两台新主机安装银河麒麟V10商业版，统一发行版本、补丁和运行账号。部署PHP、所需扩展、进程守护、定时任务及识别SDK，配置目录权限、时间同步、日志轮转、监控和系统加固。安装介质、软件授权及版本矩阵纳入交付基线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TongHttpServer完成PHP-FPM接入、ThinkPHP路由与PATH_INFO、/aizhct/代理、HTTPS、上传、静态文件、转发头、超时及日志配置。按实际产品版本落实厂商支持的PHP接入方式，验证PC、小程序、设备和大屏的完整访问链路。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TongRDS逐项验证现有Redis命令、数据结构、序列化、会话、TTL、原子锁、队列、重试与持久化。区分可重建缓存和需要接续的任务状态，验证断线恢复、幂等和重复消费，避免在切换过程中丢失任务或重复执行。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六 数据库与应用适配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在GBase 8s规划智慧餐厅zhct_xwq及AI运动营养师aizhct_xwq的数据库、账号和最小权限。按正式PHP版本验证ClientSDK、unixODBC和PDO_ODBC接入，复核既有ThinkPHP驱动成果；store与ai_api分别完成框架、后台任务及数据库访问验证。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逐项适配参数绑定、返回类型、字符集、排序、自增、日期、空字符串与NULL、大对象、索引、分页、聚合、跨库访问及事务锁。驱动异常与参数转义使用受支持方案处理，字段类型、空值、日期与索引转换保持业务语义和数据完整性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迁移后校验结构、逐表行数、关键字段、金额、重量、营养值及引用关系。订单、统计、长历史查询和导出按相同业务口径回归，数据库目录、日志、备份和实际数据盘挂载同时核验。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七 设备消息与数据汇聚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EMQX企业版部署在应用主机，持久化数据落数据盘。分别配置应用云内Broker地址和设备可达接入地址，逐型号核验Client ID、基础主题、P2P主题、共享订阅、QoS、会话、重连和遗嘱。设备订阅范围与发布主题匹配，按最小权限设置Topic ACL。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迁移阿里云特有鉴权与接口调用，配置设备身份及与终端能力匹配的TLS、证书和接入策略。验证排菜、人脸新增删除、上下线、补报、ACK、重试及去重；平台发送、Broker投递和设备执行反馈分别留证。管理控制台仅通过受控运维通道访问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迁移图片目录及数据库引用，校验文件数量、摘要、路径和权限，验证历史图片、新上传文件、人脸、菜牌和大屏。城运中心汇聚目标库保持原部署边界，将同步程序MySQL源端访问改为GBase源端访问，校验日期、数值、布尔、空值及完整调度周期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八 网络访问与安全边界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6491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访问方向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实施要求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业务入口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沿用jgswct.i-wnd.cn:8453，TCP 8453映射应用443，配置有效证书。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应用访问数据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仅允许获准应用源地址访问GBase 8s及TongRDS必要端口。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设备消息接入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设备通过批准的业务地址与端口访问EMQX，管理口不映射公网。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运维及外联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运维通过VPN或堡垒机；微信、识别及汇聚接口按用途维护白名单。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数据库与缓存位于非DMZ区，无公网开放。业务、管理、备份和外联流向分别列入网络清单。两台分别承担应用与数据角色，按单应用、单数据库和单EMQX实例配置备份恢复与故障处置。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九 实施周期与人员安排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项目配置两名技术人员，计划一个月，按20个工作日、约40人天组织。工期自服务器、软件许可及介质、网络审批、访问权限和必要业务资料准备就绪起算；采购等待、审批及第三方测评排期单独管理。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1502"/>
        <w:gridCol w:w="4932"/>
      </w:tblGrid>
      <w:tr>
        <w:trPr>
          <w:tblHeader/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阶段</w:t>
            </w:r>
          </w:p>
        </w:tc>
        <w:tc>
          <w:tcPr>
            <w:tcW w:type="dxa" w:w="15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工作日</w:t>
            </w:r>
          </w:p>
        </w:tc>
        <w:tc>
          <w:tcPr>
            <w:tcW w:type="dxa" w:w="49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主要工作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部署与系统适配</w:t>
            </w:r>
          </w:p>
        </w:tc>
        <w:tc>
          <w:tcPr>
            <w:tcW w:type="dxa" w:w="15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第1至10日</w:t>
              <w:br/>
              <w:t>10个工作日</w:t>
            </w:r>
          </w:p>
        </w:tc>
        <w:tc>
          <w:tcPr>
            <w:tcW w:type="dxa" w:w="49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部署麒麟、数据库及中间件，适配应用、设备和汇聚接口，完成基础回归。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迁移与演练</w:t>
            </w:r>
          </w:p>
        </w:tc>
        <w:tc>
          <w:tcPr>
            <w:tcW w:type="dxa" w:w="15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第11至13日</w:t>
              <w:br/>
              <w:t>3个工作日</w:t>
            </w:r>
          </w:p>
        </w:tc>
        <w:tc>
          <w:tcPr>
            <w:tcW w:type="dxa" w:w="49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全量与增量迁移、图片同步、数据校验及切换和回退演练。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正式切换</w:t>
            </w:r>
          </w:p>
        </w:tc>
        <w:tc>
          <w:tcPr>
            <w:tcW w:type="dxa" w:w="15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第14至15日</w:t>
              <w:br/>
              <w:t>2个工作日</w:t>
            </w:r>
          </w:p>
        </w:tc>
        <w:tc>
          <w:tcPr>
            <w:tcW w:type="dxa" w:w="49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分步切流、业务核验、会话任务接续及运行观察。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测试与问题处理</w:t>
            </w:r>
          </w:p>
        </w:tc>
        <w:tc>
          <w:tcPr>
            <w:tcW w:type="dxa" w:w="15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第16至20日</w:t>
              <w:br/>
              <w:t>5个工作日</w:t>
            </w:r>
          </w:p>
        </w:tc>
        <w:tc>
          <w:tcPr>
            <w:tcW w:type="dxa" w:w="49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综合功能、设备、性能、汇聚与恢复测试，修复问题并复测。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技术人员一负责操作系统、数据库、中间件、网络配合及备份恢复；技术人员二负责应用驱动、SQL、设备消息、图片和汇聚适配。两人共同完成迁移校验、切换演练、综合测试、问题闭环和交付文档。厂商提供对应产品的安装授权、适配及问题支持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部署适配阶段同步执行基础测试。正式切换前完成关键业务验证、迁移一致性校验和回退演练，关闭影响业务与数据安全的问题；切换后开展综合测试及运行观察。两天切换阶段包含操作、核验与观察，关键操作安排在非就餐时段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按业务不停机目标组织新旧并行与受控切流。实施阶段记录问题、责任、处理结果及复测证据；遇到厂商兼容、外部接口或数据校验阻断时，完成影响评估并更新实施计划。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 在线迁移与正式切换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原环境持续提供业务服务，新环境完成适配和隔离验证。在线复制工具匹配实际MySQL与GBase版本，验证源端日志、全量装载、增量捕获、DDL、事务顺序、位点、断点续传和延迟。图片与应用状态按相同迁移边界同步并校验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切换前记录完整备份、版本、配置、迁移位点及数据对账结果，完成主流程、异常和回退演练。正式切换执行请求接续、旧事务排空、最终增量追平和唯一写入归属转移；会话、任务与消息消费同步接续，交易成功以实际事务提交为准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按设备批次验证连接、上下行指令、反馈与补报，防止重复客户端、任务重复调度和消息重复处理。切换期间记录请求等待、连接重建、设备重连及错误情况，核验业务连续性和数据一致性。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切换前异常由旧环境继续服务；切换后如需回退，先将新增数据通过已验证的反向同步或变更重放回流，完成核对后回切。原环境保留至验收及约定保留期结束，回退条件、执行责任和操作顺序形成记录。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十一 安全与备份恢复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按项目适用的三级等保和商用密码应用要求组织安全配置、整改及测评配合，形成访问控制、主机防护、漏洞、日志审计及受控运维记录。软件许可、兼容证明、信创验收、安全测评与密码应用材料分别归档。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数据库、文件、配置和EMQX持久化数据每日备份，保留30天，采用独立备份存储。验证备份可读性和实际恢复，记录恢复时间、数据恢复点及操作步骤；数据盘与备份存储分别管理。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十二 综合测试与验收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综合测试安排在正式切换后5个工作日，包含问题修复与复测；切换前的基础回归、数据校验及回退演练作为上线前置条件。测试覆盖实际启用模块、设备型号、接口和数据范围，保存环境、版本、用例、结果及问题记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6491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测试范围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通过要求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应用功能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PC、小程序、人员、人脸、排菜、称重、营养统计、菜牌、大屏及图片访问结果正确。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数据库与数据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两套应用、SQL、事务、金额与其他关键字段、引用关系和迁移对账一致。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设备与MQTT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各在用型号完成接入、上下行、执行反馈、重连、补报、去重及异常恢复。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性能与稳定性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按实际高峰模型验证接口、统计、导出、消息积压及共机资源使用，问题修复后复测。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城运中心汇聚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完整汇聚周期执行成功，字段语义、数据量、失败补传与日志可核验。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连续性与恢复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切换、回退和独立备份恢复通过，记录实测RPO、RTO及请求和设备接续情况。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十三 运维交付资料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交付软件与许可清单、准确版本及补丁、部署与网络矩阵、账号权限移交记录、应用与迁移脚本版本、数据校验报告、测试及问题闭环记录、切换与回退记录、备份恢复记录、日常巡检和故障处置手册。密钥和口令通过专门渠道移交，不写入公开方案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结合一个完整就餐业务日及汇聚周期核验运行结果。项目验收以实际部署组合、业务结果、授权及合同约定材料为依据，保留厂商适配资料和安全测评整改证据。</w:t>
      </w:r>
    </w:p>
    <w:p>
      <w:pPr>
        <w:snapToGrid w:val="0"/>
      </w:pPr>
      <w:r>
        <w:br w:type="page"/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十四 采购与费用范围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服务器、操作系统、数据库、Web与缓存中间件、EMQX和所需技术服务优先由我方统一采购、部署和交付，统一协调版本、授权及维护。甲方也可提供满足项目规格的资源；甲供部分列明产品、版本、数量、许可、介质和维护权益，按实际供货内容核减采购费用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费用清单分别列计算资源、两套麒麟许可、GBase 8s、TongHttpServer、TongRDS、EMQX企业版、在线复制工具、独立备份、迁移适配实施和测评服务。软件报价注明节点或连接规格、期限、维护及厂商支持，主机操作系统与单列许可划清边界。</w:t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新旧资源并行周期及保留期单独明确；资源按需核定，价格依据实际供货和批准清单形成。实施费用按约定的人力投入、工作范围和交付要求核定。三级等保、密评、整改产品、实施和复测费用分别约定。</w:t>
      </w:r>
    </w:p>
    <w:p>
      <w:pPr>
        <w:pStyle w:val="1"/>
        <w:snapToGrid w:val="0"/>
      </w:pPr>
      <w:r>
        <w:rPr>
          <w:rFonts w:ascii="Songti SC" w:hAnsi="Songti SC" w:eastAsia="Songti SC" w:cs="Songti SC"/>
          <w:b/>
          <w:color w:val="000000"/>
          <w:sz w:val="28"/>
        </w:rPr>
        <w:t>十五 协作职责与实施条件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6491"/>
      </w:tblGrid>
      <w:tr>
        <w:trPr>
          <w:tblHeader/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责任方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  <w:shd w:fill="E8EDF2"/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/>
                <w:color w:val="000000"/>
                <w:sz w:val="20"/>
              </w:rPr>
              <w:t>工作职责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我方实施团队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部署适配、迁移、切换、测试、问题闭环和运维资料交付。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甲方及云平台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资源审批交付、网络策略、域名证书、访问权限、窗口及业务验收组织。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软件厂商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正式介质授权、支持矩阵、产品部署、驱动兼容、迁移工具和问题支持。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设备与接口协作方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终端参数、固件、协议、网络及外部接口联调配合。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测评服务方</w:t>
            </w:r>
          </w:p>
        </w:tc>
        <w:tc>
          <w:tcPr>
            <w:tcW w:type="dxa" w:w="64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40" w:before="40" w:line="28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b w:val="0"/>
                <w:color w:val="000000"/>
                <w:sz w:val="20"/>
              </w:rPr>
              <w:t>按约定范围完成测评、问题反馈、整改核验和报告。</w:t>
            </w:r>
          </w:p>
        </w:tc>
      </w:tr>
    </w:tbl>
    <w:p>
      <w:pPr>
        <w:spacing w:after="20" w:before="0" w:line="40" w:lineRule="exact"/>
        <w:snapToGrid w:val="0"/>
      </w:pPr>
      <w:r>
        <w:rPr>
          <w:rFonts w:ascii="Songti SC" w:hAnsi="Songti SC" w:eastAsia="Songti SC" w:cs="Songti SC"/>
          <w:color w:val="000000"/>
          <w:sz w:val="4"/>
        </w:rPr>
      </w:r>
    </w:p>
    <w:p>
      <w:pPr>
        <w:snapToGrid w:val="0"/>
      </w:pPr>
      <w:r>
        <w:rPr>
          <w:rFonts w:ascii="Songti SC" w:hAnsi="Songti SC" w:eastAsia="Songti SC" w:cs="Songti SC"/>
          <w:b w:val="0"/>
          <w:color w:val="000000"/>
          <w:sz w:val="21"/>
        </w:rPr>
        <w:t>各方在实施前落实联系人、资源和软件交付、业务与数据范围、访问条件及窗口。实施过程中按阶段核验结果，切换、回退和验收资料随工作同步形成。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after="140" w:line="320" w:lineRule="exact"/>
      <w:jc w:val="both"/>
    </w:pPr>
    <w:rPr>
      <w:rFonts w:asciiTheme="minorHAnsi" w:eastAsiaTheme="minorEastAsia" w:hAnsiTheme="minorHAnsi" w:cstheme="minorBidi" w:ascii="Songti SC" w:hAnsi="Songti SC" w:eastAsia="Songti SC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60" w:after="140" w:line="320" w:lineRule="exact"/>
      <w:outlineLvl w:val="0"/>
    </w:pPr>
    <w:rPr>
      <w:rFonts w:ascii="Songti SC" w:hAnsi="Songti SC" w:eastAsia="Songti SC"/>
      <w:b/>
      <w:bCs/>
      <w:color w:val="000000"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after="140" w:line="320" w:lineRule="exact" w:before="160"/>
    </w:pPr>
    <w:rPr>
      <w:rFonts w:ascii="Songti SC" w:hAnsi="Songti SC" w:eastAsia="Songti SC"/>
      <w:color w:val="00000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