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新吴区智慧餐厅国产系统迁移方案</w:t>
      </w:r>
    </w:p>
    <w:p>
      <w:r>
        <w:t>2026年10月20日  V3.0</w:t>
      </w:r>
    </w:p>
    <w:p>
      <w:pPr>
        <w:pStyle w:val="Heading1"/>
      </w:pPr>
      <w:r>
        <w:t>一 项目概述</w:t>
      </w:r>
    </w:p>
    <w:p>
      <w:r>
        <w:t>本项目对新吴区智慧营养健康餐厅系统实施国产化迁移，采用银河麒麟服务器操作系统V10、南大通用GBase 8s和东方通中间件，完成业务应用、数据库、缓存及设备消息服务的适配、迁移和验证。项目配置应用主机和数据主机各一台，分别部署于DMZ区和非DMZ区。</w:t>
      </w:r>
    </w:p>
    <w:p>
      <w:r>
        <w:t>建设范围覆盖智慧餐厅及AI运动营养师应用、PC端、小程序、人员与人脸、排菜称重、电子菜牌、运营大屏、图片文件、后台任务和城运中心数据汇聚。本地消息服务采用EMQX企业版，替换阿里云公有MQTT服务。</w:t>
      </w:r>
    </w:p>
    <w:p>
      <w:pPr>
        <w:pStyle w:val="Heading1"/>
      </w:pPr>
      <w:r>
        <w:t>二 建设内容与技术路线</w:t>
      </w:r>
    </w:p>
    <w:tbl>
      <w:tblPr>
        <w:tblStyle w:val="TableGrid"/>
        <w:tblW w:type="auto" w:w="0"/>
        <w:jc w:val="center"/>
        <w:tblLayout w:type="fixed"/>
        <w:tblLook w:firstColumn="1" w:firstRow="1" w:lastColumn="0" w:lastRow="0" w:noHBand="0" w:noVBand="1" w:val="04A0"/>
      </w:tblPr>
      <w:tblGrid>
        <w:gridCol w:w="2268"/>
        <w:gridCol w:w="7370"/>
      </w:tblGrid>
      <w:tr>
        <w:trPr>
          <w:tblHeader/>
          <w:cantSplit/>
        </w:trPr>
        <w:tc>
          <w:tcPr>
            <w:tcW w:type="dxa" w:w="2268"/>
            <w:vAlign w:val="center"/>
            <w:tcBorders>
              <w:top w:val="single" w:sz="4" w:color="D9D9D9"/>
              <w:left w:val="single" w:sz="4" w:color="D9D9D9"/>
              <w:bottom w:val="single" w:sz="4" w:color="D9D9D9"/>
              <w:right w:val="single" w:sz="4" w:color="D9D9D9"/>
            </w:tcBorders>
            <w:shd w:fill="E8EDF2"/>
          </w:tcPr>
          <w:p>
            <w:pPr>
              <w:spacing w:after="80" w:before="60" w:line="259" w:lineRule="auto"/>
            </w:pPr>
            <w:r>
              <w:rPr>
                <w:rFonts w:ascii="Songti SC" w:hAnsi="Songti SC" w:eastAsia="Songti SC" w:cs="Songti SC"/>
                <w:b/>
                <w:sz w:val="20"/>
              </w:rPr>
              <w:t>建设内容</w:t>
            </w:r>
          </w:p>
        </w:tc>
        <w:tc>
          <w:tcPr>
            <w:tcW w:type="dxa" w:w="7370"/>
            <w:vAlign w:val="center"/>
            <w:tcBorders>
              <w:top w:val="single" w:sz="4" w:color="D9D9D9"/>
              <w:left w:val="single" w:sz="4" w:color="D9D9D9"/>
              <w:bottom w:val="single" w:sz="4" w:color="D9D9D9"/>
              <w:right w:val="single" w:sz="4" w:color="D9D9D9"/>
            </w:tcBorders>
            <w:shd w:fill="E8EDF2"/>
          </w:tcPr>
          <w:p>
            <w:pPr>
              <w:spacing w:after="80" w:before="60" w:line="259" w:lineRule="auto"/>
            </w:pPr>
            <w:r>
              <w:rPr>
                <w:rFonts w:ascii="Songti SC" w:hAnsi="Songti SC" w:eastAsia="Songti SC" w:cs="Songti SC"/>
                <w:b/>
                <w:sz w:val="20"/>
              </w:rPr>
              <w:t>技术路线</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计算资源</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应用主机8核16GB，数据主机8核32GB；系统盘均100GB，数据盘均500GB。新购海光x86_64服务器两台，独立建设新环境，与原环境并行运行。</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操作系统</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两台主机部署银河麒麟高级服务器操作系统V10商业版，统一安装介质、发行版本、补丁及维护服务。</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数据库</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采用南大通用GBase 8s，替换原MySQL，完成PHP驱动、应用数据访问层、SQL及数据同步适配。</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Web中间件</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采用东方通TongHttpServer，承载HTTPS、Web代理、PHP转发及静态资源服务。</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缓存中间件</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采用东方通TongRDS，替换原生Redis，完成缓存、会话及任务状态适配。</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设备消息服务</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在应用主机本地部署EMQX企业版，迁移设备与应用的MQTT接入、鉴权、主题及会话。</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安全与迁移服务</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纳入三级等保、密评及国产系统迁移服务，按项目范围完成整改、测试、报告及运维交付。</w:t>
            </w:r>
          </w:p>
        </w:tc>
      </w:tr>
    </w:tbl>
    <w:p>
      <w:r>
        <w:t>软件采购和部署按实际产品全称、发行版本、补丁、CPU架构、许可规格及维护期限管理。各产品的认可依据、测评及适配资料与实际交付版本保持一致，系统验收以业务测试、安全测评及交付资料为依据。</w:t>
      </w:r>
    </w:p>
    <w:p>
      <w:r>
        <w:br w:type="page"/>
      </w:r>
    </w:p>
    <w:p>
      <w:pPr>
        <w:pStyle w:val="Heading1"/>
      </w:pPr>
      <w:r>
        <w:t>三 主机资源与部署</w:t>
      </w:r>
    </w:p>
    <w:tbl>
      <w:tblPr>
        <w:tblStyle w:val="TableGrid"/>
        <w:tblW w:type="auto" w:w="0"/>
        <w:jc w:val="center"/>
        <w:tblLayout w:type="fixed"/>
        <w:tblLook w:firstColumn="1" w:firstRow="1" w:lastColumn="0" w:lastRow="0" w:noHBand="0" w:noVBand="1" w:val="04A0"/>
      </w:tblPr>
      <w:tblGrid>
        <w:gridCol w:w="1701"/>
        <w:gridCol w:w="3969"/>
        <w:gridCol w:w="3969"/>
      </w:tblGrid>
      <w:tr>
        <w:trPr>
          <w:tblHeader/>
          <w:cantSplit/>
        </w:trPr>
        <w:tc>
          <w:tcPr>
            <w:tcW w:type="dxa" w:w="1701"/>
            <w:vAlign w:val="center"/>
            <w:tcBorders>
              <w:top w:val="single" w:sz="4" w:color="D9D9D9"/>
              <w:left w:val="single" w:sz="4" w:color="D9D9D9"/>
              <w:bottom w:val="single" w:sz="4" w:color="D9D9D9"/>
              <w:right w:val="single" w:sz="4" w:color="D9D9D9"/>
            </w:tcBorders>
            <w:shd w:fill="E8EDF2"/>
          </w:tcPr>
          <w:p>
            <w:pPr>
              <w:spacing w:after="80" w:before="60" w:line="259" w:lineRule="auto"/>
            </w:pPr>
            <w:r>
              <w:rPr>
                <w:rFonts w:ascii="Songti SC" w:hAnsi="Songti SC" w:eastAsia="Songti SC" w:cs="Songti SC"/>
                <w:b/>
                <w:sz w:val="20"/>
              </w:rPr>
              <w:t>项目</w:t>
            </w:r>
          </w:p>
        </w:tc>
        <w:tc>
          <w:tcPr>
            <w:tcW w:type="dxa" w:w="3969"/>
            <w:vAlign w:val="center"/>
            <w:tcBorders>
              <w:top w:val="single" w:sz="4" w:color="D9D9D9"/>
              <w:left w:val="single" w:sz="4" w:color="D9D9D9"/>
              <w:bottom w:val="single" w:sz="4" w:color="D9D9D9"/>
              <w:right w:val="single" w:sz="4" w:color="D9D9D9"/>
            </w:tcBorders>
            <w:shd w:fill="E8EDF2"/>
          </w:tcPr>
          <w:p>
            <w:pPr>
              <w:spacing w:after="80" w:before="60" w:line="259" w:lineRule="auto"/>
            </w:pPr>
            <w:r>
              <w:rPr>
                <w:rFonts w:ascii="Songti SC" w:hAnsi="Songti SC" w:eastAsia="Songti SC" w:cs="Songti SC"/>
                <w:b/>
                <w:sz w:val="20"/>
              </w:rPr>
              <w:t>应用主机</w:t>
            </w:r>
          </w:p>
        </w:tc>
        <w:tc>
          <w:tcPr>
            <w:tcW w:type="dxa" w:w="3969"/>
            <w:vAlign w:val="center"/>
            <w:tcBorders>
              <w:top w:val="single" w:sz="4" w:color="D9D9D9"/>
              <w:left w:val="single" w:sz="4" w:color="D9D9D9"/>
              <w:bottom w:val="single" w:sz="4" w:color="D9D9D9"/>
              <w:right w:val="single" w:sz="4" w:color="D9D9D9"/>
            </w:tcBorders>
            <w:shd w:fill="E8EDF2"/>
          </w:tcPr>
          <w:p>
            <w:pPr>
              <w:spacing w:after="80" w:before="60" w:line="259" w:lineRule="auto"/>
            </w:pPr>
            <w:r>
              <w:rPr>
                <w:rFonts w:ascii="Songti SC" w:hAnsi="Songti SC" w:eastAsia="Songti SC" w:cs="Songti SC"/>
                <w:b/>
                <w:sz w:val="20"/>
              </w:rPr>
              <w:t>数据主机</w:t>
            </w:r>
          </w:p>
        </w:tc>
      </w:tr>
      <w:tr>
        <w:trPr>
          <w:cantSplit/>
        </w:trPr>
        <w:tc>
          <w:tcPr>
            <w:tcW w:type="dxa" w:w="1701"/>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数量</w:t>
            </w:r>
          </w:p>
        </w:tc>
        <w:tc>
          <w:tcPr>
            <w:tcW w:type="dxa" w:w="3969"/>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1台</w:t>
            </w:r>
          </w:p>
        </w:tc>
        <w:tc>
          <w:tcPr>
            <w:tcW w:type="dxa" w:w="3969"/>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1台</w:t>
            </w:r>
          </w:p>
        </w:tc>
      </w:tr>
      <w:tr>
        <w:trPr>
          <w:cantSplit/>
        </w:trPr>
        <w:tc>
          <w:tcPr>
            <w:tcW w:type="dxa" w:w="1701"/>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CPU</w:t>
            </w:r>
          </w:p>
        </w:tc>
        <w:tc>
          <w:tcPr>
            <w:tcW w:type="dxa" w:w="3969"/>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8核</w:t>
            </w:r>
          </w:p>
        </w:tc>
        <w:tc>
          <w:tcPr>
            <w:tcW w:type="dxa" w:w="3969"/>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8核</w:t>
            </w:r>
          </w:p>
        </w:tc>
      </w:tr>
      <w:tr>
        <w:trPr>
          <w:cantSplit/>
        </w:trPr>
        <w:tc>
          <w:tcPr>
            <w:tcW w:type="dxa" w:w="1701"/>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内存</w:t>
            </w:r>
          </w:p>
        </w:tc>
        <w:tc>
          <w:tcPr>
            <w:tcW w:type="dxa" w:w="3969"/>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16GB</w:t>
            </w:r>
          </w:p>
        </w:tc>
        <w:tc>
          <w:tcPr>
            <w:tcW w:type="dxa" w:w="3969"/>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32GB</w:t>
            </w:r>
          </w:p>
        </w:tc>
      </w:tr>
      <w:tr>
        <w:trPr>
          <w:cantSplit/>
        </w:trPr>
        <w:tc>
          <w:tcPr>
            <w:tcW w:type="dxa" w:w="1701"/>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操作系统</w:t>
            </w:r>
          </w:p>
        </w:tc>
        <w:tc>
          <w:tcPr>
            <w:tcW w:type="dxa" w:w="3969"/>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银河麒麟服务器操作系统V10</w:t>
            </w:r>
          </w:p>
        </w:tc>
        <w:tc>
          <w:tcPr>
            <w:tcW w:type="dxa" w:w="3969"/>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银河麒麟服务器操作系统V10</w:t>
            </w:r>
          </w:p>
        </w:tc>
      </w:tr>
      <w:tr>
        <w:trPr>
          <w:cantSplit/>
        </w:trPr>
        <w:tc>
          <w:tcPr>
            <w:tcW w:type="dxa" w:w="1701"/>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系统盘</w:t>
            </w:r>
          </w:p>
        </w:tc>
        <w:tc>
          <w:tcPr>
            <w:tcW w:type="dxa" w:w="3969"/>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100GB</w:t>
            </w:r>
          </w:p>
        </w:tc>
        <w:tc>
          <w:tcPr>
            <w:tcW w:type="dxa" w:w="3969"/>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100GB</w:t>
            </w:r>
          </w:p>
        </w:tc>
      </w:tr>
      <w:tr>
        <w:trPr>
          <w:cantSplit/>
        </w:trPr>
        <w:tc>
          <w:tcPr>
            <w:tcW w:type="dxa" w:w="1701"/>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数据盘</w:t>
            </w:r>
          </w:p>
        </w:tc>
        <w:tc>
          <w:tcPr>
            <w:tcW w:type="dxa" w:w="3969"/>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500GB</w:t>
            </w:r>
          </w:p>
        </w:tc>
        <w:tc>
          <w:tcPr>
            <w:tcW w:type="dxa" w:w="3969"/>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500GB</w:t>
            </w:r>
          </w:p>
        </w:tc>
      </w:tr>
      <w:tr>
        <w:trPr>
          <w:cantSplit/>
        </w:trPr>
        <w:tc>
          <w:tcPr>
            <w:tcW w:type="dxa" w:w="1701"/>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部署区域</w:t>
            </w:r>
          </w:p>
        </w:tc>
        <w:tc>
          <w:tcPr>
            <w:tcW w:type="dxa" w:w="3969"/>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DMZ</w:t>
            </w:r>
          </w:p>
        </w:tc>
        <w:tc>
          <w:tcPr>
            <w:tcW w:type="dxa" w:w="3969"/>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非DMZ</w:t>
            </w:r>
          </w:p>
        </w:tc>
      </w:tr>
      <w:tr>
        <w:trPr>
          <w:cantSplit/>
        </w:trPr>
        <w:tc>
          <w:tcPr>
            <w:tcW w:type="dxa" w:w="1701"/>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承载服务</w:t>
            </w:r>
          </w:p>
        </w:tc>
        <w:tc>
          <w:tcPr>
            <w:tcW w:type="dxa" w:w="3969"/>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PHP业务应用、Web代理、EMQX、后台任务及图片访问</w:t>
            </w:r>
          </w:p>
        </w:tc>
        <w:tc>
          <w:tcPr>
            <w:tcW w:type="dxa" w:w="3969"/>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GBase 8s及东方通TongRDS缓存服务</w:t>
            </w:r>
          </w:p>
        </w:tc>
      </w:tr>
    </w:tbl>
    <w:p>
      <w:r>
        <w:t>以上为新购服务器交付规格，采用海光x86_64架构。新建应用主机和数据主机各一台；原两台服务器保留在线，承担迁移期间业务服务及切换保障，按验收和保留期安排后续处置。应用文件、图片及EMQX持久化数据落应用数据盘；数据库数据、归档日志及缓存持久化文件落数据主机数据盘，分别设置目录、权限及资源限额。</w:t>
      </w:r>
    </w:p>
    <w:p>
      <w:pPr>
        <w:pStyle w:val="Heading1"/>
      </w:pPr>
      <w:r>
        <w:t>四 网络与访问边界</w:t>
      </w:r>
    </w:p>
    <w:p>
      <w:r>
        <w:t>用户和设备通过受控业务入口访问DMZ应用主机。应用主机通过内网白名单访问非DMZ数据主机，数据库、缓存和EMQX管理入口不映射互联网。数据主机承担数据库及缓存职责。</w:t>
      </w:r>
    </w:p>
    <w:tbl>
      <w:tblPr>
        <w:tblStyle w:val="TableGrid"/>
        <w:tblW w:type="auto" w:w="0"/>
        <w:jc w:val="center"/>
        <w:tblLayout w:type="fixed"/>
        <w:tblLook w:firstColumn="1" w:firstRow="1" w:lastColumn="0" w:lastRow="0" w:noHBand="0" w:noVBand="1" w:val="04A0"/>
      </w:tblPr>
      <w:tblGrid>
        <w:gridCol w:w="2268"/>
        <w:gridCol w:w="7370"/>
      </w:tblGrid>
      <w:tr>
        <w:trPr>
          <w:tblHeader/>
          <w:cantSplit/>
        </w:trPr>
        <w:tc>
          <w:tcPr>
            <w:tcW w:type="dxa" w:w="2268"/>
            <w:vAlign w:val="center"/>
            <w:tcBorders>
              <w:top w:val="single" w:sz="4" w:color="D9D9D9"/>
              <w:left w:val="single" w:sz="4" w:color="D9D9D9"/>
              <w:bottom w:val="single" w:sz="4" w:color="D9D9D9"/>
              <w:right w:val="single" w:sz="4" w:color="D9D9D9"/>
            </w:tcBorders>
            <w:shd w:fill="E8EDF2"/>
          </w:tcPr>
          <w:p>
            <w:pPr>
              <w:spacing w:after="80" w:before="60" w:line="259" w:lineRule="auto"/>
            </w:pPr>
            <w:r>
              <w:rPr>
                <w:rFonts w:ascii="Songti SC" w:hAnsi="Songti SC" w:eastAsia="Songti SC" w:cs="Songti SC"/>
                <w:b/>
                <w:sz w:val="20"/>
              </w:rPr>
              <w:t>访问方向</w:t>
            </w:r>
          </w:p>
        </w:tc>
        <w:tc>
          <w:tcPr>
            <w:tcW w:type="dxa" w:w="7370"/>
            <w:vAlign w:val="center"/>
            <w:tcBorders>
              <w:top w:val="single" w:sz="4" w:color="D9D9D9"/>
              <w:left w:val="single" w:sz="4" w:color="D9D9D9"/>
              <w:bottom w:val="single" w:sz="4" w:color="D9D9D9"/>
              <w:right w:val="single" w:sz="4" w:color="D9D9D9"/>
            </w:tcBorders>
            <w:shd w:fill="E8EDF2"/>
          </w:tcPr>
          <w:p>
            <w:pPr>
              <w:spacing w:after="80" w:before="60" w:line="259" w:lineRule="auto"/>
            </w:pPr>
            <w:r>
              <w:rPr>
                <w:rFonts w:ascii="Songti SC" w:hAnsi="Songti SC" w:eastAsia="Songti SC" w:cs="Songti SC"/>
                <w:b/>
                <w:sz w:val="20"/>
              </w:rPr>
              <w:t>实施要求</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业务HTTPS</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沿用jgswct.i-wnd.cn:8453，公网TCP 8453映射应用主机443，配置有效HTTPS证书。</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设备接入EMQX</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配置政务云接入地址和经审批的MQTT业务端口，落实设备路由、鉴权、主题权限及TLS适配。</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应用访问数据主机</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仅开放应用源地址到GBase 8s和缓存的必要端口；账号采用最小权限，管理与业务访问分离。</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运维与外部接口</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运维通过VPN或堡垒机；微信、识别及城运中心接口按用途配置白名单。</w:t>
            </w:r>
          </w:p>
        </w:tc>
      </w:tr>
    </w:tbl>
    <w:p>
      <w:r>
        <w:t>沿用现有互联网出口及云内网络资源，测试业务峰值下的网络与磁盘性能。服务IP、端口、域名、证书、路由和访问控制统一纳入网络实施清单并履行审批。</w:t>
      </w:r>
    </w:p>
    <w:p>
      <w:r>
        <w:br w:type="page"/>
      </w:r>
    </w:p>
    <w:p>
      <w:pPr>
        <w:pStyle w:val="Heading1"/>
      </w:pPr>
      <w:r>
        <w:t>五 操作系统与东方通中间件适配</w:t>
      </w:r>
    </w:p>
    <w:p>
      <w:r>
        <w:t>在海光x86_64及银河麒麟V10环境部署PHP运行环境、GBase 8s驱动、缓存客户端、MQTT客户端、任务守护及识别SDK。统一配置运行账号、目录权限、时间同步、日志轮转、系统补丁和安全加固。</w:t>
      </w:r>
    </w:p>
    <w:p>
      <w:r>
        <w:t>东方通供货清单分别列明TongHttpServer和TongRDS的版本及许可规格。TongHttpServer承担HTTPS、PHP-FPM转发、路由重写、/aizhct代理、上传限制、静态图片及转发头处理；完成现有站点配置迁移及PC、小程序、设备和大屏验证。供货方提供与本项目PHP链路匹配的部署方案及兼容验证记录。</w:t>
      </w:r>
    </w:p>
    <w:p>
      <w:r>
        <w:t>TongRDS替换原生Redis，逐项验证业务使用的命令、数据结构、会话、TTL、锁、队列、持久化及客户端行为。区分可重建缓存和不可丢失任务，执行状态迁移、消息幂等、重复消费和异常恢复测试。</w:t>
      </w:r>
    </w:p>
    <w:p>
      <w:pPr>
        <w:pStyle w:val="Heading1"/>
      </w:pPr>
      <w:r>
        <w:t>六 GBase 8s数据库迁移与应用适配</w:t>
      </w:r>
    </w:p>
    <w:p>
      <w:r>
        <w:t>迁移智慧餐厅zhct_xwq及AI运动营养师aizhct_xwq的数据和业务访问逻辑，在GBase 8s中规划对应数据库实例、模式、账号及权限。PHP驱动及CSDK匹配实际PHP版本、线程模型、架构及GBase 8s发行版本，按厂商适配包验证PDO或ODBC接入，完成框架数据访问层、参数绑定、字符集及返回值类型适配。</w:t>
      </w:r>
    </w:p>
    <w:tbl>
      <w:tblPr>
        <w:tblStyle w:val="TableGrid"/>
        <w:tblW w:type="auto" w:w="0"/>
        <w:jc w:val="center"/>
        <w:tblLayout w:type="fixed"/>
        <w:tblLook w:firstColumn="1" w:firstRow="1" w:lastColumn="0" w:lastRow="0" w:noHBand="0" w:noVBand="1" w:val="04A0"/>
      </w:tblPr>
      <w:tblGrid>
        <w:gridCol w:w="2268"/>
        <w:gridCol w:w="7370"/>
      </w:tblGrid>
      <w:tr>
        <w:trPr>
          <w:tblHeader/>
          <w:cantSplit/>
        </w:trPr>
        <w:tc>
          <w:tcPr>
            <w:tcW w:type="dxa" w:w="2268"/>
            <w:vAlign w:val="center"/>
            <w:tcBorders>
              <w:top w:val="single" w:sz="4" w:color="D9D9D9"/>
              <w:left w:val="single" w:sz="4" w:color="D9D9D9"/>
              <w:bottom w:val="single" w:sz="4" w:color="D9D9D9"/>
              <w:right w:val="single" w:sz="4" w:color="D9D9D9"/>
            </w:tcBorders>
            <w:shd w:fill="E8EDF2"/>
          </w:tcPr>
          <w:p>
            <w:pPr>
              <w:spacing w:after="80" w:before="60" w:line="259" w:lineRule="auto"/>
            </w:pPr>
            <w:r>
              <w:rPr>
                <w:rFonts w:ascii="Songti SC" w:hAnsi="Songti SC" w:eastAsia="Songti SC" w:cs="Songti SC"/>
                <w:b/>
                <w:sz w:val="20"/>
              </w:rPr>
              <w:t>工作项</w:t>
            </w:r>
          </w:p>
        </w:tc>
        <w:tc>
          <w:tcPr>
            <w:tcW w:type="dxa" w:w="7370"/>
            <w:vAlign w:val="center"/>
            <w:tcBorders>
              <w:top w:val="single" w:sz="4" w:color="D9D9D9"/>
              <w:left w:val="single" w:sz="4" w:color="D9D9D9"/>
              <w:bottom w:val="single" w:sz="4" w:color="D9D9D9"/>
              <w:right w:val="single" w:sz="4" w:color="D9D9D9"/>
            </w:tcBorders>
            <w:shd w:fill="E8EDF2"/>
          </w:tcPr>
          <w:p>
            <w:pPr>
              <w:spacing w:after="80" w:before="60" w:line="259" w:lineRule="auto"/>
            </w:pPr>
            <w:r>
              <w:rPr>
                <w:rFonts w:ascii="Songti SC" w:hAnsi="Songti SC" w:eastAsia="Songti SC" w:cs="Songti SC"/>
                <w:b/>
                <w:sz w:val="20"/>
              </w:rPr>
              <w:t>实施要求</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结构与SQL</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适配字符集、排序、自增、大小写、日期、布尔、空值、索引、分页、函数、事务、跨模式访问及报表SQL。</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应用与驱动</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完成数据库驱动、框架适配、参数绑定、连接重建及返回值类型验证，覆盖业务应用与后台任务。</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数据迁移</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建立源目标映射，在线全量装载并持续同步增量；逐表核验DDL、数据类型、事务顺序和同步位点，完成在线迁移演练。</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一致性校验</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逐表核对行数，校验金额、重量、营养值等关键字段和引用关系，差异全部闭环。</w:t>
            </w:r>
          </w:p>
        </w:tc>
      </w:tr>
    </w:tbl>
    <w:p>
      <w:r>
        <w:t>完成数据库目录与真实挂载点核验、性能测试、备份恢复及故障恢复验证。数据主机采用单节点数据库部署，故障恢复通过独立备份和恢复流程处理。</w:t>
      </w:r>
    </w:p>
    <w:p>
      <w:r>
        <w:br w:type="page"/>
      </w:r>
    </w:p>
    <w:p>
      <w:pPr>
        <w:pStyle w:val="Heading1"/>
      </w:pPr>
      <w:r>
        <w:t>七 EMQX本地部署与设备迁移</w:t>
      </w:r>
    </w:p>
    <w:p>
      <w:r>
        <w:t>在应用主机部署EMQX企业版，设备和应用改接本地Broker。持久化数据落数据盘，配置连接监控、积压告警、进程守护、日志轮转及备份恢复。单实例部署通过持久化、设备重连和恢复流程保障故障恢复。</w:t>
      </w:r>
    </w:p>
    <w:tbl>
      <w:tblPr>
        <w:tblStyle w:val="TableGrid"/>
        <w:tblW w:type="auto" w:w="0"/>
        <w:jc w:val="center"/>
        <w:tblLayout w:type="fixed"/>
        <w:tblLook w:firstColumn="1" w:firstRow="1" w:lastColumn="0" w:lastRow="0" w:noHBand="0" w:noVBand="1" w:val="04A0"/>
      </w:tblPr>
      <w:tblGrid>
        <w:gridCol w:w="2268"/>
        <w:gridCol w:w="7370"/>
      </w:tblGrid>
      <w:tr>
        <w:trPr>
          <w:tblHeader/>
          <w:cantSplit/>
        </w:trPr>
        <w:tc>
          <w:tcPr>
            <w:tcW w:type="dxa" w:w="2268"/>
            <w:vAlign w:val="center"/>
            <w:tcBorders>
              <w:top w:val="single" w:sz="4" w:color="D9D9D9"/>
              <w:left w:val="single" w:sz="4" w:color="D9D9D9"/>
              <w:bottom w:val="single" w:sz="4" w:color="D9D9D9"/>
              <w:right w:val="single" w:sz="4" w:color="D9D9D9"/>
            </w:tcBorders>
            <w:shd w:fill="E8EDF2"/>
          </w:tcPr>
          <w:p>
            <w:pPr>
              <w:spacing w:after="80" w:before="60" w:line="259" w:lineRule="auto"/>
            </w:pPr>
            <w:r>
              <w:rPr>
                <w:rFonts w:ascii="Songti SC" w:hAnsi="Songti SC" w:eastAsia="Songti SC" w:cs="Songti SC"/>
                <w:b/>
                <w:sz w:val="20"/>
              </w:rPr>
              <w:t>工作项</w:t>
            </w:r>
          </w:p>
        </w:tc>
        <w:tc>
          <w:tcPr>
            <w:tcW w:type="dxa" w:w="7370"/>
            <w:vAlign w:val="center"/>
            <w:tcBorders>
              <w:top w:val="single" w:sz="4" w:color="D9D9D9"/>
              <w:left w:val="single" w:sz="4" w:color="D9D9D9"/>
              <w:bottom w:val="single" w:sz="4" w:color="D9D9D9"/>
              <w:right w:val="single" w:sz="4" w:color="D9D9D9"/>
            </w:tcBorders>
            <w:shd w:fill="E8EDF2"/>
          </w:tcPr>
          <w:p>
            <w:pPr>
              <w:spacing w:after="80" w:before="60" w:line="259" w:lineRule="auto"/>
            </w:pPr>
            <w:r>
              <w:rPr>
                <w:rFonts w:ascii="Songti SC" w:hAnsi="Songti SC" w:eastAsia="Songti SC" w:cs="Songti SC"/>
                <w:b/>
                <w:sz w:val="20"/>
              </w:rPr>
              <w:t>实施要求</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接入与协议</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建立设备固件、SDK、Topic、Client ID、QoS、保留消息、持久会话及遗嘱清单。</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鉴权与权限</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替换阿里云特有签名和SDK调用，配置设备身份与Topic ACL，按设备能力完成TLS和证书适配。</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业务联调</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验证排菜、人脸同步、上下线、断线重连、补报、重试、幂等和重复消费。</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分批切换</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新旧消息接入并行，业务消费指向当前唯一写入路径；按设备批次切换，验证重连、消息去重及补报，稳定后停用旧链路。</w:t>
            </w:r>
          </w:p>
        </w:tc>
      </w:tr>
    </w:tbl>
    <w:p>
      <w:pPr>
        <w:pStyle w:val="Heading1"/>
      </w:pPr>
      <w:r>
        <w:t>八 图片及城运中心数据汇聚</w:t>
      </w:r>
    </w:p>
    <w:p>
      <w:r>
        <w:t>迁移图片目录及数据库引用，核对文件数量、完整性、路径和权限，验证历史图片、新上传图片、人脸、菜牌和大屏显示，保持既有访问路径。保留城运中心现有汇聚目标库，将同步程序的MySQL源端访问改造为GBase 8s源端访问，适配字段、数据类型、日期、布尔和空值语义。同步调度、失败重试、告警及补传形成可追踪记录。</w:t>
      </w:r>
    </w:p>
    <w:p>
      <w:pPr>
        <w:pStyle w:val="Heading1"/>
      </w:pPr>
      <w:r>
        <w:t>九 安全建设与测评</w:t>
      </w:r>
    </w:p>
    <w:p>
      <w:r>
        <w:t>按项目适用的三级等保及商用密码应用要求组织安全建设和测评工作，形成测评范围、实施计划及整改清单。配置访问控制、WAF、主机防护、漏洞扫描、集中日志审计及运维通道。涉及密码产品、证书或接口改造时，分别列明产品、实施内容和费用。</w:t>
      </w:r>
    </w:p>
    <w:p>
      <w:r>
        <w:t>测评服务、整改实施、复测及相关安全产品分别约定责任与费用，服务费用不自动包含全部整改和产品采购。数据库、图片、配置及EMQX持久化数据每日备份，保留30天，采用独立备份存储并完成恢复演练。</w:t>
      </w:r>
    </w:p>
    <w:p>
      <w:r>
        <w:br w:type="page"/>
      </w:r>
    </w:p>
    <w:p>
      <w:pPr>
        <w:pStyle w:val="Heading1"/>
      </w:pPr>
      <w:r>
        <w:t>十 迁移实施与业务切换</w:t>
      </w:r>
    </w:p>
    <w:tbl>
      <w:tblPr>
        <w:tblStyle w:val="TableGrid"/>
        <w:tblW w:type="auto" w:w="0"/>
        <w:jc w:val="center"/>
        <w:tblLayout w:type="fixed"/>
        <w:tblLook w:firstColumn="1" w:firstRow="1" w:lastColumn="0" w:lastRow="0" w:noHBand="0" w:noVBand="1" w:val="04A0"/>
      </w:tblPr>
      <w:tblGrid>
        <w:gridCol w:w="2268"/>
        <w:gridCol w:w="7370"/>
      </w:tblGrid>
      <w:tr>
        <w:trPr>
          <w:tblHeader/>
          <w:cantSplit/>
        </w:trPr>
        <w:tc>
          <w:tcPr>
            <w:tcW w:type="dxa" w:w="2268"/>
            <w:vAlign w:val="center"/>
            <w:tcBorders>
              <w:top w:val="single" w:sz="4" w:color="D9D9D9"/>
              <w:left w:val="single" w:sz="4" w:color="D9D9D9"/>
              <w:bottom w:val="single" w:sz="4" w:color="D9D9D9"/>
              <w:right w:val="single" w:sz="4" w:color="D9D9D9"/>
            </w:tcBorders>
            <w:shd w:fill="E8EDF2"/>
          </w:tcPr>
          <w:p>
            <w:pPr>
              <w:spacing w:after="80" w:before="60" w:line="259" w:lineRule="auto"/>
            </w:pPr>
            <w:r>
              <w:rPr>
                <w:rFonts w:ascii="Songti SC" w:hAnsi="Songti SC" w:eastAsia="Songti SC" w:cs="Songti SC"/>
                <w:b/>
                <w:sz w:val="20"/>
              </w:rPr>
              <w:t>阶段</w:t>
            </w:r>
          </w:p>
        </w:tc>
        <w:tc>
          <w:tcPr>
            <w:tcW w:type="dxa" w:w="7370"/>
            <w:vAlign w:val="center"/>
            <w:tcBorders>
              <w:top w:val="single" w:sz="4" w:color="D9D9D9"/>
              <w:left w:val="single" w:sz="4" w:color="D9D9D9"/>
              <w:bottom w:val="single" w:sz="4" w:color="D9D9D9"/>
              <w:right w:val="single" w:sz="4" w:color="D9D9D9"/>
            </w:tcBorders>
            <w:shd w:fill="E8EDF2"/>
          </w:tcPr>
          <w:p>
            <w:pPr>
              <w:spacing w:after="80" w:before="60" w:line="259" w:lineRule="auto"/>
            </w:pPr>
            <w:r>
              <w:rPr>
                <w:rFonts w:ascii="Songti SC" w:hAnsi="Songti SC" w:eastAsia="Songti SC" w:cs="Songti SC"/>
                <w:b/>
                <w:sz w:val="20"/>
              </w:rPr>
              <w:t>执行内容</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准备</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采购新服务器、软件和服务，落实介质及网络审批；原系统持续服务，完成基线、镜像和一致性备份。</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适配</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在新服务器部署麒麟、GBase 8s、东方通和EMQX，隔离验证应用、数据库、设备和汇聚链路，完成全量及增量同步。</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演练</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执行全量迁移、图片校验、业务峰值、异常恢复及回退演练，记录迁移和恢复耗时。</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切换</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按审批时间执行请求接续、旧事务排空、最终位点追平、唯一写入归属转移及灰度切流；后台任务和消费归属同步切换。</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观察</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覆盖至少一个完整就餐业务日和一次汇聚周期，完成问题处理并归档迁移记录。</w:t>
            </w:r>
          </w:p>
        </w:tc>
      </w:tr>
    </w:tbl>
    <w:p>
      <w:r>
        <w:t>采用新旧环境并行、不停机切换。旧环境持续服务，新环境通过匹配源MySQL版本的在线复制组件完成全量装载和增量同步，核验日志条件、DDL、事务、位点及延迟，数据校验和连续性演练通过后切流。</w:t>
      </w:r>
    </w:p>
    <w:p>
      <w:r>
        <w:t>统一入口接续请求，经持久化缓冲和幂等处理，排空旧事务、追平最终位点后转移唯一写入归属；同步接续任务、会话和消息。请求成功以事务提交为准，等待、连接重建和设备重连时限纳入验收。</w:t>
      </w:r>
    </w:p>
    <w:p>
      <w:r>
        <w:t>切换前验证反向同步或变更重放的回退链路。切流前异常由旧环境继续服务；切流后新增数据回流校验完成后再回切，旧环境按约定保留至验收及保留期结束。</w:t>
      </w:r>
    </w:p>
    <w:p>
      <w:pPr>
        <w:pStyle w:val="Heading1"/>
      </w:pPr>
      <w:r>
        <w:t>十一 验收与运维交付</w:t>
      </w:r>
    </w:p>
    <w:tbl>
      <w:tblPr>
        <w:tblStyle w:val="TableGrid"/>
        <w:tblW w:type="auto" w:w="0"/>
        <w:jc w:val="center"/>
        <w:tblLayout w:type="fixed"/>
        <w:tblLook w:firstColumn="1" w:firstRow="1" w:lastColumn="0" w:lastRow="0" w:noHBand="0" w:noVBand="1" w:val="04A0"/>
      </w:tblPr>
      <w:tblGrid>
        <w:gridCol w:w="2268"/>
        <w:gridCol w:w="7370"/>
      </w:tblGrid>
      <w:tr>
        <w:trPr>
          <w:tblHeader/>
          <w:cantSplit/>
        </w:trPr>
        <w:tc>
          <w:tcPr>
            <w:tcW w:type="dxa" w:w="2268"/>
            <w:vAlign w:val="center"/>
            <w:tcBorders>
              <w:top w:val="single" w:sz="4" w:color="D9D9D9"/>
              <w:left w:val="single" w:sz="4" w:color="D9D9D9"/>
              <w:bottom w:val="single" w:sz="4" w:color="D9D9D9"/>
              <w:right w:val="single" w:sz="4" w:color="D9D9D9"/>
            </w:tcBorders>
            <w:shd w:fill="E8EDF2"/>
          </w:tcPr>
          <w:p>
            <w:pPr>
              <w:spacing w:after="80" w:before="60" w:line="259" w:lineRule="auto"/>
            </w:pPr>
            <w:r>
              <w:rPr>
                <w:rFonts w:ascii="Songti SC" w:hAnsi="Songti SC" w:eastAsia="Songti SC" w:cs="Songti SC"/>
                <w:b/>
                <w:sz w:val="20"/>
              </w:rPr>
              <w:t>验收维度</w:t>
            </w:r>
          </w:p>
        </w:tc>
        <w:tc>
          <w:tcPr>
            <w:tcW w:type="dxa" w:w="7370"/>
            <w:vAlign w:val="center"/>
            <w:tcBorders>
              <w:top w:val="single" w:sz="4" w:color="D9D9D9"/>
              <w:left w:val="single" w:sz="4" w:color="D9D9D9"/>
              <w:bottom w:val="single" w:sz="4" w:color="D9D9D9"/>
              <w:right w:val="single" w:sz="4" w:color="D9D9D9"/>
            </w:tcBorders>
            <w:shd w:fill="E8EDF2"/>
          </w:tcPr>
          <w:p>
            <w:pPr>
              <w:spacing w:after="80" w:before="60" w:line="259" w:lineRule="auto"/>
            </w:pPr>
            <w:r>
              <w:rPr>
                <w:rFonts w:ascii="Songti SC" w:hAnsi="Songti SC" w:eastAsia="Songti SC" w:cs="Songti SC"/>
                <w:b/>
                <w:sz w:val="20"/>
              </w:rPr>
              <w:t>交付要求</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产品与许可</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实际产品、版本、补丁、架构、许可及适配证明与交付清单一致，授权有效并具备约定维护服务。</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功能与数据</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PC、小程序、人员、人脸、排菜、称重、营养统计、图片、菜牌和大屏通过验证；迁移数据和关键字段一致。</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设备与汇聚</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EMQX鉴权、重连、补报及幂等验证通过；至少一次城运中心汇聚周期成功。</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连续性与恢复</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验证切换期间业务可用、已成功交易不丢失及不重复；记录请求等待和设备重连时限、实测RPO及RTO，完成回退及备份恢复。</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安全与文档</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按约定交付测评及整改材料、软件授权清单、部署网络矩阵、测试及数据校验报告、切换回退记录和运维手册。</w:t>
            </w:r>
          </w:p>
        </w:tc>
      </w:tr>
    </w:tbl>
    <w:p>
      <w:r>
        <w:br w:type="page"/>
      </w:r>
    </w:p>
    <w:p>
      <w:pPr>
        <w:pStyle w:val="Heading1"/>
      </w:pPr>
      <w:r>
        <w:t>十二 费用组成</w:t>
      </w:r>
    </w:p>
    <w:p>
      <w:r>
        <w:t>费用按国产系统迁移清单列示，金额单位为人民币元。GBase 8s授权及维护费用单独核价。其余七项按已有清单参考金额列示，小计239600.00元；项目总额在数据库及补充费用报价完整后汇总。</w:t>
      </w:r>
    </w:p>
    <w:tbl>
      <w:tblPr>
        <w:tblStyle w:val="TableGrid"/>
        <w:tblW w:type="auto" w:w="0"/>
        <w:jc w:val="center"/>
        <w:tblLayout w:type="fixed"/>
        <w:tblLook w:firstColumn="1" w:firstRow="1" w:lastColumn="0" w:lastRow="0" w:noHBand="0" w:noVBand="1" w:val="04A0"/>
      </w:tblPr>
      <w:tblGrid>
        <w:gridCol w:w="4535"/>
        <w:gridCol w:w="1814"/>
        <w:gridCol w:w="1134"/>
        <w:gridCol w:w="2154"/>
      </w:tblGrid>
      <w:tr>
        <w:trPr>
          <w:tblHeader/>
          <w:cantSplit/>
        </w:trPr>
        <w:tc>
          <w:tcPr>
            <w:tcW w:type="dxa" w:w="4535"/>
            <w:vAlign w:val="center"/>
            <w:tcBorders>
              <w:top w:val="single" w:sz="4" w:color="D9D9D9"/>
              <w:left w:val="single" w:sz="4" w:color="D9D9D9"/>
              <w:bottom w:val="single" w:sz="4" w:color="D9D9D9"/>
              <w:right w:val="single" w:sz="4" w:color="D9D9D9"/>
            </w:tcBorders>
            <w:shd w:fill="E8EDF2"/>
          </w:tcPr>
          <w:p>
            <w:pPr>
              <w:spacing w:after="80" w:before="60" w:line="259" w:lineRule="auto"/>
            </w:pPr>
            <w:r>
              <w:rPr>
                <w:rFonts w:ascii="Songti SC" w:hAnsi="Songti SC" w:eastAsia="Songti SC" w:cs="Songti SC"/>
                <w:b/>
                <w:sz w:val="20"/>
              </w:rPr>
              <w:t>项目</w:t>
            </w:r>
          </w:p>
        </w:tc>
        <w:tc>
          <w:tcPr>
            <w:tcW w:type="dxa" w:w="1814"/>
            <w:vAlign w:val="center"/>
            <w:tcBorders>
              <w:top w:val="single" w:sz="4" w:color="D9D9D9"/>
              <w:left w:val="single" w:sz="4" w:color="D9D9D9"/>
              <w:bottom w:val="single" w:sz="4" w:color="D9D9D9"/>
              <w:right w:val="single" w:sz="4" w:color="D9D9D9"/>
            </w:tcBorders>
            <w:shd w:fill="E8EDF2"/>
          </w:tcPr>
          <w:p>
            <w:pPr>
              <w:spacing w:after="80" w:before="60" w:line="259" w:lineRule="auto"/>
            </w:pPr>
            <w:r>
              <w:rPr>
                <w:rFonts w:ascii="Songti SC" w:hAnsi="Songti SC" w:eastAsia="Songti SC" w:cs="Songti SC"/>
                <w:b/>
                <w:sz w:val="20"/>
              </w:rPr>
              <w:t>单价</w:t>
            </w:r>
          </w:p>
        </w:tc>
        <w:tc>
          <w:tcPr>
            <w:tcW w:type="dxa" w:w="1134"/>
            <w:vAlign w:val="center"/>
            <w:tcBorders>
              <w:top w:val="single" w:sz="4" w:color="D9D9D9"/>
              <w:left w:val="single" w:sz="4" w:color="D9D9D9"/>
              <w:bottom w:val="single" w:sz="4" w:color="D9D9D9"/>
              <w:right w:val="single" w:sz="4" w:color="D9D9D9"/>
            </w:tcBorders>
            <w:shd w:fill="E8EDF2"/>
          </w:tcPr>
          <w:p>
            <w:pPr>
              <w:spacing w:after="80" w:before="60" w:line="259" w:lineRule="auto"/>
            </w:pPr>
            <w:r>
              <w:rPr>
                <w:rFonts w:ascii="Songti SC" w:hAnsi="Songti SC" w:eastAsia="Songti SC" w:cs="Songti SC"/>
                <w:b/>
                <w:sz w:val="20"/>
              </w:rPr>
              <w:t>数量</w:t>
            </w:r>
          </w:p>
        </w:tc>
        <w:tc>
          <w:tcPr>
            <w:tcW w:type="dxa" w:w="2154"/>
            <w:vAlign w:val="center"/>
            <w:tcBorders>
              <w:top w:val="single" w:sz="4" w:color="D9D9D9"/>
              <w:left w:val="single" w:sz="4" w:color="D9D9D9"/>
              <w:bottom w:val="single" w:sz="4" w:color="D9D9D9"/>
              <w:right w:val="single" w:sz="4" w:color="D9D9D9"/>
            </w:tcBorders>
            <w:shd w:fill="E8EDF2"/>
          </w:tcPr>
          <w:p>
            <w:pPr>
              <w:spacing w:after="80" w:before="60" w:line="259" w:lineRule="auto"/>
            </w:pPr>
            <w:r>
              <w:rPr>
                <w:rFonts w:ascii="Songti SC" w:hAnsi="Songti SC" w:eastAsia="Songti SC" w:cs="Songti SC"/>
                <w:b/>
                <w:sz w:val="20"/>
              </w:rPr>
              <w:t>金额</w:t>
            </w:r>
          </w:p>
        </w:tc>
      </w:tr>
      <w:tr>
        <w:trPr>
          <w:cantSplit/>
        </w:trPr>
        <w:tc>
          <w:tcPr>
            <w:tcW w:type="dxa" w:w="4535"/>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应用主机</w:t>
            </w:r>
          </w:p>
        </w:tc>
        <w:tc>
          <w:tcPr>
            <w:tcW w:type="dxa" w:w="1814"/>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12,500.00</w:t>
            </w:r>
          </w:p>
        </w:tc>
        <w:tc>
          <w:tcPr>
            <w:tcW w:type="dxa" w:w="1134"/>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1</w:t>
            </w:r>
          </w:p>
        </w:tc>
        <w:tc>
          <w:tcPr>
            <w:tcW w:type="dxa" w:w="2154"/>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12,500.00</w:t>
            </w:r>
          </w:p>
        </w:tc>
      </w:tr>
      <w:tr>
        <w:trPr>
          <w:cantSplit/>
        </w:trPr>
        <w:tc>
          <w:tcPr>
            <w:tcW w:type="dxa" w:w="4535"/>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数据主机</w:t>
            </w:r>
          </w:p>
        </w:tc>
        <w:tc>
          <w:tcPr>
            <w:tcW w:type="dxa" w:w="1814"/>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13,500.00</w:t>
            </w:r>
          </w:p>
        </w:tc>
        <w:tc>
          <w:tcPr>
            <w:tcW w:type="dxa" w:w="1134"/>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1</w:t>
            </w:r>
          </w:p>
        </w:tc>
        <w:tc>
          <w:tcPr>
            <w:tcW w:type="dxa" w:w="2154"/>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13,500.00</w:t>
            </w:r>
          </w:p>
        </w:tc>
      </w:tr>
      <w:tr>
        <w:trPr>
          <w:cantSplit/>
        </w:trPr>
        <w:tc>
          <w:tcPr>
            <w:tcW w:type="dxa" w:w="4535"/>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麒麟服务器操作系统V10</w:t>
            </w:r>
          </w:p>
        </w:tc>
        <w:tc>
          <w:tcPr>
            <w:tcW w:type="dxa" w:w="1814"/>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7,800.00</w:t>
            </w:r>
          </w:p>
        </w:tc>
        <w:tc>
          <w:tcPr>
            <w:tcW w:type="dxa" w:w="1134"/>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2</w:t>
            </w:r>
          </w:p>
        </w:tc>
        <w:tc>
          <w:tcPr>
            <w:tcW w:type="dxa" w:w="2154"/>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15,600.00</w:t>
            </w:r>
          </w:p>
        </w:tc>
      </w:tr>
      <w:tr>
        <w:trPr>
          <w:cantSplit/>
        </w:trPr>
        <w:tc>
          <w:tcPr>
            <w:tcW w:type="dxa" w:w="4535"/>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东方通中间件参考费用</w:t>
            </w:r>
          </w:p>
        </w:tc>
        <w:tc>
          <w:tcPr>
            <w:tcW w:type="dxa" w:w="1814"/>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45,000.00</w:t>
            </w:r>
          </w:p>
        </w:tc>
        <w:tc>
          <w:tcPr>
            <w:tcW w:type="dxa" w:w="1134"/>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1</w:t>
            </w:r>
          </w:p>
        </w:tc>
        <w:tc>
          <w:tcPr>
            <w:tcW w:type="dxa" w:w="2154"/>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45,000.00</w:t>
            </w:r>
          </w:p>
        </w:tc>
      </w:tr>
      <w:tr>
        <w:trPr>
          <w:cantSplit/>
        </w:trPr>
        <w:tc>
          <w:tcPr>
            <w:tcW w:type="dxa" w:w="4535"/>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南大通用GBase 8s</w:t>
            </w:r>
          </w:p>
        </w:tc>
        <w:tc>
          <w:tcPr>
            <w:tcW w:type="dxa" w:w="1814"/>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另行核价</w:t>
            </w:r>
          </w:p>
        </w:tc>
        <w:tc>
          <w:tcPr>
            <w:tcW w:type="dxa" w:w="1134"/>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1</w:t>
            </w:r>
          </w:p>
        </w:tc>
        <w:tc>
          <w:tcPr>
            <w:tcW w:type="dxa" w:w="2154"/>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另行核价</w:t>
            </w:r>
          </w:p>
        </w:tc>
      </w:tr>
      <w:tr>
        <w:trPr>
          <w:cantSplit/>
        </w:trPr>
        <w:tc>
          <w:tcPr>
            <w:tcW w:type="dxa" w:w="4535"/>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三级等保</w:t>
            </w:r>
          </w:p>
        </w:tc>
        <w:tc>
          <w:tcPr>
            <w:tcW w:type="dxa" w:w="1814"/>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49,000.00</w:t>
            </w:r>
          </w:p>
        </w:tc>
        <w:tc>
          <w:tcPr>
            <w:tcW w:type="dxa" w:w="1134"/>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1</w:t>
            </w:r>
          </w:p>
        </w:tc>
        <w:tc>
          <w:tcPr>
            <w:tcW w:type="dxa" w:w="2154"/>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49,000.00</w:t>
            </w:r>
          </w:p>
        </w:tc>
      </w:tr>
      <w:tr>
        <w:trPr>
          <w:cantSplit/>
        </w:trPr>
        <w:tc>
          <w:tcPr>
            <w:tcW w:type="dxa" w:w="4535"/>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密评</w:t>
            </w:r>
          </w:p>
        </w:tc>
        <w:tc>
          <w:tcPr>
            <w:tcW w:type="dxa" w:w="1814"/>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55,000.00</w:t>
            </w:r>
          </w:p>
        </w:tc>
        <w:tc>
          <w:tcPr>
            <w:tcW w:type="dxa" w:w="1134"/>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1</w:t>
            </w:r>
          </w:p>
        </w:tc>
        <w:tc>
          <w:tcPr>
            <w:tcW w:type="dxa" w:w="2154"/>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55,000.00</w:t>
            </w:r>
          </w:p>
        </w:tc>
      </w:tr>
      <w:tr>
        <w:trPr>
          <w:cantSplit/>
        </w:trPr>
        <w:tc>
          <w:tcPr>
            <w:tcW w:type="dxa" w:w="4535"/>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国产系统迁移人工费</w:t>
            </w:r>
          </w:p>
        </w:tc>
        <w:tc>
          <w:tcPr>
            <w:tcW w:type="dxa" w:w="1814"/>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49,000.00</w:t>
            </w:r>
          </w:p>
        </w:tc>
        <w:tc>
          <w:tcPr>
            <w:tcW w:type="dxa" w:w="1134"/>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1</w:t>
            </w:r>
          </w:p>
        </w:tc>
        <w:tc>
          <w:tcPr>
            <w:tcW w:type="dxa" w:w="2154"/>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49,000.00</w:t>
            </w:r>
          </w:p>
        </w:tc>
      </w:tr>
      <w:tr>
        <w:trPr>
          <w:cantSplit/>
        </w:trPr>
        <w:tc>
          <w:tcPr>
            <w:tcW w:type="dxa" w:w="4535"/>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已列金额小计</w:t>
            </w:r>
          </w:p>
        </w:tc>
        <w:tc>
          <w:tcPr>
            <w:tcW w:type="dxa" w:w="1814"/>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w:t>
            </w:r>
          </w:p>
        </w:tc>
        <w:tc>
          <w:tcPr>
            <w:tcW w:type="dxa" w:w="1134"/>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w:t>
            </w:r>
          </w:p>
        </w:tc>
        <w:tc>
          <w:tcPr>
            <w:tcW w:type="dxa" w:w="2154"/>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239,600.00</w:t>
            </w:r>
          </w:p>
        </w:tc>
      </w:tr>
    </w:tbl>
    <w:p>
      <w:pPr>
        <w:pStyle w:val="Heading1"/>
      </w:pPr>
      <w:r>
        <w:t>十三 补充费用与计价边界</w:t>
      </w:r>
    </w:p>
    <w:p>
      <w:r>
        <w:t>EMQX企业版及不停机迁移所需的在线复制组件为补充建设内容，授权、部署和维护费用另行核价，与GBase 8s费用一并补充后形成项目总额。东方通中间件45000.00元为已有清单参考金额，TongHttpServer和TongRDS的数量、授权及供货价格分别列明，以完整供货报价核算费用。</w:t>
      </w:r>
    </w:p>
    <w:p>
      <w:r>
        <w:t>两项主机费用按新购服务器资源列示，注明资源交付方式及适用周期。主机交付项中的操作系统与单独列示的两套麒麟许可划清费用边界，同一授权不重复计价。项目优先采用我方统一采购，原两台服务器保留至切换验收及约定保留期结束；并行资源的使用期限和费用单独明确。甲供部分按实际供货内容核减采购费用并明确部署及维护责任。</w:t>
      </w:r>
    </w:p>
    <w:p>
      <w:r>
        <w:t>迁移人工费的交付范围逐项列明新环境部署、PHP及数据库适配、在线全量和增量迁移、Web与缓存替换、EMQX接入、写入保护及请求接续改造、设备联调、汇聚改造、连续性测试、回退和验收材料。报价同时注明税费、授权年限、升级维护、厂商支持、测评整改及复测范围，形成完整费用汇总。</w:t>
      </w:r>
    </w:p>
    <w:p>
      <w:r>
        <w:br w:type="page"/>
      </w:r>
    </w:p>
    <w:p>
      <w:pPr>
        <w:pStyle w:val="Heading1"/>
      </w:pPr>
      <w:r>
        <w:t>十四 资源供给与实施条件</w:t>
      </w:r>
    </w:p>
    <w:p>
      <w:r>
        <w:t>服务器、操作系统、数据库、中间件及相关技术服务优先由我方统一采购、部署和交付，统一协调供应商授权、版本适配及维护支持。甲方也可提供相应资源；甲供时按本方案规格交付完整许可、介质及维护权益，并在合同及供货清单中明确费用核减和责任分工。</w:t>
      </w:r>
    </w:p>
    <w:tbl>
      <w:tblPr>
        <w:tblStyle w:val="TableGrid"/>
        <w:tblW w:type="auto" w:w="0"/>
        <w:jc w:val="center"/>
        <w:tblLayout w:type="fixed"/>
        <w:tblLook w:firstColumn="1" w:firstRow="1" w:lastColumn="0" w:lastRow="0" w:noHBand="0" w:noVBand="1" w:val="04A0"/>
      </w:tblPr>
      <w:tblGrid>
        <w:gridCol w:w="2268"/>
        <w:gridCol w:w="7370"/>
      </w:tblGrid>
      <w:tr>
        <w:trPr>
          <w:tblHeader/>
          <w:cantSplit/>
        </w:trPr>
        <w:tc>
          <w:tcPr>
            <w:tcW w:type="dxa" w:w="2268"/>
            <w:vAlign w:val="center"/>
            <w:tcBorders>
              <w:top w:val="single" w:sz="4" w:color="D9D9D9"/>
              <w:left w:val="single" w:sz="4" w:color="D9D9D9"/>
              <w:bottom w:val="single" w:sz="4" w:color="D9D9D9"/>
              <w:right w:val="single" w:sz="4" w:color="D9D9D9"/>
            </w:tcBorders>
            <w:shd w:fill="E8EDF2"/>
          </w:tcPr>
          <w:p>
            <w:pPr>
              <w:spacing w:after="80" w:before="60" w:line="259" w:lineRule="auto"/>
            </w:pPr>
            <w:r>
              <w:rPr>
                <w:rFonts w:ascii="Songti SC" w:hAnsi="Songti SC" w:eastAsia="Songti SC" w:cs="Songti SC"/>
                <w:b/>
                <w:sz w:val="20"/>
              </w:rPr>
              <w:t>实施条件</w:t>
            </w:r>
          </w:p>
        </w:tc>
        <w:tc>
          <w:tcPr>
            <w:tcW w:type="dxa" w:w="7370"/>
            <w:vAlign w:val="center"/>
            <w:tcBorders>
              <w:top w:val="single" w:sz="4" w:color="D9D9D9"/>
              <w:left w:val="single" w:sz="4" w:color="D9D9D9"/>
              <w:bottom w:val="single" w:sz="4" w:color="D9D9D9"/>
              <w:right w:val="single" w:sz="4" w:color="D9D9D9"/>
            </w:tcBorders>
            <w:shd w:fill="E8EDF2"/>
          </w:tcPr>
          <w:p>
            <w:pPr>
              <w:spacing w:after="80" w:before="60" w:line="259" w:lineRule="auto"/>
            </w:pPr>
            <w:r>
              <w:rPr>
                <w:rFonts w:ascii="Songti SC" w:hAnsi="Songti SC" w:eastAsia="Songti SC" w:cs="Songti SC"/>
                <w:b/>
                <w:sz w:val="20"/>
              </w:rPr>
              <w:t>交付内容</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资源供给</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新购两台主机的规格、部署区域、交付日期、采购周期，以及新旧环境并行所需网络和资源。</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软件授权</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麒麟两套、GBase 8s、东方通Web与缓存产品及EMQX的产品全称、准确版本、补丁、许可数量与期限、安装介质和维护服务。</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适配依据</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针对实际海光x86_64、麒麟及各软件版本的适配资料，以及本项目要求的认可和测评材料。</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业务连续性</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在线全量和增量同步、请求接续、会话与任务迁移、批准的切流时间、回退触发条件及连续性演练记录。</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迁移与安全服务</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业务与数据清单、数据库及同步改造责任、人工交付范围、三级等保及密评范围、整改与复测边界。</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实施验收</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供应方和实施方按职责完成部署、测试、问题闭环、授权及文档交付，按约定组织验收，统一采购为默认交付方式。</w:t>
            </w:r>
          </w:p>
        </w:tc>
      </w:tr>
    </w:tbl>
    <w:p>
      <w:pPr>
        <w:pStyle w:val="Heading1"/>
      </w:pPr>
      <w:r>
        <w:t>十五 技术资料与版本管理</w:t>
      </w:r>
    </w:p>
    <w:p>
      <w:r>
        <w:t>GBase 8s按厂商提供的PHP驱动、CSDK及迁移同步工具实施，核对源MySQL和目标GBase 8s准确版本、SQL兼容模式、日志前提及反向同步支持范围；TongHttpServer和TongRDS按各自产品说明和测试记录交付；EMQX按企业版本地部署资料实施。项目实施完成实际部署组合的业务兼容测试，并按验收要求提交验证记录。</w:t>
      </w:r>
    </w:p>
    <w:p>
      <w:r>
        <w:t>技术资料入口：GBase 8s产品与技术资料www.gbase.cn/product/gbase-8s；东方通产品资料www.tongtech.com；EMQX企业版文档docs.emqx.com/zh/emqx/latest/。部署包、配置、驱动、迁移脚本及测试报告统一纳入版本管理。</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Songti SC" w:hAnsi="Songti SC" w:eastAsia="Songti SC"/>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40" w:line="269" w:lineRule="auto"/>
      <w:outlineLvl w:val="0"/>
    </w:pPr>
    <w:rPr>
      <w:rFonts w:asciiTheme="majorHAnsi" w:eastAsiaTheme="majorEastAsia" w:hAnsiTheme="majorHAnsi" w:cstheme="majorBidi" w:ascii="Songti SC" w:hAnsi="Songti SC" w:eastAsia="Songti SC"/>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69" w:lineRule="auto" w:before="180"/>
      <w:contextualSpacing/>
    </w:pPr>
    <w:rPr>
      <w:rFonts w:asciiTheme="majorHAnsi" w:eastAsiaTheme="majorEastAsia" w:hAnsiTheme="majorHAnsi" w:cstheme="majorBidi" w:ascii="Songti SC" w:hAnsi="Songti SC" w:eastAsia="Songti SC"/>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