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新吴区智慧餐厅信创适配方案</w:t>
      </w:r>
    </w:p>
    <w:p>
      <w:r>
        <w:t>2026年10月20日</w:t>
      </w:r>
    </w:p>
    <w:p>
      <w:pPr>
        <w:pStyle w:val="Heading1"/>
      </w:pPr>
      <w:r>
        <w:t>一 项目概述</w:t>
      </w:r>
    </w:p>
    <w:p>
      <w:r>
        <w:t>本项目对新吴区智慧营养健康餐厅系统进行信创适配改造，复用海光服务器计算资源，采用商业国产服务器操作系统、OceanBase数据库及国产商业中间件，完成应用、数据、设备通信和数据汇聚的迁移升级。</w:t>
      </w:r>
    </w:p>
    <w:p>
      <w:r>
        <w:t>系统采用两台生产服务器部署，分别承载业务应用与数据库服务。应用服务器部署于DMZ区，数据库服务器部署于非DMZ区。原有公有云MQTT消息服务迁移至政务云内本地部署的EMQX企业版。</w:t>
      </w:r>
    </w:p>
    <w:p>
      <w:pPr>
        <w:pStyle w:val="Heading1"/>
      </w:pPr>
      <w:r>
        <w:t>二 建设范围与技术路线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改造对象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技术路线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服务器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复用现有两台海光x86_64服务器，CPU、内存及磁盘容量保持原配置。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操作系统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采用银河麒麟高级服务器操作系统V10商业版，替换openEuler社区版。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数据库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采用OceanBase数据库、MySQL兼容模式，替换MySQL。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Web中间件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采用金蝶Apusic ALB，承载HTTPS、Web访问、PHP转发及静态资源服务。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缓存中间件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采用金蝶Apusic AMDC，替换原生Redis，承载缓存、会话及相关任务状态。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消息中间件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采用EMQX企业版，在政务云内本地部署，替换阿里云公有MQTT服务。</w:t>
            </w:r>
          </w:p>
        </w:tc>
      </w:tr>
    </w:tbl>
    <w:p>
      <w:r>
        <w:t>适配范围覆盖智慧餐厅及配套AI运动营养师应用、业务数据库、PC与小程序、人员与人脸、排菜称重、电子菜牌、运营大屏、图片存储、后台任务和城运中心数据汇聚。</w:t>
      </w:r>
    </w:p>
    <w:p>
      <w:r>
        <w:t>商业软件取得正式授权，开源软件遵循相应许可，形成产品名称、发行版本、补丁、CPU架构、许可及维护服务清单。部署包与运行版本纳入版本管理，交付相应信创适配证明、业务测试及验收材料。</w:t>
      </w:r>
    </w:p>
    <w:p>
      <w:r>
        <w:br w:type="page"/>
      </w:r>
    </w:p>
    <w:p>
      <w:pPr>
        <w:pStyle w:val="Heading1"/>
      </w:pPr>
      <w:r>
        <w:t>三 服务器配置与部署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主机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配置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部署区域与职责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应用服务器 1台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沿用现有CPU、内存及磁盘配置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DMZ；业务应用、ALB、EMQX、后台任务及图片访问。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数据库服务器 1台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沿用现有CPU、内存及磁盘配置</w:t>
            </w:r>
          </w:p>
        </w:tc>
        <w:tc>
          <w:tcPr>
            <w:tcW w:type="dxa" w:w="3213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非DMZ；OceanBase、OBProxy及AMDC缓存服务。</w:t>
            </w:r>
          </w:p>
        </w:tc>
      </w:tr>
    </w:tbl>
    <w:p>
      <w:r>
        <w:t>现有两台服务器均为海光x86_64架构、8核、约16GB内存，系统盘均为100GB，数据盘分别为500GB和100GB。本次复用原有计算与存储资源，保持CPU、内存及磁盘容量不变，操作系统替换为银河麒麟V10商业版。应用文件、图片及MQTT持久化数据存放于应用数据盘；数据库数据与事务日志存放于数据库数据盘，按产品要求分别配置目录与容量。</w:t>
      </w:r>
    </w:p>
    <w:p>
      <w:r>
        <w:t>数据库与缓存服务分别设置CPU、内存、连接数及持久化资源限额。通过峰值压测校核资源分配，保证业务、数据库、缓存和消息服务稳定运行。独立备份使用政务云备份服务，长期生产主机总数为两台。</w:t>
      </w:r>
    </w:p>
    <w:p>
      <w:pPr>
        <w:pStyle w:val="Heading1"/>
      </w:pPr>
      <w:r>
        <w:t>四 网络与安全边界</w:t>
      </w:r>
    </w:p>
    <w:p>
      <w:r>
        <w:t>访问链路为：用户及设备通过受控HTTPS或MQTT入口访问DMZ应用服务器，应用服务器通过内网白名单访问非DMZ数据库和缓存。数据库、缓存及MQTT管理接口不映射互联网。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访问方向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配置要求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用户访问应用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沿用jgswct.i-wnd.cn:8453，公网TCP 8453映射应用主机443，配置有效HTTPS证书。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设备访问本地MQTT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设置政务云内接入地址，通过审批的设备网络及MQTT业务端口连接，配置身份鉴别与主题权限。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应用访问数据库与缓存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按内网源地址及必要端口开放；应用通过OBProxy访问OceanBase，缓存仅允许授权应用连接。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运维与外部接口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运维通过VPN或堡垒机；微信、识别及城运中心接口按用途配置访问白名单。</w:t>
            </w:r>
          </w:p>
        </w:tc>
      </w:tr>
    </w:tbl>
    <w:p>
      <w:r>
        <w:t>互联网出口配置20Mbps，内网带宽及磁盘性能纳入压测。具体接入域名、IP、服务端口、证书及访问规则列入网络实施清单并履行审批。安全防护包括WAF、主机防护、漏洞扫描及集中日志审计。</w:t>
      </w:r>
    </w:p>
    <w:p>
      <w:r>
        <w:br w:type="page"/>
      </w:r>
    </w:p>
    <w:p>
      <w:pPr>
        <w:pStyle w:val="Heading1"/>
      </w:pPr>
      <w:r>
        <w:t>五 操作系统与应用中间件适配</w:t>
      </w:r>
    </w:p>
    <w:p>
      <w:r>
        <w:t>在银河麒麟V10海光环境部署业务运行环境，完成PHP、数据库及缓存驱动、MQTT客户端、任务守护、定时任务和识别SDK适配。对安装依赖、运行账号、目录权限、系统时间、日志轮转、补丁和安全加固进行统一配置。</w:t>
      </w:r>
    </w:p>
    <w:p>
      <w:r>
        <w:t>ALB替换Nginx，迁移HTTPS证书、PHP-FPM转发、路由重写、/aizhct代理、上传限制、静态图片及转发头配置。验证PC、小程序、设备和大屏访问入口，保证原业务路径及图片引用正常。</w:t>
      </w:r>
    </w:p>
    <w:p>
      <w:r>
        <w:t>AMDC替换Redis，验证业务使用的数据结构、命令、会话、TTL、锁、队列、持久化和客户端行为。区分可重建缓存与不可丢失的业务任务，执行状态迁移、幂等和重复消费测试。</w:t>
      </w:r>
    </w:p>
    <w:p>
      <w:pPr>
        <w:pStyle w:val="Heading1"/>
      </w:pPr>
      <w:r>
        <w:t>六 OceanBase数据库迁移</w:t>
      </w:r>
    </w:p>
    <w:p>
      <w:r>
        <w:t>迁移智慧餐厅zhct_xwq及AI运动营养师aizhct_xwq业务库。冻结发布基线和数据库结构，建立源表、目标表、数据类型、字符集、索引及业务校验清单。使用OceanBase MySQL兼容模式，通过OBProxy接入，业务使用独立租户和最小权限账号。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工作项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实施要求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结构与SQL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验证字符集、排序规则、自增、日期、布尔、空值、索引、事务、跨库访问及报表SQL。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迁移演练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先迁结构并处理差异，再导入数据；验证迁移耗时、资源占用及恢复流程。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正式迁移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执行全量迁移，使用经验证的增量链路补齐差异；不具备增量条件时在批准停写窗口完成最终迁移。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数据校验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逐表核对行数，校验业务金额、重量、营养值等关键字段及引用关系，差异全部闭环。</w:t>
            </w:r>
          </w:p>
        </w:tc>
      </w:tr>
    </w:tbl>
    <w:p>
      <w:r>
        <w:t>部署完成后核实数据及日志的真实挂载点，避免数据库文件落入系统盘。数据库采用单节点部署，通过独立备份和恢复演练保障故障恢复，不具备多副本自动容灾能力。</w:t>
      </w:r>
    </w:p>
    <w:p>
      <w:r>
        <w:br w:type="page"/>
      </w:r>
    </w:p>
    <w:p>
      <w:pPr>
        <w:pStyle w:val="Heading1"/>
      </w:pPr>
      <w:r>
        <w:t>七 EMQX消息服务本地化改造</w:t>
      </w:r>
    </w:p>
    <w:p>
      <w:r>
        <w:t>在应用服务器本地部署EMQX企业版，设备端与应用端统一改接本地EMQX Broker。消息持久化落数据盘，配置进程守护、连接监控、积压告警、日志轮转及备份恢复。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适配项目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实施要求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设备及协议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建立设备固件、SDK、Topic、Client ID、QoS、保留消息、持久会话、遗嘱及订阅清单。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鉴权与网络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替换阿里云特有签名和SDK调用，配置设备身份及Topic ACL；按设备能力实施TLS和证书适配。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业务闭环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验证排菜、人脸同步、上下线、断线重连、补报、失败重试、消息幂等和重复消费。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分批切换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分批调整设备与应用接入点，控制新旧链路重复触发；稳定运行后停用旧公有MQTT实例与外联权限。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设备发布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涉及固件升级时，建立兼容版本、发布批次与回退清单，保留原接入配置用于演练和回退。</w:t>
            </w:r>
          </w:p>
        </w:tc>
      </w:tr>
    </w:tbl>
    <w:p>
      <w:r>
        <w:t>MQTT业务接入与管理入口分离，管理端只允许授权运维网段访问。单实例服务通过持久化、监控和设备重连实现故障恢复，按演练结果记录恢复时间和恢复点。</w:t>
      </w:r>
    </w:p>
    <w:p>
      <w:pPr>
        <w:pStyle w:val="Heading1"/>
      </w:pPr>
      <w:r>
        <w:t>八 图片与数据汇聚迁移</w:t>
      </w:r>
    </w:p>
    <w:p>
      <w:r>
        <w:t>迁移应用本地图片目录及数据库引用，校验文件数量、完整性、路径和访问权限，验证历史图片、新上传图片、人脸、电子菜牌及大屏显示。保留既有访问路径，统一维护域名前缀及静态代理。</w:t>
      </w:r>
    </w:p>
    <w:p>
      <w:r>
        <w:t>保留城运中心现有汇聚目标库，适配OceanBase到目标库的数据同步链路。明确源目标表、字段映射、权限、调度和重试策略，核对行数以及日期、数值、布尔和空值语义。同步异常产生告警并可追踪补传，不以自动放宽目标字段约束代替正确映射。</w:t>
      </w:r>
    </w:p>
    <w:p>
      <w:r>
        <w:br w:type="page"/>
      </w:r>
    </w:p>
    <w:p>
      <w:pPr>
        <w:pStyle w:val="Heading1"/>
      </w:pPr>
      <w:r>
        <w:t>九 实施切换与回退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阶段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执行内容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准备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落实软件许可、安装包、现有服务器操作系统更换及网络审批；完成原系统镜像、配置与数据备份，固定应用与数据基线。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适配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在隔离环境部署商业操作系统、OceanBase及国产中间件，完成业务、设备与汇聚适配。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演练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迁移库与图片，执行峰值测试、数据校验、消息切换和恢复演练，形成停写与回退步骤。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切换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批准窗口内停写、暂停任务、补齐差异并校验，调整访问入口，分批迁设备，验证后恢复业务。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观察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覆盖至少一个完整就餐业务日及一次汇聚周期，通过验收后归档迁移资料。</w:t>
            </w:r>
          </w:p>
        </w:tc>
      </w:tr>
    </w:tbl>
    <w:p>
      <w:r>
        <w:t>现有服务器更换操作系统前，完成原系统镜像、应用配置及数据库一致性备份，并验证恢复流程。切换后发生回退时，先冻结写入，核对新环境新增数据并落实回灌，再按恢复流程还原原系统及业务数据，避免数据丢失。</w:t>
      </w:r>
    </w:p>
    <w:p>
      <w:pPr>
        <w:pStyle w:val="Heading1"/>
      </w:pPr>
      <w:r>
        <w:t>十 备份与验收交付</w:t>
      </w:r>
    </w:p>
    <w:p>
      <w:r>
        <w:t>数据库、图片、配置与MQTT持久化数据进入独立备份存储，每日备份并保留30天，实施日志归档和恢复验证。备份容量覆盖保留周期及增长空间；主机快照作为补充，不替代数据库一致性备份。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验收维度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/>
                <w:sz w:val="20"/>
              </w:rPr>
              <w:t>验收要求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软件及授权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产品名称、发行版本、补丁、架构、软件许可和适配证明完整，实际部署与交付清单一致。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业务与设备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PC及小程序、人员、人脸、排菜、称重、营养统计、图片、菜牌和大屏功能通过测试。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数据与消息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库表及关键字段一致；MQTT鉴权、重连、幂等、积压恢复和任务队列验证通过。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汇聚与恢复</w:t>
            </w:r>
          </w:p>
        </w:tc>
        <w:tc>
          <w:tcPr>
            <w:tcW w:type="dxa" w:w="4819"/>
          </w:tcPr>
          <w:p>
            <w:pPr>
              <w:spacing w:after="80" w:line="259" w:lineRule="auto"/>
            </w:pPr>
            <w:r>
              <w:rPr>
                <w:rFonts w:ascii="Songti SC" w:hAnsi="Songti SC" w:eastAsia="Songti SC" w:cs="Songti SC"/>
                <w:b w:val="0"/>
                <w:sz w:val="20"/>
              </w:rPr>
              <w:t>至少一次汇聚周期成功；备份恢复成功，记录实测RPO、RTO及峰值测试结果。</w:t>
            </w:r>
          </w:p>
        </w:tc>
      </w:tr>
    </w:tbl>
    <w:p>
      <w:r>
        <w:t>交付软件版本授权清单、部署与网络矩阵、适配测试报告、数据校验记录、设备变更清单、切换回退记录、备份恢复记录及运维手册。业务稳定运行与资料交付完成后办理项目验收。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Songti SC" w:hAnsi="Songti SC" w:eastAsia="Song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69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 w:before="180"/>
      <w:contextualSpacing/>
    </w:pPr>
    <w:rPr>
      <w:rFonts w:asciiTheme="majorHAnsi" w:eastAsiaTheme="majorEastAsia" w:hAnsiTheme="majorHAnsi" w:cstheme="majorBidi" w:ascii="Songti SC" w:hAnsi="Songti SC" w:eastAsia="Songti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