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81827">
      <w:pPr>
        <w:spacing w:after="80"/>
        <w:jc w:val="center"/>
      </w:pPr>
      <w:r>
        <w:rPr>
          <w:rFonts w:hint="eastAsia"/>
          <w:sz w:val="28"/>
          <w:szCs w:val="36"/>
        </w:rPr>
        <w:t>新吴区</w:t>
      </w:r>
      <w:r>
        <w:rPr>
          <w:sz w:val="28"/>
          <w:szCs w:val="36"/>
        </w:rPr>
        <w:t>政务云资源需求申请表</w:t>
      </w:r>
    </w:p>
    <w:tbl>
      <w:tblPr>
        <w:tblStyle w:val="5"/>
        <w:tblW w:w="1077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0"/>
        <w:gridCol w:w="1096"/>
        <w:gridCol w:w="1018"/>
        <w:gridCol w:w="911"/>
        <w:gridCol w:w="1564"/>
        <w:gridCol w:w="932"/>
        <w:gridCol w:w="932"/>
        <w:gridCol w:w="1736"/>
        <w:gridCol w:w="1403"/>
        <w:gridCol w:w="753"/>
      </w:tblGrid>
      <w:tr w14:paraId="75FEDC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0360F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需求单位</w:t>
            </w:r>
          </w:p>
        </w:tc>
        <w:tc>
          <w:tcPr>
            <w:tcW w:w="34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无锡市新吴区机关事务服务中心</w:t>
            </w:r>
          </w:p>
        </w:tc>
        <w:tc>
          <w:tcPr>
            <w:tcW w:w="186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C35A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申请时间</w:t>
            </w:r>
          </w:p>
        </w:tc>
        <w:tc>
          <w:tcPr>
            <w:tcW w:w="389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2026年10月20日</w:t>
            </w:r>
          </w:p>
        </w:tc>
      </w:tr>
      <w:tr w14:paraId="1CB8F2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4F12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部门联系人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852FD4">
            <w:pPr>
              <w:spacing w:before="0" w:after="40" w:line="260" w:lineRule="exact"/>
              <w:jc w:val="left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朱荣瑶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88A1B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联系方式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</w:r>
          </w:p>
        </w:tc>
      </w:tr>
      <w:tr w14:paraId="450BCB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38512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技术联系人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8E290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兰海军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C9902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联系方式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ABACA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18813169206</w:t>
            </w:r>
          </w:p>
        </w:tc>
      </w:tr>
      <w:tr w14:paraId="223E54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项目名称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新吴区智慧餐厅系统信创升级改造项目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32872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信息系统名称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智慧营养健康餐厅管理系统</w:t>
            </w:r>
          </w:p>
        </w:tc>
      </w:tr>
      <w:tr w14:paraId="61A41B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38E66F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数据是否涉密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否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A06AF5">
            <w:pPr>
              <w:spacing w:before="0" w:after="40" w:line="260" w:lineRule="exact"/>
              <w:jc w:val="left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系统上云类型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现有云资源复用</w:t>
              <w:br/>
              <w:t>信创适配改造</w:t>
            </w:r>
          </w:p>
        </w:tc>
      </w:tr>
      <w:tr w14:paraId="0AAAE7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0775" w:type="dxa"/>
            <w:gridSpan w:val="10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243A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虚拟主机和NAT资源需求</w:t>
            </w:r>
          </w:p>
        </w:tc>
      </w:tr>
      <w:tr w14:paraId="15E84C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83580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序号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D606E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名称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D28789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CPU（core）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A6432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内存（GB）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6BD5D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操作系统版本（信创系统）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F0983F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系统</w:t>
            </w:r>
          </w:p>
          <w:p w14:paraId="12F841D3">
            <w:pPr>
              <w:spacing w:before="0" w:after="40" w:line="2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磁盘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GB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E1E90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数据</w:t>
            </w:r>
          </w:p>
          <w:p w14:paraId="5901FA84">
            <w:pPr>
              <w:spacing w:before="0" w:after="40" w:line="2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磁盘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GB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F4830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部署区域</w:t>
            </w:r>
          </w:p>
          <w:p w14:paraId="2E528A2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（DMZ或非DMZ）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8B4E1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开放端口（DMZ提供）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EAFB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备注</w:t>
            </w:r>
          </w:p>
        </w:tc>
      </w:tr>
      <w:tr w14:paraId="0063D8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应用主机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16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银河麒麟高级服务器操作系统</w:t>
              <w:br/>
              <w:t>V10商业版</w:t>
              <w:br/>
              <w:t>海光x86_64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沿用原容量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DMZ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TCP 8453→443</w:t>
              <w:br/>
              <w:t>MQTT业务端口按网络实施清单开放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业务应用、ALB及EMQX</w:t>
            </w:r>
          </w:p>
        </w:tc>
      </w:tr>
      <w:tr w14:paraId="43DF5E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2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数据库主机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16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银河麒麟高级服务器操作系统</w:t>
              <w:br/>
              <w:t>V10商业版</w:t>
              <w:br/>
              <w:t>海光x86_64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沿用原容量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非DMZ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无公网映射</w:t>
              <w:br/>
              <w:t>仅内网白名单访问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OceanBase及AMDC</w:t>
            </w:r>
          </w:p>
        </w:tc>
      </w:tr>
      <w:tr w14:paraId="041944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2823F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F7A638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B0B24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B2F72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BF511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97416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B559B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3FDC5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F57A3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5E135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56D583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5A56E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C5D2B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1595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3C8A6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95CB8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AD286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F29EF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C8B35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94B9A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39D4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595F39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24EBD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77E68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D4947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4FE8D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A3D9D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E807B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7D84D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5E52A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6622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4071E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6FDD2B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1BE0F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带宽需求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互联网出口20Mbps，云内网络按政务云标准配置。应用HTTPS及MQTT业务入口按审批开放，数据库、缓存及管理接口不映射公网。</w:t>
            </w:r>
          </w:p>
        </w:tc>
      </w:tr>
    </w:tbl>
    <w:p w14:paraId="17233616">
      <w:pPr>
        <w:spacing w:after="80"/>
      </w:pPr>
    </w:p>
    <w:p>
      <w:pPr>
        <w:spacing w:after="80"/>
      </w:pPr>
      <w:r>
        <w:br w:type="page"/>
      </w:r>
    </w:p>
    <w:p>
      <w:pPr>
        <w:keepNext/>
        <w:spacing w:after="80"/>
      </w:pPr>
      <w:r>
        <w:t>补充需求与审批</w:t>
      </w:r>
    </w:p>
    <w:tbl>
      <w:tblPr>
        <w:tblStyle w:val="5"/>
        <w:tblW w:w="1077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  <w:top w:val="single" w:sz="8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0"/>
        <w:gridCol w:w="1096"/>
        <w:gridCol w:w="1018"/>
        <w:gridCol w:w="911"/>
        <w:gridCol w:w="1564"/>
        <w:gridCol w:w="932"/>
        <w:gridCol w:w="932"/>
        <w:gridCol w:w="1736"/>
        <w:gridCol w:w="1403"/>
        <w:gridCol w:w="753"/>
      </w:tblGrid>
      <w:tr w14:paraId="07BE72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4" w:space="0"/>
              <w:top w:val="single" w:sz="8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D0E0E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特殊需求</w:t>
            </w:r>
          </w:p>
        </w:tc>
        <w:tc>
          <w:tcPr>
            <w:tcW w:w="9249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8" w:space="0"/>
              <w:top w:val="single" w:sz="8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复用现有两台海光服务器，CPU、内存及磁盘容量保持原配置。两台均为8核、约16GB内存，系统盘均为100GB，数据盘分别为500GB和100GB。部署银河麒麟V10商业版、OceanBase数据库、金蝶ALB及AMDC；在应用服务器本地部署EMQX企业版，替换阿里云公有MQTT。数据库数据与事务日志存放数据盘，MQTT持久化存放应用数据盘。更换操作系统前完成原系统镜像及数据备份，验证回退恢复。商业软件取得正式授权，开源软件遵循相应许可，建立版本、补丁、许可和部署清单。</w:t>
            </w:r>
          </w:p>
        </w:tc>
      </w:tr>
      <w:tr w14:paraId="7252EE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428E3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域名需求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沿用jgswct.i-wnd.cn，配置有效HTTPS证书，公网TCP 8453映射应用443。EMQX使用政务云内接入地址，按网络实施清单配置业务端口、设备路由、鉴权及TLS；管理端仅授权运维访问。</w:t>
            </w:r>
          </w:p>
        </w:tc>
      </w:tr>
      <w:tr w14:paraId="3A746A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8AC1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等保备案证明</w:t>
            </w:r>
          </w:p>
          <w:p w14:paraId="660ECAE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证书编号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</w:r>
          </w:p>
        </w:tc>
      </w:tr>
      <w:tr w14:paraId="2D0E43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5E5C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安全防护需求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配置WAF、主机防护、漏洞扫描、集中日志审计及VPN或堡垒机运维通道。数据库、缓存和MQTT管理端采用最小白名单；设备接入配置身份鉴别与主题权限。数据库、图片、配置及MQTT持久化数据每日备份，保留30天并完成恢复演练。保留城运中心数据汇聚链路。</w:t>
            </w:r>
          </w:p>
        </w:tc>
      </w:tr>
      <w:tr w14:paraId="411900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387D99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需求单位意见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3718E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本单位承诺遵守网络安全相关规定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所有部署满足国产信创要求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，及时做好系统的安全防护，系统产生的数据应汇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全量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聚至城运中心。系统停用前，提前告知政务云主管部门，并配合做好系统关停、数据备份和资源释放等相关工作。</w:t>
            </w:r>
          </w:p>
          <w:p w14:paraId="75C2D983">
            <w:pPr>
              <w:spacing w:before="0" w:after="40" w:line="260" w:lineRule="exact"/>
              <w:ind w:firstLine="5400" w:firstLineChars="30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负责人（签字）：</w:t>
            </w:r>
          </w:p>
          <w:p w14:paraId="4F1F6C00">
            <w:pPr>
              <w:spacing w:before="0" w:after="40" w:line="260" w:lineRule="exact"/>
              <w:ind w:firstLine="5400" w:firstLineChars="30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（盖章）：</w:t>
            </w:r>
          </w:p>
          <w:p w14:paraId="037F2E1F">
            <w:pPr>
              <w:spacing w:before="0" w:after="40" w:line="260" w:lineRule="exact"/>
              <w:ind w:firstLine="5940" w:firstLineChars="33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年   月   日    </w:t>
            </w:r>
          </w:p>
        </w:tc>
      </w:tr>
      <w:tr w14:paraId="23B796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43724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城运中心意见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83227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ab/>
            </w:r>
          </w:p>
          <w:p w14:paraId="4ECF37C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 xml:space="preserve">                                                    负责人（签字）：</w:t>
            </w:r>
          </w:p>
          <w:p w14:paraId="7E9BBEC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 xml:space="preserve">                                            （盖章）：</w:t>
            </w:r>
          </w:p>
          <w:p w14:paraId="37F3EC28">
            <w:pPr>
              <w:spacing w:before="0" w:after="40" w:line="260" w:lineRule="exact"/>
              <w:ind w:firstLine="5940" w:firstLineChars="33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年   月   日    </w:t>
            </w:r>
          </w:p>
        </w:tc>
      </w:tr>
    </w:tbl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NTg1Yjg1ZjA3YWE2NTQzM2U2YWZlNmQ1M2JiMjUifQ=="/>
    <w:docVar w:name="KSO_WPS_MARK_KEY" w:val="8a4dbcb9-18ef-41a2-aa87-b536b445b7cb"/>
  </w:docVars>
  <w:rsids>
    <w:rsidRoot w:val="00A96B17"/>
    <w:rsid w:val="0007710E"/>
    <w:rsid w:val="00307709"/>
    <w:rsid w:val="004E05B5"/>
    <w:rsid w:val="005539A0"/>
    <w:rsid w:val="005F3BE8"/>
    <w:rsid w:val="007165B6"/>
    <w:rsid w:val="00733CFA"/>
    <w:rsid w:val="007B6EC4"/>
    <w:rsid w:val="007D1F7E"/>
    <w:rsid w:val="008700CE"/>
    <w:rsid w:val="00946CE5"/>
    <w:rsid w:val="009A6610"/>
    <w:rsid w:val="00A96B17"/>
    <w:rsid w:val="00C24FA3"/>
    <w:rsid w:val="00E136E1"/>
    <w:rsid w:val="0156177E"/>
    <w:rsid w:val="021D229B"/>
    <w:rsid w:val="02704AC1"/>
    <w:rsid w:val="03373831"/>
    <w:rsid w:val="0387390B"/>
    <w:rsid w:val="03B60BF9"/>
    <w:rsid w:val="03BE40FB"/>
    <w:rsid w:val="05F544C1"/>
    <w:rsid w:val="08923091"/>
    <w:rsid w:val="0C5C1C12"/>
    <w:rsid w:val="0E256099"/>
    <w:rsid w:val="0F052A35"/>
    <w:rsid w:val="0F5D461F"/>
    <w:rsid w:val="100521B8"/>
    <w:rsid w:val="11B83D8F"/>
    <w:rsid w:val="12937EC0"/>
    <w:rsid w:val="137C7126"/>
    <w:rsid w:val="13DF1AA7"/>
    <w:rsid w:val="16133262"/>
    <w:rsid w:val="16803CA4"/>
    <w:rsid w:val="17A23535"/>
    <w:rsid w:val="19737D0A"/>
    <w:rsid w:val="19845F14"/>
    <w:rsid w:val="1C0107C9"/>
    <w:rsid w:val="1E4569AA"/>
    <w:rsid w:val="1EB13D33"/>
    <w:rsid w:val="1F501AAA"/>
    <w:rsid w:val="1F732FE9"/>
    <w:rsid w:val="205B24B5"/>
    <w:rsid w:val="21613FEF"/>
    <w:rsid w:val="22460F43"/>
    <w:rsid w:val="23036084"/>
    <w:rsid w:val="2369138D"/>
    <w:rsid w:val="24AD7057"/>
    <w:rsid w:val="26301A2E"/>
    <w:rsid w:val="2699082B"/>
    <w:rsid w:val="27E965F8"/>
    <w:rsid w:val="2C73502A"/>
    <w:rsid w:val="2ED31DB0"/>
    <w:rsid w:val="35812566"/>
    <w:rsid w:val="36872D7F"/>
    <w:rsid w:val="37F4125D"/>
    <w:rsid w:val="388D1222"/>
    <w:rsid w:val="3A4E6341"/>
    <w:rsid w:val="3A687850"/>
    <w:rsid w:val="3AA12D62"/>
    <w:rsid w:val="3B5F6EA5"/>
    <w:rsid w:val="3C6B3628"/>
    <w:rsid w:val="3CE04A8F"/>
    <w:rsid w:val="4090211E"/>
    <w:rsid w:val="409A035E"/>
    <w:rsid w:val="40BB380C"/>
    <w:rsid w:val="423522EA"/>
    <w:rsid w:val="426A3C70"/>
    <w:rsid w:val="43464AFA"/>
    <w:rsid w:val="455517D3"/>
    <w:rsid w:val="46B95EB6"/>
    <w:rsid w:val="48770CCF"/>
    <w:rsid w:val="48A57EC2"/>
    <w:rsid w:val="4A225B13"/>
    <w:rsid w:val="4A225C6E"/>
    <w:rsid w:val="4DE374C2"/>
    <w:rsid w:val="4E46158A"/>
    <w:rsid w:val="4F3B332E"/>
    <w:rsid w:val="4F443DDC"/>
    <w:rsid w:val="501047BA"/>
    <w:rsid w:val="51501312"/>
    <w:rsid w:val="54BE230C"/>
    <w:rsid w:val="586C27AA"/>
    <w:rsid w:val="5B23695A"/>
    <w:rsid w:val="5BB43626"/>
    <w:rsid w:val="608258F4"/>
    <w:rsid w:val="645575C7"/>
    <w:rsid w:val="66E520A5"/>
    <w:rsid w:val="68737FC3"/>
    <w:rsid w:val="6C6B4119"/>
    <w:rsid w:val="6D207B3D"/>
    <w:rsid w:val="6DEC53BF"/>
    <w:rsid w:val="6E9C573F"/>
    <w:rsid w:val="6EBD6149"/>
    <w:rsid w:val="70597A95"/>
    <w:rsid w:val="708159DE"/>
    <w:rsid w:val="716F0EE9"/>
    <w:rsid w:val="71A768D5"/>
    <w:rsid w:val="72EB27F1"/>
    <w:rsid w:val="73666C29"/>
    <w:rsid w:val="757108D4"/>
    <w:rsid w:val="758732EE"/>
    <w:rsid w:val="7A632F80"/>
    <w:rsid w:val="7CBB3234"/>
    <w:rsid w:val="7DB5FA5E"/>
    <w:rsid w:val="7EED1194"/>
    <w:rsid w:val="7F45772D"/>
    <w:rsid w:val="C7F7BE32"/>
    <w:rsid w:val="FF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 w:ascii="Songti SC" w:hAnsi="Songti SC" w:eastAsia="Songti SC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  <w:rPr>
      <w:rFonts w:ascii="Songti SC" w:hAnsi="Songti SC" w:eastAsia="Songti SC"/>
    </w:rPr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Songti SC" w:hAnsi="Songti SC" w:eastAsia="Songti SC"/>
      <w:sz w:val="18"/>
      <w:szCs w:val="18"/>
    </w:rPr>
  </w:style>
  <w:style w:type="paragraph" w:styleId="3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ascii="Songti SC" w:hAnsi="Songti SC" w:eastAsia="Songti SC"/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 w:ascii="Songti SC" w:hAnsi="Songti SC" w:eastAsia="Songti SC"/>
      <w:kern w:val="0"/>
      <w:sz w:val="24"/>
    </w:rPr>
  </w:style>
  <w:style w:type="character" w:styleId="7">
    <w:name w:val="Strong"/>
    <w:basedOn w:val="6"/>
    <w:qFormat/>
    <w:uiPriority w:val="0"/>
    <w:rPr>
      <w:rFonts w:ascii="Songti SC" w:hAnsi="Songti SC" w:eastAsia="Songti SC"/>
      <w:b/>
      <w:bCs/>
    </w:rPr>
  </w:style>
  <w:style w:type="character" w:styleId="8">
    <w:name w:val="FollowedHyperlink"/>
    <w:basedOn w:val="6"/>
    <w:qFormat/>
    <w:uiPriority w:val="0"/>
    <w:rPr>
      <w:rFonts w:ascii="Songti SC" w:hAnsi="Songti SC" w:eastAsia="Songti SC"/>
      <w:color w:val="333333"/>
      <w:u w:val="none"/>
    </w:rPr>
  </w:style>
  <w:style w:type="character" w:styleId="9">
    <w:name w:val="HTML Definition"/>
    <w:basedOn w:val="6"/>
    <w:qFormat/>
    <w:uiPriority w:val="0"/>
    <w:rPr>
      <w:rFonts w:ascii="Songti SC" w:hAnsi="Songti SC" w:eastAsia="Songti SC"/>
      <w:i/>
      <w:iCs/>
    </w:rPr>
  </w:style>
  <w:style w:type="character" w:styleId="10">
    <w:name w:val="HTML Acronym"/>
    <w:basedOn w:val="6"/>
    <w:qFormat/>
    <w:uiPriority w:val="0"/>
    <w:rPr>
      <w:rFonts w:ascii="Songti SC" w:hAnsi="Songti SC" w:eastAsia="Songti SC"/>
    </w:rPr>
  </w:style>
  <w:style w:type="character" w:styleId="11">
    <w:name w:val="Hyperlink"/>
    <w:basedOn w:val="6"/>
    <w:qFormat/>
    <w:uiPriority w:val="0"/>
    <w:rPr>
      <w:rFonts w:ascii="Songti SC" w:hAnsi="Songti SC" w:eastAsia="Songti SC"/>
      <w:color w:val="333333"/>
      <w:u w:val="none"/>
    </w:rPr>
  </w:style>
  <w:style w:type="character" w:styleId="12">
    <w:name w:val="HTML Code"/>
    <w:basedOn w:val="6"/>
    <w:qFormat/>
    <w:uiPriority w:val="0"/>
    <w:rPr>
      <w:rFonts w:ascii="Songti SC" w:hAnsi="Songti SC" w:eastAsia="Songti SC" w:cs="monospace"/>
      <w:sz w:val="21"/>
      <w:szCs w:val="21"/>
    </w:rPr>
  </w:style>
  <w:style w:type="character" w:styleId="13">
    <w:name w:val="HTML Keyboard"/>
    <w:basedOn w:val="6"/>
    <w:qFormat/>
    <w:uiPriority w:val="0"/>
    <w:rPr>
      <w:rFonts w:hint="default" w:ascii="Songti SC" w:hAnsi="Songti SC" w:eastAsia="Songti SC" w:cs="monospace"/>
      <w:sz w:val="21"/>
      <w:szCs w:val="21"/>
    </w:rPr>
  </w:style>
  <w:style w:type="character" w:styleId="14">
    <w:name w:val="HTML Sample"/>
    <w:basedOn w:val="6"/>
    <w:qFormat/>
    <w:uiPriority w:val="0"/>
    <w:rPr>
      <w:rFonts w:hint="default" w:ascii="Songti SC" w:hAnsi="Songti SC" w:eastAsia="Songti SC" w:cs="monospace"/>
      <w:sz w:val="21"/>
      <w:szCs w:val="21"/>
    </w:rPr>
  </w:style>
  <w:style w:type="character" w:customStyle="1" w:styleId="15">
    <w:name w:val="tit5"/>
    <w:basedOn w:val="6"/>
    <w:qFormat/>
    <w:uiPriority w:val="0"/>
    <w:rPr>
      <w:rFonts w:ascii="Songti SC" w:hAnsi="Songti SC" w:eastAsia="Songti SC"/>
    </w:rPr>
  </w:style>
  <w:style w:type="character" w:customStyle="1" w:styleId="16">
    <w:name w:val="ico"/>
    <w:basedOn w:val="6"/>
    <w:qFormat/>
    <w:uiPriority w:val="0"/>
    <w:rPr>
      <w:rFonts w:ascii="Songti SC" w:hAnsi="Songti SC" w:eastAsia="Songti SC"/>
    </w:rPr>
  </w:style>
  <w:style w:type="character" w:customStyle="1" w:styleId="17">
    <w:name w:val="ico1"/>
    <w:basedOn w:val="6"/>
    <w:qFormat/>
    <w:uiPriority w:val="0"/>
    <w:rPr>
      <w:rFonts w:ascii="Songti SC" w:hAnsi="Songti SC" w:eastAsia="Songti SC"/>
    </w:rPr>
  </w:style>
  <w:style w:type="character" w:customStyle="1" w:styleId="18">
    <w:name w:val="ico2"/>
    <w:basedOn w:val="6"/>
    <w:qFormat/>
    <w:uiPriority w:val="0"/>
    <w:rPr>
      <w:rFonts w:ascii="Songti SC" w:hAnsi="Songti SC" w:eastAsia="Songti SC"/>
    </w:rPr>
  </w:style>
  <w:style w:type="character" w:customStyle="1" w:styleId="19">
    <w:name w:val="ico3"/>
    <w:basedOn w:val="6"/>
    <w:qFormat/>
    <w:uiPriority w:val="0"/>
    <w:rPr>
      <w:rFonts w:ascii="Songti SC" w:hAnsi="Songti SC" w:eastAsia="Songti SC"/>
    </w:rPr>
  </w:style>
  <w:style w:type="character" w:customStyle="1" w:styleId="20">
    <w:name w:val="页眉 字符"/>
    <w:basedOn w:val="6"/>
    <w:link w:val="3"/>
    <w:qFormat/>
    <w:uiPriority w:val="0"/>
    <w:rPr>
      <w:rFonts w:asciiTheme="minorHAnsi" w:hAnsiTheme="minorHAnsi" w:eastAsiaTheme="minorEastAsia" w:cstheme="minorBidi" w:ascii="Songti SC" w:hAnsi="Songti SC" w:eastAsia="Songti SC"/>
      <w:kern w:val="2"/>
      <w:sz w:val="18"/>
      <w:szCs w:val="18"/>
    </w:rPr>
  </w:style>
  <w:style w:type="character" w:customStyle="1" w:styleId="21">
    <w:name w:val="页脚 字符"/>
    <w:basedOn w:val="6"/>
    <w:link w:val="2"/>
    <w:qFormat/>
    <w:uiPriority w:val="0"/>
    <w:rPr>
      <w:rFonts w:asciiTheme="minorHAnsi" w:hAnsiTheme="minorHAnsi" w:eastAsiaTheme="minorEastAsia" w:cstheme="minorBidi" w:ascii="Songti SC" w:hAnsi="Songti SC" w:eastAsia="Songti SC"/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628</Words>
  <Characters>773</Characters>
  <Lines>4</Lines>
  <Paragraphs>1</Paragraphs>
  <TotalTime>22</TotalTime>
  <ScaleCrop>false</ScaleCrop>
  <LinksUpToDate>false</LinksUpToDate>
  <CharactersWithSpaces>895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2022-09-28T11:26:00Z</dcterms:created>
  <dc:creator>Administrator</dc:creator>
  <cp:lastModifiedBy>。</cp:lastModifiedBy>
  <cp:lastPrinted>2024-04-19T14:16:00Z</cp:lastPrinted>
  <dcterms:modified xsi:type="dcterms:W3CDTF">2026-10-19T07:21:53Z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FF1814D3769C4BAA88CA691783F0644C_13</vt:lpwstr>
  </property>
  <property fmtid="{D5CDD505-2E9C-101B-9397-08002B2CF9AE}" pid="4" name="KSOTemplateDocerSaveRecord">
    <vt:lpwstr>eyJoZGlkIjoiNGI1Njc0OWM4NjM1MWRjZGQyNzcxN2ZmNTQ1MWEwMTEiLCJ1c2VySWQiOiI3MDgwNzgxOTMifQ==</vt:lpwstr>
  </property>
</Properties>
</file>