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12.0 -->
  <w:body>
    <w:p w14:paraId="7A090DCE">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32EDF4A0">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r>
        <w:rPr>
          <w:rFonts w:ascii="宋体" w:eastAsia="宋体" w:hAnsi="宋体" w:cs="宋体" w:hint="eastAsia"/>
          <w:b/>
          <w:bCs/>
          <w:sz w:val="52"/>
          <w:szCs w:val="52"/>
          <w:lang w:val="en-US" w:eastAsia="zh-CN"/>
        </w:rPr>
        <w:t>绿盟科技"网络安全漏洞扫描系统"安全评估报告</w:t>
      </w:r>
    </w:p>
    <w:p w14:paraId="7DFE3C95">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7FBFF12D">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default"/>
          <w:b/>
          <w:bCs/>
          <w:sz w:val="52"/>
          <w:szCs w:val="52"/>
          <w:lang w:val="en-US" w:eastAsia="zh-CN"/>
        </w:rPr>
      </w:pPr>
      <w:r>
        <w:rPr>
          <w:rFonts w:ascii="宋体" w:eastAsia="宋体" w:hAnsi="宋体" w:cs="宋体" w:hint="eastAsia"/>
          <w:b/>
          <w:bCs/>
          <w:sz w:val="52"/>
          <w:szCs w:val="52"/>
          <w:lang w:val="en-US" w:eastAsia="zh-CN"/>
        </w:rPr>
        <w:br/>
        <w:br/>
        <w:br/>
      </w:r>
    </w:p>
    <w:p w14:paraId="610F318B">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11A34AF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52"/>
          <w:szCs w:val="52"/>
          <w:lang w:val="en-US" w:eastAsia="zh-CN"/>
        </w:rPr>
      </w:pPr>
    </w:p>
    <w:p w14:paraId="2415C46D">
      <w:pPr>
        <w:pageBreakBefore w:val="0"/>
        <w:kinsoku/>
        <w:wordWrap w:val="0"/>
        <w:overflowPunct/>
        <w:topLinePunct w:val="0"/>
        <w:autoSpaceDE/>
        <w:autoSpaceDN/>
        <w:bidi w:val="0"/>
        <w:adjustRightInd/>
        <w:snapToGrid/>
        <w:spacing w:line="360" w:lineRule="auto"/>
        <w:jc w:val="both"/>
        <w:textAlignment w:val="auto"/>
        <w:rPr>
          <w:rFonts w:ascii="宋体" w:eastAsia="宋体" w:hAnsi="宋体" w:cs="宋体" w:hint="eastAsia"/>
          <w:b/>
          <w:bCs/>
          <w:sz w:val="52"/>
          <w:szCs w:val="52"/>
          <w:lang w:val="en-US" w:eastAsia="zh-CN"/>
        </w:rPr>
      </w:pPr>
    </w:p>
    <w:p w14:paraId="51235742">
      <w:pPr>
        <w:pageBreakBefore w:val="0"/>
        <w:kinsoku/>
        <w:wordWrap w:val="0"/>
        <w:overflowPunct/>
        <w:topLinePunct w:val="0"/>
        <w:autoSpaceDE/>
        <w:autoSpaceDN/>
        <w:bidi w:val="0"/>
        <w:adjustRightInd/>
        <w:snapToGrid/>
        <w:spacing w:line="360" w:lineRule="auto"/>
        <w:jc w:val="center"/>
        <w:textAlignment w:val="auto"/>
        <w:rPr>
          <w:rFonts w:ascii="微软雅黑" w:eastAsia="微软雅黑" w:hAnsi="微软雅黑" w:cs="微软雅黑" w:hint="eastAsia"/>
          <w:i w:val="0"/>
          <w:iCs w:val="0"/>
          <w:sz w:val="32"/>
          <w:szCs w:val="32"/>
          <w:u w:val="none"/>
          <w:lang w:val="en-US" w:eastAsia="zh-CN"/>
        </w:rPr>
      </w:pPr>
      <w:r>
        <w:rPr>
          <w:rFonts w:ascii="微软雅黑" w:eastAsia="微软雅黑" w:hAnsi="微软雅黑" w:cs="微软雅黑" w:hint="eastAsia"/>
          <w:i w:val="0"/>
          <w:iCs w:val="0"/>
          <w:sz w:val="32"/>
          <w:szCs w:val="32"/>
          <w:u w:val="none"/>
          <w:lang w:val="en-US" w:eastAsia="zh-CN"/>
        </w:rPr>
        <w:t>报表生成时间   2026-03-20 14:53:13</w:t>
      </w:r>
    </w:p>
    <w:p w14:paraId="6780B1CE">
      <w:pPr>
        <w:pageBreakBefore w:val="0"/>
        <w:kinsoku/>
        <w:wordWrap w:val="0"/>
        <w:overflowPunct/>
        <w:topLinePunct w:val="0"/>
        <w:autoSpaceDE/>
        <w:autoSpaceDN/>
        <w:bidi w:val="0"/>
        <w:adjustRightInd/>
        <w:snapToGrid/>
        <w:textAlignment w:val="auto"/>
        <w:rPr>
          <w:rFonts w:hint="eastAsia"/>
          <w:lang w:val="en-US" w:eastAsia="zh-CN"/>
        </w:rPr>
      </w:pPr>
    </w:p>
    <w:p w14:paraId="3BF01414">
      <w:pPr>
        <w:pageBreakBefore w:val="0"/>
        <w:kinsoku/>
        <w:wordWrap w:val="0"/>
        <w:overflowPunct/>
        <w:topLinePunct w:val="0"/>
        <w:autoSpaceDE/>
        <w:autoSpaceDN/>
        <w:bidi w:val="0"/>
        <w:adjustRightInd/>
        <w:snapToGrid/>
        <w:textAlignment w:val="auto"/>
        <w:rPr>
          <w:rFonts w:hint="eastAsia"/>
          <w:lang w:val="en-US" w:eastAsia="zh-CN"/>
        </w:rPr>
        <w:sectPr>
          <w:headerReference w:type="default" r:id="rId5"/>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-210820</wp:posOffset>
                </wp:positionV>
                <wp:extent cx="5267325" cy="1905"/>
                <wp:effectExtent l="0" t="0" r="0" b="0"/>
                <wp:wrapNone/>
                <wp:docPr id="1001" name="直接箭头连接符 5"/>
                <wp:cNvGraphicFramePr/>
                <a:graphic xmlns:a="http://schemas.openxmlformats.org/drawingml/2006/main">
                  <a:graphicData uri="http://schemas.microsoft.com/office/word/2010/wordprocessingShape">
                    <wps:wsp xmlns:wps="http://schemas.microsoft.com/office/word/2010/wordprocessingShape">
                      <wps:cNvCnPr/>
                      <wps:spPr>
                        <a:xfrm>
                          <a:off x="0" y="0"/>
                          <a:ext cx="5267325" cy="1905"/>
                        </a:xfrm>
                        <a:prstGeom prst="straightConnector1">
                          <a:avLst/>
                        </a:prstGeom>
                        <a:ln w="9525">
                          <a:solidFill>
                            <a:srgbClr val="6BB1DC"/>
                          </a:solidFill>
                          <a:prstDash val="soli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_x0000_s1026" o:spid="_x0000_s1025" type="#_x0000_t32" style="width:414.75pt;height:0.15pt;margin-top:-16.6pt;margin-left:4.5pt;mso-height-relative:page;mso-width-relative:page;position:absolute;z-index:251659264" coordsize="21600,21600" filled="f" stroked="t" strokecolor="#6bb1dc">
                <v:stroke joinstyle="round"/>
                <o:lock v:ext="edit" aspectratio="f"/>
              </v:shape>
            </w:pict>
          </mc:Fallback>
        </mc:AlternateContent>
      </w:r>
    </w:p>
    <w:p w14:paraId="5D9037D4">
      <w:pPr>
        <w:pageBreakBefore w:val="0"/>
        <w:kinsoku/>
        <w:wordWrap w:val="0"/>
        <w:overflowPunct/>
        <w:topLinePunct w:val="0"/>
        <w:autoSpaceDE/>
        <w:autoSpaceDN/>
        <w:bidi w:val="0"/>
        <w:adjustRightInd/>
        <w:snapToGrid/>
        <w:spacing w:line="360" w:lineRule="auto"/>
        <w:jc w:val="center"/>
        <w:textAlignment w:val="auto"/>
      </w:pPr>
    </w:p>
    <w:p w14:paraId="4E33251C">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44"/>
          <w:szCs w:val="44"/>
          <w:lang w:val="en-US" w:eastAsia="zh-CN"/>
        </w:rPr>
      </w:pPr>
      <w:r>
        <w:drawing>
          <wp:inline distT="0" distB="0" distL="114300" distR="114300">
            <wp:extent cx="476250" cy="476250"/>
            <wp:effectExtent l="0" t="0" r="0" b="0"/>
            <wp:docPr id="1002" name="图片 1" descr="titl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 descr="titlepic"/>
                    <pic:cNvPicPr>
                      <a:picLocks noChangeAspect="1"/>
                    </pic:cNvPicPr>
                  </pic:nvPicPr>
                  <pic:blipFill>
                    <a:blip xmlns:r="http://schemas.openxmlformats.org/officeDocument/2006/relationships" r:embed="rId6"/>
                    <a:stretch>
                      <a:fillRect/>
                    </a:stretch>
                  </pic:blipFill>
                  <pic:spPr>
                    <a:xfrm>
                      <a:off x="0" y="0"/>
                      <a:ext cx="476250" cy="476250"/>
                    </a:xfrm>
                    <a:prstGeom prst="rect">
                      <a:avLst/>
                    </a:prstGeom>
                    <a:noFill/>
                    <a:ln>
                      <a:noFill/>
                    </a:ln>
                  </pic:spPr>
                </pic:pic>
              </a:graphicData>
            </a:graphic>
          </wp:inline>
        </w:drawing>
      </w:r>
      <w:r>
        <w:rPr>
          <w:rFonts w:ascii="微软雅黑" w:hAnsi="微软雅黑" w:hint="eastAsia"/>
          <w:b/>
          <w:position w:val="24"/>
          <w:sz w:val="32"/>
          <w:szCs w:val="32"/>
          <w:lang w:val="en-US" w:eastAsia="zh-CN"/>
        </w:rPr>
        <w:t>绿盟科技"网络安全漏洞扫描系统"安全评估报告</w:t>
      </w:r>
    </w:p>
    <w:p w14:paraId="235503BA">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sz w:val="44"/>
          <w:szCs w:val="44"/>
          <w:lang w:val="en-US" w:eastAsia="zh-CN"/>
        </w:rPr>
      </w:pPr>
      <w:r>
        <w:rPr>
          <w:rFonts w:ascii="宋体" w:eastAsia="宋体" w:hAnsi="宋体" w:cs="宋体" w:hint="eastAsia"/>
          <w:b/>
          <w:bCs/>
          <w:sz w:val="44"/>
          <w:szCs w:val="44"/>
          <w:lang w:val="en-US" w:eastAsia="zh-CN"/>
        </w:rPr>
        <w:t>目录</w:t>
      </w:r>
    </w:p>
    <w:p w14:paraId="1444599C">
      <w:pPr>
        <w:pStyle w:val="TOC1"/>
        <w:tabs>
          <w:tab w:val="right" w:leader="dot" w:pos="8296"/>
        </w:tabs>
        <w:rPr>
          <w:rFonts w:asciiTheme="minorHAnsi" w:hAnsiTheme="minorHAnsi"/>
          <w:noProof/>
          <w:sz w:val="22"/>
        </w:rPr>
      </w:pPr>
      <w:bookmarkStart w:id="0" w:name="目录"/>
      <w:r>
        <w:rPr>
          <w:rFonts w:ascii="宋体" w:eastAsia="宋体" w:hAnsi="宋体" w:cs="宋体" w:hint="eastAsia"/>
          <w:b/>
          <w:bCs/>
          <w:sz w:val="2"/>
          <w:szCs w:val="2"/>
          <w:lang w:val="en-US" w:eastAsia="zh-CN"/>
        </w:rPr>
        <w:fldChar w:fldCharType="begin"/>
      </w:r>
      <w:r>
        <w:rPr>
          <w:rFonts w:ascii="宋体" w:eastAsia="宋体" w:hAnsi="宋体" w:cs="宋体" w:hint="eastAsia"/>
          <w:b/>
          <w:bCs/>
          <w:sz w:val="2"/>
          <w:szCs w:val="2"/>
          <w:lang w:val="en-US" w:eastAsia="zh-CN"/>
        </w:rPr>
        <w:instrText>TOC \o "1-3" \h \z \u</w:instrText>
      </w:r>
      <w:r>
        <w:rPr>
          <w:rFonts w:ascii="宋体" w:eastAsia="宋体" w:hAnsi="宋体" w:cs="宋体" w:hint="eastAsia"/>
          <w:b/>
          <w:bCs/>
          <w:sz w:val="2"/>
          <w:szCs w:val="2"/>
          <w:lang w:val="en-US" w:eastAsia="zh-CN"/>
        </w:rPr>
        <w:fldChar w:fldCharType="separate"/>
      </w:r>
      <w:hyperlink w:anchor="_Toc256000000" w:history="1">
        <w:r>
          <w:rPr>
            <w:rStyle w:val="Hyperlink"/>
            <w:rFonts w:hint="eastAsia"/>
          </w:rPr>
          <w:t>1  综述信息</w:t>
        </w:r>
        <w:r>
          <w:tab/>
        </w:r>
        <w:r>
          <w:fldChar w:fldCharType="begin"/>
        </w:r>
        <w:r>
          <w:instrText xml:space="preserve"> PAGEREF _Toc256000000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1" w:history="1">
        <w:r>
          <w:rPr>
            <w:rStyle w:val="Hyperlink"/>
            <w:rFonts w:hint="eastAsia"/>
          </w:rPr>
          <w:t>1.1  任务信息</w:t>
        </w:r>
        <w:r>
          <w:tab/>
        </w:r>
        <w:r>
          <w:fldChar w:fldCharType="begin"/>
        </w:r>
        <w:r>
          <w:instrText xml:space="preserve"> PAGEREF _Toc256000001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2" w:history="1">
        <w:r>
          <w:rPr>
            <w:rStyle w:val="Hyperlink"/>
            <w:rFonts w:hint="eastAsia"/>
          </w:rPr>
          <w:t>1.2  风险分布</w:t>
        </w:r>
        <w:r>
          <w:tab/>
        </w:r>
        <w:r>
          <w:fldChar w:fldCharType="begin"/>
        </w:r>
        <w:r>
          <w:instrText xml:space="preserve"> PAGEREF _Toc256000002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3" w:history="1">
        <w:r>
          <w:rPr>
            <w:rStyle w:val="Hyperlink"/>
            <w:rFonts w:hint="eastAsia"/>
          </w:rPr>
          <w:t>1.2.1  主机风险分布</w:t>
        </w:r>
        <w:r>
          <w:tab/>
        </w:r>
        <w:r>
          <w:fldChar w:fldCharType="begin"/>
        </w:r>
        <w:r>
          <w:instrText xml:space="preserve"> PAGEREF _Toc256000003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4" w:history="1">
        <w:r>
          <w:rPr>
            <w:rStyle w:val="Hyperlink"/>
            <w:rFonts w:hint="eastAsia"/>
          </w:rPr>
          <w:t>1.2.2  漏洞风险分布</w:t>
        </w:r>
        <w:r>
          <w:tab/>
        </w:r>
        <w:r>
          <w:fldChar w:fldCharType="begin"/>
        </w:r>
        <w:r>
          <w:instrText xml:space="preserve"> PAGEREF _Toc256000004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5" w:history="1">
        <w:r>
          <w:rPr>
            <w:rStyle w:val="Hyperlink"/>
            <w:rFonts w:hint="eastAsia"/>
          </w:rPr>
          <w:t>1.3  资产综述</w:t>
        </w:r>
        <w:r>
          <w:tab/>
        </w:r>
        <w:r>
          <w:fldChar w:fldCharType="begin"/>
        </w:r>
        <w:r>
          <w:instrText xml:space="preserve"> PAGEREF _Toc256000005 \h </w:instrText>
        </w:r>
        <w:r>
          <w:fldChar w:fldCharType="separate"/>
        </w:r>
        <w:r>
          <w:t>3</w:t>
        </w:r>
        <w:r>
          <w:fldChar w:fldCharType="end"/>
        </w:r>
      </w:hyperlink>
    </w:p>
    <w:p>
      <w:pPr>
        <w:pStyle w:val="TOC3"/>
        <w:tabs>
          <w:tab w:val="right" w:leader="dot" w:pos="8296"/>
        </w:tabs>
        <w:rPr>
          <w:rFonts w:asciiTheme="minorHAnsi" w:hAnsiTheme="minorHAnsi"/>
          <w:noProof/>
          <w:sz w:val="22"/>
        </w:rPr>
      </w:pPr>
      <w:hyperlink w:anchor="_Toc256000006" w:history="1">
        <w:r>
          <w:rPr>
            <w:rStyle w:val="Hyperlink"/>
            <w:rFonts w:hint="eastAsia"/>
          </w:rPr>
          <w:t>1.3.1 操作系统</w:t>
        </w:r>
        <w:r>
          <w:tab/>
        </w:r>
        <w:r>
          <w:fldChar w:fldCharType="begin"/>
        </w:r>
        <w:r>
          <w:instrText xml:space="preserve"> PAGEREF _Toc256000006 \h </w:instrText>
        </w:r>
        <w:r>
          <w:fldChar w:fldCharType="separate"/>
        </w:r>
        <w:r>
          <w:t>3</w:t>
        </w:r>
        <w:r>
          <w:fldChar w:fldCharType="end"/>
        </w:r>
      </w:hyperlink>
    </w:p>
    <w:p>
      <w:pPr>
        <w:pStyle w:val="TOC1"/>
        <w:tabs>
          <w:tab w:val="right" w:leader="dot" w:pos="8296"/>
        </w:tabs>
        <w:rPr>
          <w:rFonts w:asciiTheme="minorHAnsi" w:hAnsiTheme="minorHAnsi"/>
          <w:noProof/>
          <w:sz w:val="22"/>
        </w:rPr>
      </w:pPr>
      <w:hyperlink w:anchor="_Toc256000007" w:history="1">
        <w:r>
          <w:rPr>
            <w:rStyle w:val="Hyperlink"/>
            <w:rFonts w:hint="eastAsia"/>
          </w:rPr>
          <w:t>2  风险类别</w:t>
        </w:r>
        <w:r>
          <w:tab/>
        </w:r>
        <w:r>
          <w:fldChar w:fldCharType="begin"/>
        </w:r>
        <w:r>
          <w:instrText xml:space="preserve"> PAGEREF _Toc256000007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8" w:history="1">
        <w:r>
          <w:rPr>
            <w:rStyle w:val="Hyperlink"/>
            <w:rFonts w:hint="eastAsia"/>
          </w:rPr>
          <w:t>2.1  漏洞风险类别</w:t>
        </w:r>
        <w:r>
          <w:tab/>
        </w:r>
        <w:r>
          <w:fldChar w:fldCharType="begin"/>
        </w:r>
        <w:r>
          <w:instrText xml:space="preserve"> PAGEREF _Toc256000008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9" w:history="1">
        <w:r>
          <w:rPr>
            <w:rStyle w:val="Hyperlink"/>
            <w:rFonts w:hint="eastAsia"/>
          </w:rPr>
          <w:t>2.2  配置风险类别</w:t>
        </w:r>
        <w:r>
          <w:tab/>
        </w:r>
        <w:r>
          <w:fldChar w:fldCharType="begin"/>
        </w:r>
        <w:r>
          <w:instrText xml:space="preserve"> PAGEREF _Toc256000009 \h </w:instrText>
        </w:r>
        <w:r>
          <w:fldChar w:fldCharType="separate"/>
        </w:r>
        <w:r>
          <w:t>5</w:t>
        </w:r>
        <w:r>
          <w:fldChar w:fldCharType="end"/>
        </w:r>
      </w:hyperlink>
    </w:p>
    <w:p>
      <w:pPr>
        <w:pStyle w:val="TOC1"/>
        <w:tabs>
          <w:tab w:val="right" w:leader="dot" w:pos="8296"/>
        </w:tabs>
        <w:rPr>
          <w:rFonts w:asciiTheme="minorHAnsi" w:hAnsiTheme="minorHAnsi"/>
          <w:noProof/>
          <w:sz w:val="22"/>
        </w:rPr>
      </w:pPr>
      <w:hyperlink w:anchor="_Toc256000010" w:history="1">
        <w:r>
          <w:rPr>
            <w:rStyle w:val="Hyperlink"/>
            <w:rFonts w:hint="eastAsia"/>
          </w:rPr>
          <w:t>3  主机信息</w:t>
        </w:r>
        <w:r>
          <w:tab/>
        </w:r>
        <w:r>
          <w:fldChar w:fldCharType="begin"/>
        </w:r>
        <w:r>
          <w:instrText xml:space="preserve"> PAGEREF _Toc256000010 \h </w:instrText>
        </w:r>
        <w:r>
          <w:fldChar w:fldCharType="separate"/>
        </w:r>
        <w:r>
          <w:t>5</w:t>
        </w:r>
        <w:r>
          <w:fldChar w:fldCharType="end"/>
        </w:r>
      </w:hyperlink>
    </w:p>
    <w:p>
      <w:pPr>
        <w:pStyle w:val="TOC2"/>
        <w:tabs>
          <w:tab w:val="right" w:leader="dot" w:pos="8296"/>
        </w:tabs>
        <w:rPr>
          <w:rFonts w:asciiTheme="minorHAnsi" w:hAnsiTheme="minorHAnsi"/>
          <w:noProof/>
          <w:sz w:val="22"/>
        </w:rPr>
      </w:pPr>
      <w:hyperlink w:anchor="_Toc256000011" w:history="1">
        <w:r>
          <w:rPr>
            <w:rStyle w:val="Hyperlink"/>
            <w:rFonts w:hint="eastAsia"/>
          </w:rPr>
          <w:t>3.1  主机风险等级列表</w:t>
        </w:r>
        <w:r>
          <w:tab/>
        </w:r>
        <w:r>
          <w:fldChar w:fldCharType="begin"/>
        </w:r>
        <w:r>
          <w:instrText xml:space="preserve"> PAGEREF _Toc256000011 \h </w:instrText>
        </w:r>
        <w:r>
          <w:fldChar w:fldCharType="separate"/>
        </w:r>
        <w:r>
          <w:t>5</w:t>
        </w:r>
        <w:r>
          <w:fldChar w:fldCharType="end"/>
        </w:r>
      </w:hyperlink>
    </w:p>
    <w:p>
      <w:pPr>
        <w:pStyle w:val="TOC1"/>
        <w:tabs>
          <w:tab w:val="right" w:leader="dot" w:pos="8296"/>
        </w:tabs>
        <w:rPr>
          <w:rFonts w:asciiTheme="minorHAnsi" w:hAnsiTheme="minorHAnsi"/>
          <w:noProof/>
          <w:sz w:val="22"/>
        </w:rPr>
      </w:pPr>
      <w:hyperlink w:anchor="_Toc256000012" w:history="1">
        <w:r>
          <w:rPr>
            <w:rStyle w:val="Hyperlink"/>
            <w:rFonts w:hint="eastAsia"/>
          </w:rPr>
          <w:t>4  漏洞信息</w:t>
        </w:r>
        <w:r>
          <w:tab/>
        </w:r>
        <w:r>
          <w:fldChar w:fldCharType="begin"/>
        </w:r>
        <w:r>
          <w:instrText xml:space="preserve"> PAGEREF _Toc256000012 \h </w:instrText>
        </w:r>
        <w:r>
          <w:fldChar w:fldCharType="separate"/>
        </w:r>
        <w:r>
          <w:t>6</w:t>
        </w:r>
        <w:r>
          <w:fldChar w:fldCharType="end"/>
        </w:r>
      </w:hyperlink>
    </w:p>
    <w:p>
      <w:pPr>
        <w:pStyle w:val="TOC2"/>
        <w:tabs>
          <w:tab w:val="right" w:leader="dot" w:pos="8296"/>
        </w:tabs>
        <w:rPr>
          <w:rFonts w:asciiTheme="minorHAnsi" w:hAnsiTheme="minorHAnsi"/>
          <w:noProof/>
          <w:sz w:val="22"/>
        </w:rPr>
      </w:pPr>
      <w:hyperlink w:anchor="_Toc256000013" w:history="1">
        <w:r>
          <w:rPr>
            <w:rStyle w:val="Hyperlink"/>
            <w:rFonts w:hint="eastAsia"/>
          </w:rPr>
          <w:t>4.1  漏洞分布</w:t>
        </w:r>
        <w:r>
          <w:tab/>
        </w:r>
        <w:r>
          <w:fldChar w:fldCharType="begin"/>
        </w:r>
        <w:r>
          <w:instrText xml:space="preserve"> PAGEREF _Toc256000013 \h </w:instrText>
        </w:r>
        <w:r>
          <w:fldChar w:fldCharType="separate"/>
        </w:r>
        <w:r>
          <w:t>6</w:t>
        </w:r>
        <w:r>
          <w:fldChar w:fldCharType="end"/>
        </w:r>
      </w:hyperlink>
    </w:p>
    <w:p>
      <w:pPr>
        <w:pStyle w:val="TOC1"/>
        <w:tabs>
          <w:tab w:val="right" w:leader="dot" w:pos="8296"/>
        </w:tabs>
        <w:rPr>
          <w:rFonts w:asciiTheme="minorHAnsi" w:hAnsiTheme="minorHAnsi"/>
          <w:noProof/>
          <w:sz w:val="22"/>
        </w:rPr>
      </w:pPr>
      <w:hyperlink w:anchor="_Toc256000014" w:history="1">
        <w:r>
          <w:rPr>
            <w:rStyle w:val="Hyperlink"/>
            <w:rFonts w:hint="eastAsia"/>
          </w:rPr>
          <w:t>5  配置信息</w:t>
        </w:r>
        <w:r>
          <w:tab/>
        </w:r>
        <w:r>
          <w:fldChar w:fldCharType="begin"/>
        </w:r>
        <w:r>
          <w:instrText xml:space="preserve"> PAGEREF _Toc256000014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5" w:history="1">
        <w:r>
          <w:rPr>
            <w:rStyle w:val="Hyperlink"/>
            <w:rFonts w:hint="eastAsia"/>
          </w:rPr>
          <w:t>5.1  不合规配置信息</w:t>
        </w:r>
        <w:r>
          <w:tab/>
        </w:r>
        <w:r>
          <w:fldChar w:fldCharType="begin"/>
        </w:r>
        <w:r>
          <w:instrText xml:space="preserve"> PAGEREF _Toc256000015 \h </w:instrText>
        </w:r>
        <w:r>
          <w:fldChar w:fldCharType="separate"/>
        </w:r>
        <w:r>
          <w:t>8</w:t>
        </w:r>
        <w:r>
          <w:fldChar w:fldCharType="end"/>
        </w:r>
      </w:hyperlink>
    </w:p>
    <w:p>
      <w:pPr>
        <w:pStyle w:val="TOC1"/>
        <w:tabs>
          <w:tab w:val="right" w:leader="dot" w:pos="8296"/>
        </w:tabs>
        <w:rPr>
          <w:rFonts w:asciiTheme="minorHAnsi" w:hAnsiTheme="minorHAnsi"/>
          <w:noProof/>
          <w:sz w:val="22"/>
        </w:rPr>
      </w:pPr>
      <w:hyperlink w:anchor="_Toc256000016" w:history="1">
        <w:r>
          <w:rPr>
            <w:rStyle w:val="Hyperlink"/>
            <w:rFonts w:hint="eastAsia"/>
          </w:rPr>
          <w:t>6  脆弱帐号</w:t>
        </w:r>
        <w:r>
          <w:tab/>
        </w:r>
        <w:r>
          <w:fldChar w:fldCharType="begin"/>
        </w:r>
        <w:r>
          <w:instrText xml:space="preserve"> PAGEREF _Toc256000016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7" w:history="1">
        <w:r>
          <w:rPr>
            <w:rStyle w:val="Hyperlink"/>
            <w:rFonts w:hint="eastAsia"/>
          </w:rPr>
          <w:t>6.1  系统脆弱帐号</w:t>
        </w:r>
        <w:r>
          <w:tab/>
        </w:r>
        <w:r>
          <w:fldChar w:fldCharType="begin"/>
        </w:r>
        <w:r>
          <w:instrText xml:space="preserve"> PAGEREF _Toc256000017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8" w:history="1">
        <w:r>
          <w:rPr>
            <w:rStyle w:val="Hyperlink"/>
            <w:rFonts w:hint="eastAsia"/>
          </w:rPr>
          <w:t>6.2  应用程序脆弱帐号</w:t>
        </w:r>
        <w:r>
          <w:tab/>
        </w:r>
        <w:r>
          <w:fldChar w:fldCharType="begin"/>
        </w:r>
        <w:r>
          <w:instrText xml:space="preserve"> PAGEREF _Toc256000018 \h </w:instrText>
        </w:r>
        <w:r>
          <w:fldChar w:fldCharType="separate"/>
        </w:r>
        <w:r>
          <w:t>8</w:t>
        </w:r>
        <w:r>
          <w:fldChar w:fldCharType="end"/>
        </w:r>
      </w:hyperlink>
    </w:p>
    <w:p>
      <w:pPr>
        <w:pStyle w:val="TOC1"/>
        <w:tabs>
          <w:tab w:val="right" w:leader="dot" w:pos="8296"/>
        </w:tabs>
        <w:rPr>
          <w:rFonts w:asciiTheme="minorHAnsi" w:hAnsiTheme="minorHAnsi"/>
          <w:noProof/>
          <w:sz w:val="22"/>
        </w:rPr>
      </w:pPr>
      <w:hyperlink w:anchor="_Toc256000019" w:history="1">
        <w:r>
          <w:rPr>
            <w:rStyle w:val="Hyperlink"/>
            <w:rFonts w:hint="eastAsia"/>
          </w:rPr>
          <w:t>7  参考标准</w:t>
        </w:r>
        <w:r>
          <w:tab/>
        </w:r>
        <w:r>
          <w:fldChar w:fldCharType="begin"/>
        </w:r>
        <w:r>
          <w:instrText xml:space="preserve"> PAGEREF _Toc256000019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20" w:history="1">
        <w:r>
          <w:rPr>
            <w:rStyle w:val="Hyperlink"/>
            <w:rFonts w:hint="eastAsia"/>
          </w:rPr>
          <w:t>7.1  单一漏洞风险等级评定标准</w:t>
        </w:r>
        <w:r>
          <w:tab/>
        </w:r>
        <w:r>
          <w:fldChar w:fldCharType="begin"/>
        </w:r>
        <w:r>
          <w:instrText xml:space="preserve"> PAGEREF _Toc256000020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21" w:history="1">
        <w:r>
          <w:rPr>
            <w:rStyle w:val="Hyperlink"/>
            <w:rFonts w:hint="eastAsia"/>
          </w:rPr>
          <w:t>7.2  单一配置检查项风险等级评定标准</w:t>
        </w:r>
        <w:r>
          <w:tab/>
        </w:r>
        <w:r>
          <w:fldChar w:fldCharType="begin"/>
        </w:r>
        <w:r>
          <w:instrText xml:space="preserve"> PAGEREF _Toc256000021 \h </w:instrText>
        </w:r>
        <w:r>
          <w:fldChar w:fldCharType="separate"/>
        </w:r>
        <w:r>
          <w:t>9</w:t>
        </w:r>
        <w:r>
          <w:fldChar w:fldCharType="end"/>
        </w:r>
      </w:hyperlink>
    </w:p>
    <w:p>
      <w:pPr>
        <w:pStyle w:val="TOC2"/>
        <w:tabs>
          <w:tab w:val="right" w:leader="dot" w:pos="8296"/>
        </w:tabs>
        <w:rPr>
          <w:rFonts w:asciiTheme="minorHAnsi" w:hAnsiTheme="minorHAnsi"/>
          <w:noProof/>
          <w:sz w:val="22"/>
        </w:rPr>
      </w:pPr>
      <w:hyperlink w:anchor="_Toc256000022" w:history="1">
        <w:r>
          <w:rPr>
            <w:rStyle w:val="Hyperlink"/>
            <w:rFonts w:hint="eastAsia"/>
          </w:rPr>
          <w:t>7.3  主机风险等级评定标准</w:t>
        </w:r>
        <w:r>
          <w:tab/>
        </w:r>
        <w:r>
          <w:fldChar w:fldCharType="begin"/>
        </w:r>
        <w:r>
          <w:instrText xml:space="preserve"> PAGEREF _Toc256000022 \h </w:instrText>
        </w:r>
        <w:r>
          <w:fldChar w:fldCharType="separate"/>
        </w:r>
        <w:r>
          <w:t>9</w:t>
        </w:r>
        <w:r>
          <w:fldChar w:fldCharType="end"/>
        </w:r>
      </w:hyperlink>
    </w:p>
    <w:p>
      <w:pPr>
        <w:pStyle w:val="TOC2"/>
        <w:tabs>
          <w:tab w:val="right" w:leader="dot" w:pos="8296"/>
        </w:tabs>
        <w:rPr>
          <w:rFonts w:asciiTheme="minorHAnsi" w:hAnsiTheme="minorHAnsi"/>
          <w:noProof/>
          <w:sz w:val="22"/>
        </w:rPr>
      </w:pPr>
      <w:hyperlink w:anchor="_Toc256000023" w:history="1">
        <w:r>
          <w:rPr>
            <w:rStyle w:val="Hyperlink"/>
            <w:rFonts w:hint="eastAsia"/>
          </w:rPr>
          <w:t>7.4  网络风险等级评定标准</w:t>
        </w:r>
        <w:r>
          <w:tab/>
        </w:r>
        <w:r>
          <w:fldChar w:fldCharType="begin"/>
        </w:r>
        <w:r>
          <w:instrText xml:space="preserve"> PAGEREF _Toc256000023 \h </w:instrText>
        </w:r>
        <w:r>
          <w:fldChar w:fldCharType="separate"/>
        </w:r>
        <w:r>
          <w:t>10</w:t>
        </w:r>
        <w:r>
          <w:fldChar w:fldCharType="end"/>
        </w:r>
      </w:hyperlink>
    </w:p>
    <w:p>
      <w:pPr>
        <w:pStyle w:val="TOC2"/>
        <w:tabs>
          <w:tab w:val="right" w:leader="dot" w:pos="8296"/>
        </w:tabs>
        <w:rPr>
          <w:rFonts w:asciiTheme="minorHAnsi" w:hAnsiTheme="minorHAnsi"/>
          <w:noProof/>
          <w:sz w:val="22"/>
        </w:rPr>
      </w:pPr>
      <w:hyperlink w:anchor="_Toc256000024" w:history="1">
        <w:r>
          <w:rPr>
            <w:rStyle w:val="Hyperlink"/>
            <w:rFonts w:hint="eastAsia"/>
          </w:rPr>
          <w:t>7.5  安全建议</w:t>
        </w:r>
        <w:r>
          <w:tab/>
        </w:r>
        <w:r>
          <w:fldChar w:fldCharType="begin"/>
        </w:r>
        <w:r>
          <w:instrText xml:space="preserve"> PAGEREF _Toc256000024 \h </w:instrText>
        </w:r>
        <w:r>
          <w:fldChar w:fldCharType="separate"/>
        </w:r>
        <w:r>
          <w:t>10</w:t>
        </w:r>
        <w:r>
          <w:fldChar w:fldCharType="end"/>
        </w:r>
      </w:hyperlink>
    </w:p>
    <w:p>
      <w:pPr>
        <w:pageBreakBefore w:val="0"/>
        <w:kinsoku/>
        <w:wordWrap w:val="0"/>
        <w:overflowPunct/>
        <w:topLinePunct w:val="0"/>
        <w:autoSpaceDE/>
        <w:autoSpaceDN/>
        <w:bidi w:val="0"/>
        <w:adjustRightInd/>
        <w:snapToGrid/>
        <w:jc w:val="center"/>
        <w:textAlignment w:val="auto"/>
        <w:rPr>
          <w:rFonts w:hint="eastAsia"/>
          <w:lang w:val="en-US" w:eastAsia="zh-CN"/>
        </w:rPr>
        <w:sectPr>
          <w:headerReference w:type="default" r:id="rId7"/>
          <w:footerReference w:type="default" r:id="rId8"/>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decimal" w:start="1"/>
          <w:cols w:num="1" w:space="425"/>
          <w:docGrid w:type="lines" w:linePitch="312" w:charSpace="0"/>
        </w:sectPr>
      </w:pPr>
      <w:r>
        <w:rPr>
          <w:rFonts w:ascii="宋体" w:eastAsia="宋体" w:hAnsi="宋体" w:cs="宋体" w:hint="eastAsia"/>
          <w:b/>
          <w:bCs/>
          <w:sz w:val="2"/>
          <w:szCs w:val="2"/>
          <w:lang w:val="en-US" w:eastAsia="zh-CN"/>
        </w:rPr>
        <w:fldChar w:fldCharType="end"/>
      </w:r>
      <w:bookmarkEnd w:id="0"/>
      <w:r>
        <w:rPr>
          <w:rFonts w:ascii="宋体" w:eastAsia="宋体" w:hAnsi="宋体" w:cs="宋体" w:hint="eastAsia"/>
          <w:b/>
          <w:bCs/>
          <w:sz w:val="2"/>
          <w:szCs w:val="2"/>
          <w:lang w:val="en-US" w:eastAsia="zh-CN"/>
        </w:rPr>
        <w:br w:type="page"/>
      </w:r>
    </w:p>
    <w:p w14:paraId="3984B16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38BEBF1B">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 w:name="_Toc256000000"/>
      <w:r>
        <w:rPr>
          <w:rFonts w:hint="eastAsia"/>
          <w:lang w:val="en-US" w:eastAsia="zh-CN"/>
        </w:rPr>
        <w:t>1  综述信息</w:t>
      </w:r>
      <w:bookmarkEnd w:id="1"/>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none" w:sz="0" w:space="0" w:color="auto"/>
          <w:insideV w:val="none" w:sz="0" w:space="0" w:color="auto"/>
        </w:tblBorders>
        <w:tblCellMar>
          <w:top w:w="0" w:type="dxa"/>
          <w:left w:w="108" w:type="dxa"/>
          <w:bottom w:w="0" w:type="dxa"/>
          <w:right w:w="108" w:type="dxa"/>
        </w:tblCellMar>
      </w:tblPr>
      <w:tblGrid>
        <w:gridCol w:w="8522"/>
      </w:tblGrid>
      <w:tr w14:paraId="44C4583A">
        <w:tblPrEx>
          <w:tblW w:w="0" w:type="auto"/>
          <w:tblInd w:w="0" w:type="dxa"/>
          <w:tblBorders>
            <w:top w:val="single" w:sz="4" w:space="0" w:color="EBEEF2"/>
            <w:left w:val="single" w:sz="4" w:space="0" w:color="EBEEF2"/>
            <w:bottom w:val="single" w:sz="4" w:space="0" w:color="EBEEF2"/>
            <w:right w:val="single" w:sz="4" w:space="0" w:color="EBEEF2"/>
            <w:insideH w:val="none" w:sz="0" w:space="0" w:color="auto"/>
            <w:insideV w:val="none" w:sz="0" w:space="0" w:color="auto"/>
          </w:tblBorders>
          <w:tblCellMar>
            <w:top w:w="0" w:type="dxa"/>
            <w:left w:w="108" w:type="dxa"/>
            <w:bottom w:w="0" w:type="dxa"/>
            <w:right w:w="108" w:type="dxa"/>
          </w:tblCellMar>
        </w:tblPrEx>
        <w:trPr>
          <w:trHeight w:val="1600"/>
        </w:trPr>
        <w:tc>
          <w:tcPr>
            <w:tcBorders>
              <w:bottom w:val="single" w:sz="4" w:space="0" w:color="EBEEF2"/>
            </w:tcBorders>
            <w:shd w:val="clear" w:color="auto" w:fill="auto"/>
          </w:tcPr>
          <w:p w14:paraId="5F889462">
            <w:pPr>
              <w:pageBreakBefore w:val="0"/>
              <w:kinsoku/>
              <w:wordWrap w:val="0"/>
              <w:overflowPunct/>
              <w:topLinePunct w:val="0"/>
              <w:autoSpaceDE/>
              <w:autoSpaceDN/>
              <w:bidi w:val="0"/>
              <w:adjustRightInd/>
              <w:snapToGrid/>
              <w:spacing w:line="360" w:lineRule="auto"/>
              <w:ind w:firstLine="480"/>
              <w:textAlignment w:val="auto"/>
              <w:rPr>
                <w:rFonts w:ascii="宋体" w:hAnsi="宋体"/>
                <w:szCs w:val="21"/>
              </w:rPr>
            </w:pPr>
            <w:r>
              <w:rPr>
                <w:rFonts w:ascii="宋体" w:hAnsi="宋体"/>
                <w:szCs w:val="21"/>
              </w:rPr>
              <w:t>本次评估范围内的</w:t>
            </w:r>
            <w:r>
              <w:rPr>
                <w:rFonts w:ascii="宋体" w:hAnsi="宋体" w:hint="eastAsia"/>
                <w:b/>
                <w:bCs/>
                <w:szCs w:val="21"/>
                <w:lang w:val="en-US" w:eastAsia="zh-CN"/>
              </w:rPr>
              <w:t>1</w:t>
            </w:r>
            <w:r>
              <w:rPr>
                <w:rFonts w:ascii="宋体" w:hAnsi="宋体"/>
                <w:szCs w:val="21"/>
              </w:rPr>
              <w:t>台有效主机及设备都已扫描完毕，</w:t>
            </w:r>
            <w:r>
              <w:rPr>
                <w:rFonts w:ascii="宋体" w:hAnsi="宋体" w:hint="eastAsia"/>
                <w:b/>
                <w:bCs/>
                <w:szCs w:val="21"/>
                <w:lang w:val="en-US" w:eastAsia="zh-CN"/>
              </w:rPr>
              <w:t>网络安全漏洞扫描系统</w:t>
            </w:r>
            <w:r>
              <w:rPr>
                <w:rFonts w:ascii="宋体" w:hAnsi="宋体"/>
                <w:szCs w:val="21"/>
              </w:rPr>
              <w:t>从如下几个方面进行分类统计：</w:t>
            </w:r>
          </w:p>
          <w:p w14:paraId="6F747A0D">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主机风险等级列表</w:t>
            </w:r>
          </w:p>
          <w:p w14:paraId="0218E042">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主机分布信息</w:t>
            </w:r>
          </w:p>
          <w:p w14:paraId="3A71510A">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漏洞风险分类信息</w:t>
            </w:r>
          </w:p>
          <w:p w14:paraId="4DF89F8C">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配置风险分类信息</w:t>
            </w:r>
          </w:p>
          <w:p w14:paraId="76D558DA">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漏洞风险分布情况</w:t>
            </w:r>
          </w:p>
          <w:p w14:paraId="26D8DEE3">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配置信息合规情况</w:t>
            </w:r>
          </w:p>
          <w:p w14:paraId="4B837142">
            <w:pPr>
              <w:pageBreakBefore w:val="0"/>
              <w:widowControl/>
              <w:numPr>
                <w:ilvl w:val="0"/>
                <w:numId w:val="1"/>
              </w:numPr>
              <w:kinsoku/>
              <w:wordWrap w:val="0"/>
              <w:overflowPunct/>
              <w:topLinePunct w:val="0"/>
              <w:autoSpaceDE/>
              <w:autoSpaceDN/>
              <w:bidi w:val="0"/>
              <w:adjustRightInd/>
              <w:snapToGrid/>
              <w:spacing w:line="360" w:lineRule="auto"/>
              <w:textAlignment w:val="auto"/>
              <w:rPr>
                <w:rFonts w:ascii="宋体" w:hAnsi="宋体"/>
                <w:szCs w:val="21"/>
              </w:rPr>
            </w:pPr>
            <w:r>
              <w:rPr>
                <w:rFonts w:ascii="宋体" w:hAnsi="宋体" w:hint="eastAsia"/>
                <w:szCs w:val="21"/>
              </w:rPr>
              <w:t>脆弱的帐号口令列表</w:t>
            </w:r>
          </w:p>
          <w:p w14:paraId="0FA56AF0">
            <w:pPr>
              <w:pageBreakBefore w:val="0"/>
              <w:kinsoku/>
              <w:wordWrap w:val="0"/>
              <w:overflowPunct/>
              <w:topLinePunct w:val="0"/>
              <w:autoSpaceDE/>
              <w:autoSpaceDN/>
              <w:bidi w:val="0"/>
              <w:adjustRightInd/>
              <w:snapToGrid/>
              <w:spacing w:line="360" w:lineRule="auto"/>
              <w:ind w:firstLine="480"/>
              <w:textAlignment w:val="auto"/>
              <w:rPr>
                <w:rFonts w:ascii="宋体" w:hAnsi="宋体"/>
                <w:szCs w:val="21"/>
              </w:rPr>
            </w:pPr>
            <w:r>
              <w:rPr>
                <w:rFonts w:ascii="宋体" w:hAnsi="宋体" w:hint="eastAsia"/>
                <w:szCs w:val="21"/>
              </w:rPr>
              <w:t>网络的安全等级为</w:t>
            </w:r>
            <w:r>
              <w:drawing>
                <wp:inline>
                  <wp:extent cx="137160" cy="137160"/>
                  <wp:docPr id="1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rFonts w:ascii="宋体" w:hAnsi="宋体" w:hint="eastAsia"/>
                <w:b/>
                <w:bCs/>
                <w:color w:val="F9A825"/>
                <w:szCs w:val="21"/>
                <w:lang w:val="en-US" w:eastAsia="zh-CN"/>
              </w:rPr>
              <w:t>比较危险</w:t>
            </w:r>
            <w:r>
              <w:rPr>
                <w:rFonts w:ascii="宋体" w:hAnsi="宋体" w:hint="eastAsia"/>
                <w:szCs w:val="21"/>
              </w:rPr>
              <w:t>，</w:t>
            </w:r>
            <w:r>
              <w:rPr>
                <w:rFonts w:ascii="宋体" w:hAnsi="宋体"/>
                <w:szCs w:val="21"/>
              </w:rPr>
              <w:t>其中有</w:t>
            </w:r>
            <w:r>
              <w:rPr>
                <w:rFonts w:ascii="宋体" w:hAnsi="宋体" w:hint="eastAsia"/>
                <w:b/>
                <w:bCs/>
                <w:szCs w:val="21"/>
                <w:lang w:val="en-US" w:eastAsia="zh-CN"/>
              </w:rPr>
              <w:t>0</w:t>
            </w:r>
            <w:r>
              <w:rPr>
                <w:rFonts w:ascii="宋体" w:hAnsi="宋体"/>
                <w:szCs w:val="21"/>
              </w:rPr>
              <w:t>个设备的安全等级为非常危险。被评估网络的风险值为</w:t>
            </w:r>
            <w:r>
              <w:rPr>
                <w:rFonts w:ascii="宋体" w:hAnsi="宋体" w:hint="eastAsia"/>
                <w:b/>
                <w:bCs/>
                <w:szCs w:val="21"/>
                <w:lang w:val="en-US" w:eastAsia="zh-CN"/>
              </w:rPr>
              <w:t>5.0</w:t>
            </w:r>
            <w:r>
              <w:rPr>
                <w:rFonts w:ascii="宋体" w:hAnsi="宋体"/>
                <w:szCs w:val="21"/>
              </w:rPr>
              <w:t>。关于漏洞风险程度的分类规则以及主机风险分类规则，请参见《参考标准》。</w:t>
            </w:r>
          </w:p>
        </w:tc>
      </w:tr>
    </w:tbl>
    <w:p w14:paraId="16594693">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B6BBD92">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 w:name="_Toc256000001"/>
      <w:r>
        <w:rPr>
          <w:rFonts w:hint="eastAsia"/>
          <w:lang w:val="en-US" w:eastAsia="zh-CN"/>
        </w:rPr>
        <w:t>1.1  任务信息</w:t>
      </w:r>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48"/>
        <w:gridCol w:w="5574"/>
      </w:tblGrid>
      <w:tr w14:paraId="470197C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948" w:type="dxa"/>
            <w:shd w:val="clear" w:color="auto" w:fill="E7E6E6" w:themeFill="background2"/>
          </w:tcPr>
          <w:p w14:paraId="25A449E2">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任务名称</w:t>
            </w:r>
          </w:p>
        </w:tc>
        <w:tc>
          <w:tcPr>
            <w:tcW w:w="5574" w:type="dxa"/>
          </w:tcPr>
          <w:p w14:paraId="42B54ED7">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智慧食堂安全服务器</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网络风险值</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5.0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任务类型</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评估任务</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存活主机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1</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成功扫描主机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1</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失败扫描主机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未扫描主机</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开始时间</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2026-03-20 14:33:05</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结束时间</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2026-03-20 14:39:47</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系统版本信息</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V6.0R04F04SP10</w:t>
            </w:r>
          </w:p>
        </w:tc>
      </w:tr>
      <w:tr w14:paraId="470197CD">
        <w:tblPrEx>
          <w:tblW w:w="0" w:type="auto"/>
          <w:tblInd w:w="0" w:type="dxa"/>
          <w:tblCellMar>
            <w:top w:w="0" w:type="dxa"/>
            <w:left w:w="108" w:type="dxa"/>
            <w:bottom w:w="0" w:type="dxa"/>
            <w:right w:w="108" w:type="dxa"/>
          </w:tblCellMar>
        </w:tblPrEx>
        <w:tc>
          <w:tcPr>
            <w:tcW w:w="2948" w:type="dxa"/>
            <w:shd w:val="clear" w:color="auto" w:fill="E7E6E6" w:themeFill="background2"/>
          </w:tcPr>
          <w:p>
            <w:pPr>
              <w:pageBreakBefore w:val="0"/>
              <w:kinsoku/>
              <w:wordWrap w:val="0"/>
              <w:overflowPunct/>
              <w:topLinePunct w:val="0"/>
              <w:autoSpaceDE/>
              <w:autoSpaceDN/>
              <w:bidi w:val="0"/>
              <w:adjustRightInd/>
              <w:snapToGrid/>
              <w:spacing w:line="360" w:lineRule="auto"/>
              <w:textAlignment w:val="auto"/>
              <w:rPr>
                <w:rFonts w:hint="eastAsia"/>
                <w:b w:val="0"/>
                <w:bCs w:val="0"/>
                <w:vertAlign w:val="baseline"/>
                <w:lang w:val="en-US" w:eastAsia="zh-CN"/>
              </w:rPr>
            </w:pPr>
            <w:r>
              <w:rPr>
                <w:b w:val="0"/>
                <w:bCs w:val="0"/>
                <w:lang w:val="en-US" w:eastAsia="zh-CN"/>
              </w:rPr>
              <w:t>漏洞扫描检查模板</w:t>
            </w:r>
          </w:p>
        </w:tc>
        <w:tc>
          <w:tcPr>
            <w:tcW w:w="5574" w:type="dxa"/>
          </w:tcPr>
          <w:p>
            <w:pPr>
              <w:pageBreakBefore w:val="0"/>
              <w:kinsoku/>
              <w:wordWrap w:val="0"/>
              <w:overflowPunct/>
              <w:topLinePunct w:val="0"/>
              <w:autoSpaceDE/>
              <w:autoSpaceDN/>
              <w:bidi w:val="0"/>
              <w:adjustRightInd/>
              <w:snapToGrid/>
              <w:spacing w:line="360" w:lineRule="auto"/>
              <w:textAlignment w:val="auto"/>
              <w:rPr>
                <w:rFonts w:hint="default"/>
                <w:b w:val="0"/>
                <w:bCs w:val="0"/>
                <w:vertAlign w:val="baseline"/>
                <w:lang w:val="en-US" w:eastAsia="zh-CN"/>
              </w:rPr>
            </w:pPr>
            <w:r>
              <w:rPr>
                <w:rFonts w:hint="eastAsia"/>
                <w:b w:val="0"/>
                <w:bCs w:val="0"/>
                <w:vertAlign w:val="baseline"/>
                <w:lang w:val="en-US" w:eastAsia="zh-CN"/>
              </w:rPr>
              <w:t>自动匹配扫描</w:t>
            </w:r>
          </w:p>
        </w:tc>
      </w:tr>
    </w:tbl>
    <w:p w14:paraId="5EAB24E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6C76DEE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2EA5339">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3" w:name="_Toc256000002"/>
      <w:r>
        <w:rPr>
          <w:rFonts w:hint="eastAsia"/>
          <w:lang w:val="en-US" w:eastAsia="zh-CN"/>
        </w:rPr>
        <w:t>1.2  风险分布</w:t>
      </w:r>
      <w:bookmarkEnd w:id="3"/>
    </w:p>
    <w:p w14:paraId="78A44383">
      <w:pPr>
        <w:pStyle w:val="Heading3"/>
        <w:pageBreakBefore w:val="0"/>
        <w:kinsoku/>
        <w:wordWrap w:val="0"/>
        <w:overflowPunct/>
        <w:topLinePunct w:val="0"/>
        <w:autoSpaceDE/>
        <w:autoSpaceDN/>
        <w:bidi w:val="0"/>
        <w:adjustRightInd/>
        <w:snapToGrid/>
        <w:jc w:val="both"/>
        <w:textAlignment w:val="auto"/>
        <w:rPr>
          <w:rFonts w:hint="eastAsia"/>
          <w:lang w:val="en-US" w:eastAsia="zh-CN"/>
        </w:rPr>
      </w:pPr>
      <w:bookmarkStart w:id="4" w:name="_Toc256000003"/>
      <w:r>
        <w:rPr>
          <w:rFonts w:hint="eastAsia"/>
          <w:lang w:val="en-US" w:eastAsia="zh-CN"/>
        </w:rPr>
        <w:t>1.2.1  主机风险分布</w:t>
      </w:r>
      <w:bookmarkEnd w:id="4"/>
    </w:p>
    <w:p w14:paraId="0926CA04">
      <w:pPr>
        <w:pageBreakBefore w:val="0"/>
        <w:kinsoku/>
        <w:wordWrap w:val="0"/>
        <w:overflowPunct/>
        <w:topLinePunct w:val="0"/>
        <w:autoSpaceDE/>
        <w:autoSpaceDN/>
        <w:bidi w:val="0"/>
        <w:adjustRightInd/>
        <w:snapToGrid/>
        <w:spacing w:line="360" w:lineRule="auto"/>
        <w:jc w:val="center"/>
        <w:textAlignment w:val="auto"/>
        <w:rPr>
          <w:rFonts w:hint="eastAsia"/>
          <w:b/>
          <w:bCs/>
          <w:lang w:val="en-US" w:eastAsia="zh-CN"/>
        </w:rPr>
      </w:pPr>
      <w:bookmarkStart w:id="5" w:name="主机风险等级分布"/>
      <w:r>
        <w:rPr>
          <w:rFonts w:hint="eastAsia"/>
          <w:b/>
          <w:bCs/>
          <w:lang w:val="en-US" w:eastAsia="zh-CN"/>
        </w:rPr>
        <w:drawing>
          <wp:inline>
            <wp:extent cx="4445000" cy="3175000"/>
            <wp:docPr id="10003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5"/>
    </w:p>
    <w:p w14:paraId="028093C4">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C978489">
      <w:pPr>
        <w:pStyle w:val="Heading3"/>
        <w:pageBreakBefore w:val="0"/>
        <w:kinsoku/>
        <w:wordWrap w:val="0"/>
        <w:overflowPunct/>
        <w:topLinePunct w:val="0"/>
        <w:autoSpaceDE/>
        <w:autoSpaceDN/>
        <w:bidi w:val="0"/>
        <w:adjustRightInd/>
        <w:snapToGrid/>
        <w:jc w:val="both"/>
        <w:textAlignment w:val="auto"/>
        <w:rPr>
          <w:rFonts w:hint="eastAsia"/>
          <w:lang w:val="en-US" w:eastAsia="zh-CN"/>
        </w:rPr>
      </w:pPr>
      <w:bookmarkStart w:id="6" w:name="_Toc256000004"/>
      <w:r>
        <w:rPr>
          <w:rFonts w:hint="eastAsia"/>
          <w:lang w:val="en-US" w:eastAsia="zh-CN"/>
        </w:rPr>
        <w:t>1.2.2  漏洞风险分布</w:t>
      </w:r>
      <w:bookmarkEnd w:id="6"/>
    </w:p>
    <w:p w14:paraId="46F281FA">
      <w:pPr>
        <w:pageBreakBefore w:val="0"/>
        <w:kinsoku/>
        <w:wordWrap w:val="0"/>
        <w:overflowPunct/>
        <w:topLinePunct w:val="0"/>
        <w:autoSpaceDE/>
        <w:autoSpaceDN/>
        <w:bidi w:val="0"/>
        <w:adjustRightInd/>
        <w:snapToGrid/>
        <w:spacing w:line="360" w:lineRule="auto"/>
        <w:jc w:val="center"/>
        <w:textAlignment w:val="auto"/>
        <w:rPr>
          <w:rFonts w:hint="default"/>
          <w:b/>
          <w:bCs/>
          <w:lang w:val="en-US" w:eastAsia="zh-CN"/>
        </w:rPr>
      </w:pPr>
      <w:bookmarkStart w:id="7" w:name="漏洞高中低风险分布"/>
      <w:r>
        <w:rPr>
          <w:rFonts w:hint="default"/>
          <w:b/>
          <w:bCs/>
          <w:lang w:val="en-US" w:eastAsia="zh-CN"/>
        </w:rPr>
        <w:drawing>
          <wp:inline>
            <wp:extent cx="4445000" cy="3175000"/>
            <wp:docPr id="100040"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7"/>
    </w:p>
    <w:p w14:paraId="1D1CEC3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EA0B41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550FCDD4">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8" w:name="_Toc256000005"/>
      <w:r>
        <w:rPr>
          <w:rFonts w:hint="eastAsia"/>
          <w:lang w:val="en-US" w:eastAsia="zh-CN"/>
        </w:rPr>
        <w:t>1.3  资产综述</w:t>
      </w:r>
      <w:bookmarkEnd w:id="8"/>
    </w:p>
    <w:p w14:paraId="6CD8FBFD">
      <w:pPr>
        <w:pStyle w:val="Heading3"/>
        <w:pageBreakBefore w:val="0"/>
        <w:kinsoku/>
        <w:wordWrap w:val="0"/>
        <w:overflowPunct/>
        <w:topLinePunct w:val="0"/>
        <w:autoSpaceDE/>
        <w:autoSpaceDN/>
        <w:bidi w:val="0"/>
        <w:adjustRightInd/>
        <w:snapToGrid/>
        <w:jc w:val="left"/>
        <w:textAlignment w:val="auto"/>
        <w:rPr>
          <w:rFonts w:hint="eastAsia"/>
          <w:sz w:val="28"/>
          <w:szCs w:val="28"/>
          <w:lang w:val="en-US" w:eastAsia="zh-CN"/>
        </w:rPr>
      </w:pPr>
      <w:bookmarkStart w:id="9" w:name="_Toc256000006"/>
      <w:r>
        <w:rPr>
          <w:rFonts w:hint="eastAsia"/>
          <w:sz w:val="28"/>
          <w:szCs w:val="28"/>
          <w:lang w:val="en-US" w:eastAsia="zh-CN"/>
        </w:rPr>
        <w:t>1.3.1 操作系统</w:t>
      </w:r>
      <w:bookmarkEnd w:id="9"/>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40"/>
        <w:gridCol w:w="2841"/>
        <w:gridCol w:w="2841"/>
      </w:tblGrid>
      <w:tr w14:paraId="287930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40" w:type="dxa"/>
            <w:shd w:val="clear" w:color="auto" w:fill="EDEDED" w:themeFill="accent3" w:themeFillTint="32"/>
          </w:tcPr>
          <w:p w14:paraId="63DFAA3A">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操作系统</w:t>
            </w:r>
          </w:p>
        </w:tc>
        <w:tc>
          <w:tcPr>
            <w:tcW w:w="2841" w:type="dxa"/>
            <w:shd w:val="clear" w:color="auto" w:fill="EDEDED" w:themeFill="accent3" w:themeFillTint="32"/>
          </w:tcPr>
          <w:p w14:paraId="33CE0C0A">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主机数量</w:t>
            </w:r>
          </w:p>
        </w:tc>
        <w:tc>
          <w:tcPr>
            <w:tcW w:w="2841" w:type="dxa"/>
            <w:shd w:val="clear" w:color="auto" w:fill="EDEDED" w:themeFill="accent3" w:themeFillTint="32"/>
          </w:tcPr>
          <w:p w14:paraId="3EC2B55D">
            <w:pPr>
              <w:pageBreakBefore w:val="0"/>
              <w:kinsoku/>
              <w:wordWrap w:val="0"/>
              <w:overflowPunct/>
              <w:topLinePunct w:val="0"/>
              <w:autoSpaceDE/>
              <w:autoSpaceDN/>
              <w:bidi w:val="0"/>
              <w:adjustRightInd/>
              <w:snapToGrid/>
              <w:spacing w:line="360" w:lineRule="auto"/>
              <w:jc w:val="center"/>
              <w:textAlignment w:val="auto"/>
              <w:rPr>
                <w:rFonts w:hint="default"/>
                <w:b/>
                <w:bCs/>
                <w:vertAlign w:val="baseline"/>
                <w:lang w:val="en-US" w:eastAsia="zh-CN"/>
              </w:rPr>
            </w:pPr>
            <w:r>
              <w:rPr>
                <w:rFonts w:hint="eastAsia"/>
                <w:b/>
                <w:bCs/>
                <w:vertAlign w:val="baseline"/>
                <w:lang w:val="en-US" w:eastAsia="zh-CN"/>
              </w:rPr>
              <w:t>比率</w:t>
            </w:r>
          </w:p>
        </w:tc>
      </w:tr>
      <w:tr w14:paraId="3D049A9B">
        <w:tblPrEx>
          <w:tblW w:w="0" w:type="auto"/>
          <w:tblInd w:w="0" w:type="dxa"/>
          <w:tblCellMar>
            <w:top w:w="0" w:type="dxa"/>
            <w:left w:w="108" w:type="dxa"/>
            <w:bottom w:w="0" w:type="dxa"/>
            <w:right w:w="108" w:type="dxa"/>
          </w:tblCellMar>
        </w:tblPrEx>
        <w:tc>
          <w:tcPr>
            <w:tcW w:w="2840" w:type="dxa"/>
            <w:vAlign w:val="top"/>
          </w:tcPr>
          <w:p w14:paraId="3B6788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Others</w:t>
            </w:r>
          </w:p>
        </w:tc>
        <w:tc>
          <w:tcPr>
            <w:tcW w:w="2841" w:type="dxa"/>
            <w:vAlign w:val="top"/>
          </w:tcPr>
          <w:p w14:paraId="1B80F1E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1</w:t>
            </w:r>
          </w:p>
        </w:tc>
        <w:tc>
          <w:tcPr>
            <w:tcW w:w="2841" w:type="dxa"/>
            <w:vAlign w:val="top"/>
          </w:tcPr>
          <w:p w14:paraId="1E67D68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b w:val="0"/>
                <w:bCs w:val="0"/>
                <w:lang w:val="en-US" w:eastAsia="zh-CN"/>
              </w:rPr>
              <w:t>100%</w:t>
            </w:r>
          </w:p>
        </w:tc>
      </w:tr>
      <w:tr w14:paraId="5591DDCE">
        <w:tblPrEx>
          <w:tblW w:w="0" w:type="auto"/>
          <w:tblInd w:w="0" w:type="dxa"/>
          <w:tblCellMar>
            <w:top w:w="0" w:type="dxa"/>
            <w:left w:w="108" w:type="dxa"/>
            <w:bottom w:w="0" w:type="dxa"/>
            <w:right w:w="108" w:type="dxa"/>
          </w:tblCellMar>
        </w:tblPrEx>
        <w:tc>
          <w:tcPr>
            <w:tcW w:w="2840" w:type="dxa"/>
            <w:vAlign w:val="top"/>
          </w:tcPr>
          <w:p w14:paraId="6CC3B5B6">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合计</w:t>
            </w:r>
          </w:p>
        </w:tc>
        <w:tc>
          <w:tcPr>
            <w:tcW w:w="2841" w:type="dxa"/>
            <w:vAlign w:val="top"/>
          </w:tcPr>
          <w:p w14:paraId="107016E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1</w:t>
            </w:r>
          </w:p>
        </w:tc>
        <w:tc>
          <w:tcPr>
            <w:tcW w:w="2841" w:type="dxa"/>
            <w:vAlign w:val="top"/>
          </w:tcPr>
          <w:p w14:paraId="08D979C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kern w:val="2"/>
                <w:sz w:val="21"/>
                <w:szCs w:val="24"/>
                <w:lang w:val="en-US" w:eastAsia="zh-CN" w:bidi="ar-SA"/>
              </w:rPr>
            </w:pPr>
            <w:r>
              <w:rPr>
                <w:rFonts w:hint="eastAsia"/>
                <w:b/>
                <w:lang w:val="en-US" w:eastAsia="zh-CN"/>
              </w:rPr>
              <w:t>100%</w:t>
            </w:r>
          </w:p>
        </w:tc>
      </w:tr>
    </w:tbl>
    <w:p w14:paraId="55584AF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BCD8F9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27F7CEC2">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37B259A">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0" w:name="_Toc256000007"/>
      <w:r>
        <w:rPr>
          <w:rFonts w:hint="eastAsia"/>
          <w:lang w:val="en-US" w:eastAsia="zh-CN"/>
        </w:rPr>
        <w:t>2  风险类别</w:t>
      </w:r>
      <w:bookmarkEnd w:id="10"/>
    </w:p>
    <w:p w14:paraId="6CB7B526">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11" w:name="_Toc256000008"/>
      <w:r>
        <w:rPr>
          <w:rFonts w:hint="eastAsia"/>
          <w:lang w:val="en-US" w:eastAsia="zh-CN"/>
        </w:rPr>
        <w:t>2.1  漏洞风险类别</w:t>
      </w:r>
      <w:bookmarkEnd w:id="11"/>
    </w:p>
    <w:p w14:paraId="10BE2549">
      <w:pPr>
        <w:pageBreakBefore w:val="0"/>
        <w:kinsoku/>
        <w:wordWrap w:val="0"/>
        <w:overflowPunct/>
        <w:topLinePunct w:val="0"/>
        <w:autoSpaceDE/>
        <w:autoSpaceDN/>
        <w:bidi w:val="0"/>
        <w:adjustRightInd/>
        <w:snapToGrid/>
        <w:spacing w:line="360" w:lineRule="auto"/>
        <w:textAlignment w:val="auto"/>
        <w:rPr>
          <w:rFonts w:hint="eastAsia"/>
          <w:lang w:val="en-US" w:eastAsia="zh-CN"/>
        </w:rPr>
      </w:pPr>
      <w:r>
        <w:rPr>
          <w:rFonts w:ascii="宋体" w:eastAsia="宋体" w:hAnsi="宋体" w:cs="宋体" w:hint="eastAsia"/>
          <w:b/>
          <w:bCs/>
          <w:sz w:val="24"/>
          <w:szCs w:val="24"/>
          <w:lang w:val="en-US" w:eastAsia="zh-CN"/>
        </w:rPr>
        <w:t>服务分类</w:t>
      </w: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1057"/>
        <w:gridCol w:w="1815"/>
        <w:gridCol w:w="2041"/>
        <w:gridCol w:w="1760"/>
        <w:gridCol w:w="1849"/>
      </w:tblGrid>
      <w:tr w14:paraId="765B4202">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BB6807F">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eastAsia"/>
                <w:b/>
                <w:szCs w:val="21"/>
                <w:lang w:eastAsia="zh-CN"/>
              </w:rPr>
            </w:pPr>
            <w:r>
              <w:rPr>
                <w:rFonts w:ascii="宋体" w:hAnsi="宋体" w:hint="eastAsia"/>
                <w:b/>
                <w:szCs w:val="21"/>
                <w:lang w:val="en-US" w:eastAsia="zh-CN"/>
              </w:rPr>
              <w:t>服务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3E45195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F3046B5">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73F520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BD3CE59">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B8482F">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SSL/TLS</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ACB554">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2BC2A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B3EE3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8</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39D6EC">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9</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3</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3</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WWW</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2</w:t>
            </w:r>
          </w:p>
        </w:tc>
      </w:tr>
      <w:tr w14:paraId="575F27F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CGI</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21EC089C">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CE94BF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CBE2DA5">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654C3B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93CD63F">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756AB14">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5FEA22CC">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3FC5214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val="0"/>
          <w:sz w:val="24"/>
          <w:szCs w:val="24"/>
          <w:lang w:val="en-US" w:eastAsia="zh-CN"/>
        </w:rPr>
      </w:pPr>
      <w:r>
        <w:rPr>
          <w:rFonts w:ascii="宋体" w:eastAsia="宋体" w:hAnsi="宋体" w:cs="宋体" w:hint="eastAsia"/>
          <w:b/>
          <w:bCs/>
          <w:vanish w:val="0"/>
          <w:sz w:val="24"/>
          <w:szCs w:val="24"/>
          <w:lang w:val="en-US" w:eastAsia="zh-CN"/>
        </w:rPr>
        <w:t>应用分类</w:t>
      </w:r>
    </w:p>
    <w:p w14:paraId="2C8C086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1057"/>
        <w:gridCol w:w="1815"/>
        <w:gridCol w:w="2041"/>
        <w:gridCol w:w="1760"/>
        <w:gridCol w:w="1849"/>
      </w:tblGrid>
      <w:tr w14:paraId="67441D64">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rPr>
          <w:hidden/>
        </w:trPr>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488BF97">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应用</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1E95C59">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高风险</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04E5FA2">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中风险</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3F49E83">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低风险</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2E8C329">
            <w:pPr>
              <w:pageBreakBefore w:val="0"/>
              <w:kinsoku/>
              <w:wordWrap w:val="0"/>
              <w:overflowPunct/>
              <w:topLinePunct w:val="0"/>
              <w:autoSpaceDE/>
              <w:autoSpaceDN/>
              <w:bidi w:val="0"/>
              <w:adjustRightInd/>
              <w:snapToGrid/>
              <w:spacing w:line="360" w:lineRule="auto"/>
              <w:jc w:val="center"/>
              <w:textAlignment w:val="auto"/>
              <w:rPr>
                <w:rFonts w:ascii="宋体" w:hAnsi="宋体"/>
                <w:b/>
                <w:vanish w:val="0"/>
                <w:szCs w:val="21"/>
              </w:rPr>
            </w:pPr>
            <w:r>
              <w:rPr>
                <w:rFonts w:ascii="宋体" w:hAnsi="宋体" w:hint="eastAsia"/>
                <w:b/>
                <w:vanish w:val="0"/>
                <w:szCs w:val="21"/>
              </w:rPr>
              <w:t>合计</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E74DA3">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SSL</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59D09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AF8D3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425876">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5</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E9B875">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6</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6</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6</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04WebServer</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3</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3</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OpenSSH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0E283EAD">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SSH</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00A23CB3">
        <w:tblPrEx>
          <w:tblW w:w="0" w:type="auto"/>
          <w:tblInd w:w="0" w:type="dxa"/>
          <w:tblLayout w:type="fixed"/>
          <w:tblCellMar>
            <w:top w:w="0" w:type="dxa"/>
            <w:left w:w="108" w:type="dxa"/>
            <w:bottom w:w="0" w:type="dxa"/>
            <w:right w:w="108" w:type="dxa"/>
          </w:tblCellMar>
        </w:tblPrEx>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3EB350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FE3C39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53118AE">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7974CD0">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7831F5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0260CEF9">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00D5EC55">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系统分类</w:t>
      </w:r>
    </w:p>
    <w:p w14:paraId="7B570DDD">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2AFEB9B2">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CEE2C95">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系统</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3AB943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A5A514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A29940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8CAE354">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01AF57D">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2B534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系统无关</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6E1CBD">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0C7C47">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41DDE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90E8EE">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17</w:t>
            </w:r>
          </w:p>
        </w:tc>
      </w:tr>
      <w:tr w14:paraId="368D1E1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77F7F2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FC628B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05468E1">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A5A7AD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BC76429">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51CC70D5">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2587FF5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威胁分类</w:t>
      </w:r>
    </w:p>
    <w:p w14:paraId="33E68589">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6259D39F">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9FF4CD0">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威胁</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F14DFF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66BFBAE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B38DB0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20F63E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40C934A">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E9187D5">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远程信息泄露</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26561E">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C2BDC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E8AF59">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10</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B2046D">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11</w:t>
            </w:r>
          </w:p>
        </w:tc>
      </w:tr>
      <w:tr w14:paraId="640C934A">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6</w:t>
            </w:r>
          </w:p>
        </w:tc>
      </w:tr>
      <w:tr w14:paraId="5385093E">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9FC38A2">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723744B6">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4F40478">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76309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F31DF0C">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261B42F4">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23D2D36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时间分类</w:t>
      </w:r>
    </w:p>
    <w:p w14:paraId="68B850A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0CD8DB66">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60F25FE">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时间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7B05F2C">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5CDCBBD">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573E332">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17506B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6A807A">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2009年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CECB54">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5306DB">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CDB1D5">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DD83438">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1999年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5</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5</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2001年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4</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4</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2024年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4</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4</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2000年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2016年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CD6DF44">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2022年</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E1F578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B86A2A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F1511D8">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E2BA09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ED3E44E">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58A5F7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6827A570">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p w14:paraId="728B3EC6">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sz w:val="24"/>
          <w:szCs w:val="24"/>
          <w:lang w:val="en-US" w:eastAsia="zh-CN"/>
        </w:rPr>
      </w:pPr>
      <w:r>
        <w:rPr>
          <w:rFonts w:ascii="宋体" w:eastAsia="宋体" w:hAnsi="宋体" w:cs="宋体" w:hint="eastAsia"/>
          <w:b/>
          <w:bCs/>
          <w:sz w:val="24"/>
          <w:szCs w:val="24"/>
          <w:lang w:val="en-US" w:eastAsia="zh-CN"/>
        </w:rPr>
        <w:t>CVE年份分类</w:t>
      </w:r>
    </w:p>
    <w:p w14:paraId="17778B21">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b/>
          <w:bCs/>
          <w:vanish/>
          <w:sz w:val="24"/>
          <w:szCs w:val="24"/>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738"/>
        <w:gridCol w:w="1408"/>
        <w:gridCol w:w="1274"/>
        <w:gridCol w:w="1129"/>
        <w:gridCol w:w="973"/>
      </w:tblGrid>
      <w:tr w14:paraId="280B61FE">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4B64DB6">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CVE年份</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2E8C063">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高风险</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5148FF3">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中风险</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345C3017">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低风险</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A452524">
            <w:pPr>
              <w:pageBreakBefore w:val="0"/>
              <w:kinsoku/>
              <w:wordWrap w:val="0"/>
              <w:overflowPunct/>
              <w:topLinePunct w:val="0"/>
              <w:autoSpaceDE/>
              <w:autoSpaceDN/>
              <w:bidi w:val="0"/>
              <w:adjustRightInd/>
              <w:snapToGrid/>
              <w:spacing w:line="360" w:lineRule="auto"/>
              <w:jc w:val="center"/>
              <w:textAlignment w:val="auto"/>
              <w:rPr>
                <w:rFonts w:ascii="宋体" w:hAnsi="宋体"/>
                <w:b/>
                <w:szCs w:val="21"/>
              </w:rPr>
            </w:pPr>
            <w:r>
              <w:rPr>
                <w:rFonts w:ascii="宋体" w:hAnsi="宋体" w:hint="eastAsia"/>
                <w:b/>
                <w:szCs w:val="21"/>
              </w:rPr>
              <w:t>合计</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6A4FD">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CVE-2004</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9D9061">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144626">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2D6F7E">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0FD5A2">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其他</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15</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15</w:t>
            </w:r>
          </w:p>
        </w:tc>
      </w:tr>
      <w:tr w14:paraId="60898361">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CVE-1999</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0</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b w:val="0"/>
                <w:bCs w:val="0"/>
                <w:lang w:val="en-US" w:eastAsia="zh-CN"/>
              </w:rPr>
              <w:t>1</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jc w:val="center"/>
              <w:textAlignment w:val="auto"/>
              <w:rPr>
                <w:rFonts w:ascii="宋体" w:hAnsi="宋体" w:eastAsiaTheme="minorEastAsia" w:hint="default"/>
                <w:b/>
                <w:szCs w:val="21"/>
                <w:lang w:val="en-US" w:eastAsia="zh-CN"/>
              </w:rPr>
            </w:pPr>
            <w:r>
              <w:rPr>
                <w:b w:val="0"/>
                <w:bCs w:val="0"/>
                <w:lang w:val="en-US" w:eastAsia="zh-CN"/>
              </w:rPr>
              <w:t>1</w:t>
            </w:r>
          </w:p>
        </w:tc>
      </w:tr>
      <w:tr w14:paraId="32E039C2">
        <w:tblPrEx>
          <w:tblW w:w="0" w:type="auto"/>
          <w:tblInd w:w="0" w:type="dxa"/>
          <w:tblCellMar>
            <w:top w:w="0" w:type="dxa"/>
            <w:left w:w="108" w:type="dxa"/>
            <w:bottom w:w="0" w:type="dxa"/>
            <w:right w:w="108" w:type="dxa"/>
          </w:tblCellMar>
        </w:tblPrEx>
        <w:tc>
          <w:tcPr>
            <w:tcW w:w="3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53935B24">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lang w:val="en-US" w:eastAsia="zh-CN" w:bidi="ar-SA"/>
              </w:rPr>
            </w:pPr>
            <w:r>
              <w:rPr>
                <w:rFonts w:ascii="宋体" w:hAnsi="宋体" w:hint="eastAsia"/>
                <w:b/>
                <w:szCs w:val="21"/>
                <w:lang w:val="en-US" w:eastAsia="zh-CN"/>
              </w:rPr>
              <w:t>合计</w:t>
            </w:r>
          </w:p>
        </w:tc>
        <w:tc>
          <w:tcPr>
            <w:tcW w:w="14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1844793B">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bCs/>
                <w:kern w:val="2"/>
                <w:sz w:val="21"/>
                <w:szCs w:val="24"/>
                <w:lang w:val="en-US" w:eastAsia="zh-CN" w:bidi="ar-SA"/>
              </w:rPr>
            </w:pPr>
            <w:r>
              <w:rPr>
                <w:rFonts w:cstheme="minorBidi" w:hint="eastAsia"/>
                <w:b/>
                <w:bCs/>
                <w:kern w:val="2"/>
                <w:sz w:val="21"/>
                <w:szCs w:val="24"/>
                <w:lang w:val="en-US" w:eastAsia="zh-CN" w:bidi="ar-SA"/>
              </w:rPr>
              <w:t>0</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471BE4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38D70FE7">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16</w:t>
            </w:r>
          </w:p>
        </w:tc>
        <w:tc>
          <w:tcPr>
            <w:tcW w:w="9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4EC3892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b/>
                <w:bCs/>
                <w:kern w:val="2"/>
                <w:sz w:val="21"/>
                <w:szCs w:val="24"/>
                <w:lang w:val="en-US" w:eastAsia="zh-CN" w:bidi="ar-SA"/>
              </w:rPr>
            </w:pPr>
            <w:r>
              <w:rPr>
                <w:rFonts w:cstheme="minorBidi" w:hint="eastAsia"/>
                <w:b/>
                <w:bCs/>
                <w:kern w:val="2"/>
                <w:sz w:val="21"/>
                <w:szCs w:val="24"/>
                <w:lang w:val="en-US" w:eastAsia="zh-CN" w:bidi="ar-SA"/>
              </w:rPr>
              <w:t>17</w:t>
            </w:r>
          </w:p>
        </w:tc>
      </w:tr>
    </w:tbl>
    <w:p w14:paraId="2ED32F3C">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5D2ABDB">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6E076D1">
      <w:pPr>
        <w:pStyle w:val="Heading2"/>
        <w:pageBreakBefore w:val="0"/>
        <w:kinsoku/>
        <w:wordWrap w:val="0"/>
        <w:overflowPunct/>
        <w:topLinePunct w:val="0"/>
        <w:autoSpaceDE/>
        <w:autoSpaceDN/>
        <w:bidi w:val="0"/>
        <w:adjustRightInd/>
        <w:snapToGrid/>
        <w:jc w:val="left"/>
        <w:textAlignment w:val="auto"/>
        <w:rPr>
          <w:rFonts w:hint="eastAsia"/>
          <w:lang w:val="en-US" w:eastAsia="zh-CN"/>
        </w:rPr>
      </w:pPr>
      <w:bookmarkStart w:id="12" w:name="_Toc256000009"/>
      <w:r>
        <w:rPr>
          <w:rFonts w:hint="eastAsia"/>
          <w:lang w:val="en-US" w:eastAsia="zh-CN"/>
        </w:rPr>
        <w:t>2.2  配置风险类别</w:t>
      </w:r>
      <w:bookmarkEnd w:id="12"/>
    </w:p>
    <w:p w14:paraId="5E04B319">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41A37B2">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3" w:name="_Toc256000010"/>
      <w:r>
        <w:rPr>
          <w:rFonts w:hint="eastAsia"/>
          <w:lang w:val="en-US" w:eastAsia="zh-CN"/>
        </w:rPr>
        <w:t>3  主机信息</w:t>
      </w:r>
      <w:bookmarkEnd w:id="13"/>
    </w:p>
    <w:p w14:paraId="28FEB069">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ED56EFA">
      <w:pPr>
        <w:pStyle w:val="Heading2"/>
        <w:pageBreakBefore w:val="0"/>
        <w:kinsoku/>
        <w:wordWrap w:val="0"/>
        <w:overflowPunct/>
        <w:topLinePunct w:val="0"/>
        <w:autoSpaceDE/>
        <w:autoSpaceDN/>
        <w:bidi w:val="0"/>
        <w:adjustRightInd/>
        <w:snapToGrid/>
        <w:spacing w:line="360" w:lineRule="auto"/>
        <w:jc w:val="left"/>
        <w:textAlignment w:val="auto"/>
        <w:rPr>
          <w:rFonts w:hint="eastAsia"/>
          <w:vanish w:val="0"/>
          <w:lang w:val="en-US" w:eastAsia="zh-CN"/>
        </w:rPr>
      </w:pPr>
      <w:bookmarkStart w:id="14" w:name="_Toc256000011"/>
      <w:r>
        <w:rPr>
          <w:rFonts w:hint="eastAsia"/>
          <w:vanish w:val="0"/>
          <w:lang w:val="en-US" w:eastAsia="zh-CN"/>
        </w:rPr>
        <w:t>3.1  主机风险等级列表</w:t>
      </w:r>
      <w:bookmarkEnd w:id="14"/>
    </w:p>
    <w:p w14:paraId="4860CDD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3663C5F2">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08"/>
        <w:gridCol w:w="1375"/>
        <w:gridCol w:w="1692"/>
        <w:gridCol w:w="471"/>
        <w:gridCol w:w="404"/>
        <w:gridCol w:w="433"/>
        <w:gridCol w:w="798"/>
        <w:gridCol w:w="769"/>
        <w:gridCol w:w="872"/>
      </w:tblGrid>
      <w:tr w14:paraId="28C37379">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708" w:type="dxa"/>
            <w:shd w:val="clear" w:color="auto" w:fill="F1F1F3"/>
          </w:tcPr>
          <w:p w14:paraId="789394FD">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IP地址</w:t>
            </w:r>
          </w:p>
        </w:tc>
        <w:tc>
          <w:tcPr>
            <w:tcW w:w="1375" w:type="dxa"/>
            <w:shd w:val="clear" w:color="auto" w:fill="F1F1F3"/>
          </w:tcPr>
          <w:p w14:paraId="71C95A72">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主机名</w:t>
            </w:r>
          </w:p>
        </w:tc>
        <w:tc>
          <w:tcPr>
            <w:tcW w:w="1692" w:type="dxa"/>
            <w:shd w:val="clear" w:color="auto" w:fill="F1F1F3"/>
          </w:tcPr>
          <w:p w14:paraId="02594440">
            <w:pPr>
              <w:pageBreakBefore w:val="0"/>
              <w:kinsoku/>
              <w:wordWrap w:val="0"/>
              <w:overflowPunct/>
              <w:topLinePunct w:val="0"/>
              <w:autoSpaceDE/>
              <w:autoSpaceDN/>
              <w:bidi w:val="0"/>
              <w:adjustRightInd/>
              <w:snapToGrid/>
              <w:spacing w:line="360" w:lineRule="auto"/>
              <w:jc w:val="center"/>
              <w:textAlignment w:val="auto"/>
              <w:rPr>
                <w:rFonts w:hint="eastAsia"/>
                <w:vanish w:val="0"/>
                <w:vertAlign w:val="baseline"/>
                <w:lang w:val="en-US" w:eastAsia="zh-CN"/>
              </w:rPr>
            </w:pPr>
            <w:r>
              <w:rPr>
                <w:rFonts w:ascii="宋体" w:eastAsia="宋体" w:hAnsi="宋体" w:cs="宋体" w:hint="eastAsia"/>
                <w:b/>
                <w:vanish w:val="0"/>
                <w:sz w:val="18"/>
                <w:szCs w:val="18"/>
              </w:rPr>
              <w:t>操作系统</w:t>
            </w:r>
          </w:p>
        </w:tc>
        <w:tc>
          <w:tcPr>
            <w:tcW w:w="471" w:type="dxa"/>
            <w:shd w:val="clear" w:color="auto" w:fill="F1F1F3"/>
          </w:tcPr>
          <w:p w14:paraId="71F71063">
            <w:pPr>
              <w:pageBreakBefore w:val="0"/>
              <w:kinsoku/>
              <w:wordWrap w:val="0"/>
              <w:overflowPunct/>
              <w:topLinePunct w:val="0"/>
              <w:autoSpaceDE/>
              <w:autoSpaceDN/>
              <w:bidi w:val="0"/>
              <w:adjustRightInd/>
              <w:snapToGrid/>
              <w:spacing w:line="360" w:lineRule="auto"/>
              <w:jc w:val="center"/>
              <w:textAlignment w:val="auto"/>
              <w:rPr>
                <w:rFonts w:eastAsia="宋体" w:hint="eastAsia"/>
                <w:vanish w:val="0"/>
                <w:vertAlign w:val="baseline"/>
                <w:lang w:val="en-US" w:eastAsia="zh-CN"/>
              </w:rPr>
            </w:pPr>
            <w:r>
              <w:rPr>
                <w:rFonts w:ascii="宋体" w:eastAsia="宋体" w:hAnsi="宋体" w:cs="宋体" w:hint="eastAsia"/>
                <w:b/>
                <w:vanish w:val="0"/>
                <w:sz w:val="18"/>
                <w:szCs w:val="18"/>
                <w:lang w:val="en-US" w:eastAsia="zh-CN"/>
              </w:rPr>
              <w:t>高</w:t>
            </w:r>
          </w:p>
        </w:tc>
        <w:tc>
          <w:tcPr>
            <w:tcW w:w="404" w:type="dxa"/>
            <w:shd w:val="clear" w:color="auto" w:fill="F1F1F3"/>
          </w:tcPr>
          <w:p w14:paraId="5322A23E">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中</w:t>
            </w:r>
          </w:p>
        </w:tc>
        <w:tc>
          <w:tcPr>
            <w:tcW w:w="433" w:type="dxa"/>
            <w:shd w:val="clear" w:color="auto" w:fill="F1F1F3"/>
          </w:tcPr>
          <w:p w14:paraId="0BFEBE02">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低</w:t>
            </w:r>
          </w:p>
        </w:tc>
        <w:tc>
          <w:tcPr>
            <w:tcW w:w="798" w:type="dxa"/>
            <w:shd w:val="clear" w:color="auto" w:fill="F1F1F3"/>
          </w:tcPr>
          <w:p w14:paraId="27AB4B41">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已验证</w:t>
            </w:r>
          </w:p>
        </w:tc>
        <w:tc>
          <w:tcPr>
            <w:tcW w:w="769" w:type="dxa"/>
            <w:shd w:val="clear" w:color="auto" w:fill="F1F1F3"/>
          </w:tcPr>
          <w:p w14:paraId="0EB4A5DF">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未验证</w:t>
            </w:r>
          </w:p>
        </w:tc>
        <w:tc>
          <w:tcPr>
            <w:tcW w:w="872" w:type="dxa"/>
            <w:shd w:val="clear" w:color="auto" w:fill="F1F1F3"/>
          </w:tcPr>
          <w:p w14:paraId="59BD47E2">
            <w:pPr>
              <w:pageBreakBefore w:val="0"/>
              <w:kinsoku/>
              <w:wordWrap w:val="0"/>
              <w:overflowPunct/>
              <w:topLinePunct w:val="0"/>
              <w:autoSpaceDE/>
              <w:autoSpaceDN/>
              <w:bidi w:val="0"/>
              <w:adjustRightInd/>
              <w:snapToGrid/>
              <w:spacing w:line="360" w:lineRule="auto"/>
              <w:jc w:val="center"/>
              <w:textAlignment w:val="auto"/>
              <w:rPr>
                <w:rFonts w:hint="default"/>
                <w:vanish w:val="0"/>
                <w:vertAlign w:val="baseline"/>
                <w:lang w:val="en-US" w:eastAsia="zh-CN"/>
              </w:rPr>
            </w:pPr>
            <w:r>
              <w:rPr>
                <w:rFonts w:ascii="宋体" w:eastAsia="宋体" w:hAnsi="宋体" w:cs="宋体" w:hint="eastAsia"/>
                <w:b/>
                <w:vanish w:val="0"/>
                <w:sz w:val="18"/>
                <w:szCs w:val="18"/>
                <w:lang w:val="en-US" w:eastAsia="zh-CN"/>
              </w:rPr>
              <w:t>主机风险值</w:t>
            </w:r>
          </w:p>
        </w:tc>
      </w:tr>
      <w:tr w14:paraId="24A9F2D7">
        <w:tblPrEx>
          <w:tblW w:w="0" w:type="auto"/>
          <w:tblInd w:w="0" w:type="dxa"/>
          <w:tblLayout w:type="fixed"/>
          <w:tblCellMar>
            <w:top w:w="0" w:type="dxa"/>
            <w:left w:w="108" w:type="dxa"/>
            <w:bottom w:w="0" w:type="dxa"/>
            <w:right w:w="108" w:type="dxa"/>
          </w:tblCellMar>
        </w:tblPrEx>
        <w:trPr>
          <w:hidden/>
        </w:trPr>
        <w:tc>
          <w:tcPr>
            <w:tcW w:w="1708" w:type="dxa"/>
          </w:tcPr>
          <w:p w14:paraId="0DF35DBD">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drawing>
                <wp:inline>
                  <wp:extent cx="137160" cy="137160"/>
                  <wp:docPr id="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t>112.126.63.206</w:t>
            </w:r>
          </w:p>
        </w:tc>
        <w:tc>
          <w:tcPr>
            <w:tcW w:w="1375" w:type="dxa"/>
          </w:tcPr>
          <w:p w14:paraId="43BA0052">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p>
        </w:tc>
        <w:tc>
          <w:tcPr>
            <w:tcW w:w="1692" w:type="dxa"/>
          </w:tcPr>
          <w:p w14:paraId="441ED411">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p>
        </w:tc>
        <w:tc>
          <w:tcPr>
            <w:tcW w:w="471" w:type="dxa"/>
          </w:tcPr>
          <w:p w14:paraId="17EC4E60">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0</w:t>
            </w:r>
          </w:p>
        </w:tc>
        <w:tc>
          <w:tcPr>
            <w:tcW w:w="404" w:type="dxa"/>
          </w:tcPr>
          <w:p w14:paraId="10DDB0AE">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1</w:t>
            </w:r>
          </w:p>
        </w:tc>
        <w:tc>
          <w:tcPr>
            <w:tcW w:w="433" w:type="dxa"/>
          </w:tcPr>
          <w:p w14:paraId="6BAF9A33">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23</w:t>
            </w:r>
          </w:p>
        </w:tc>
        <w:tc>
          <w:tcPr>
            <w:tcW w:w="798" w:type="dxa"/>
          </w:tcPr>
          <w:p w14:paraId="4758964D">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0</w:t>
            </w:r>
          </w:p>
        </w:tc>
        <w:tc>
          <w:tcPr>
            <w:tcW w:w="769" w:type="dxa"/>
          </w:tcPr>
          <w:p w14:paraId="391770BF">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8</w:t>
            </w:r>
          </w:p>
        </w:tc>
        <w:tc>
          <w:tcPr>
            <w:tcW w:w="872" w:type="dxa"/>
          </w:tcPr>
          <w:p w14:paraId="44E476C6">
            <w:pPr>
              <w:pageBreakBefore w:val="0"/>
              <w:kinsoku/>
              <w:wordWrap w:val="0"/>
              <w:overflowPunct/>
              <w:topLinePunct w:val="0"/>
              <w:autoSpaceDE/>
              <w:autoSpaceDN/>
              <w:bidi w:val="0"/>
              <w:adjustRightInd/>
              <w:snapToGrid/>
              <w:spacing w:line="360" w:lineRule="auto"/>
              <w:textAlignment w:val="auto"/>
              <w:rPr>
                <w:rFonts w:hint="eastAsia"/>
                <w:vanish w:val="0"/>
                <w:vertAlign w:val="baseline"/>
                <w:lang w:val="en-US" w:eastAsia="zh-CN"/>
              </w:rPr>
            </w:pPr>
            <w:r>
              <w:rPr>
                <w:rFonts w:ascii="宋体" w:eastAsia="宋体" w:hAnsi="宋体" w:cs="宋体" w:hint="eastAsia"/>
                <w:b w:val="0"/>
                <w:bCs w:val="0"/>
                <w:vanish w:val="0"/>
                <w:sz w:val="18"/>
                <w:szCs w:val="18"/>
                <w:lang w:val="en-US" w:eastAsia="zh-CN"/>
              </w:rPr>
              <w:t>5.0</w:t>
            </w:r>
          </w:p>
        </w:tc>
      </w:tr>
    </w:tbl>
    <w:p w14:paraId="05E24CE0">
      <w:pPr>
        <w:wordWrap w:val="0"/>
        <w:rPr>
          <w:rFonts w:asciiTheme="minorAscii" w:eastAsiaTheme="minorEastAsia" w:hAnsiTheme="minorAscii" w:hint="default"/>
          <w:vanish/>
          <w:sz w:val="21"/>
        </w:rPr>
      </w:pPr>
    </w:p>
    <w:p w14:paraId="66201169">
      <w:pPr>
        <w:pageBreakBefore w:val="0"/>
        <w:kinsoku/>
        <w:wordWrap w:val="0"/>
        <w:overflowPunct/>
        <w:topLinePunct w:val="0"/>
        <w:autoSpaceDE/>
        <w:autoSpaceDN/>
        <w:bidi w:val="0"/>
        <w:adjustRightInd/>
        <w:snapToGrid/>
        <w:spacing w:line="360" w:lineRule="auto"/>
        <w:textAlignment w:val="auto"/>
        <w:rPr>
          <w:rFonts w:eastAsiaTheme="minorEastAsia" w:hint="eastAsia"/>
          <w:vanish/>
          <w:sz w:val="21"/>
          <w:lang w:val="en-US" w:eastAsia="zh-CN"/>
        </w:rPr>
      </w:pPr>
    </w:p>
    <w:p w14:paraId="6FD242A7">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6E55149">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17D2CE1">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2EB1694">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95DD82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16386D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AA13197">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5" w:name="_Toc256000012"/>
      <w:r>
        <w:rPr>
          <w:rFonts w:hint="eastAsia"/>
          <w:vanish w:val="0"/>
          <w:lang w:val="en-US" w:eastAsia="zh-CN"/>
        </w:rPr>
        <w:t>4  漏洞信息</w:t>
      </w:r>
      <w:bookmarkEnd w:id="15"/>
    </w:p>
    <w:p w14:paraId="2DC8206C">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16" w:name="_Toc256000013"/>
      <w:r>
        <w:rPr>
          <w:rFonts w:hint="eastAsia"/>
          <w:lang w:val="en-US" w:eastAsia="zh-CN"/>
        </w:rPr>
        <w:t>4.1  漏洞分布</w:t>
      </w:r>
      <w:bookmarkEnd w:id="16"/>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69"/>
        <w:gridCol w:w="3156"/>
        <w:gridCol w:w="1368"/>
        <w:gridCol w:w="1275"/>
        <w:gridCol w:w="1554"/>
      </w:tblGrid>
      <w:tr w14:paraId="32613D5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169" w:type="dxa"/>
            <w:shd w:val="clear" w:color="auto" w:fill="F1F1F3"/>
            <w:vAlign w:val="top"/>
          </w:tcPr>
          <w:p w14:paraId="193CF4A7">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序号</w:t>
            </w:r>
          </w:p>
        </w:tc>
        <w:tc>
          <w:tcPr>
            <w:tcW w:w="3156" w:type="dxa"/>
            <w:shd w:val="clear" w:color="auto" w:fill="F1F1F3"/>
            <w:vAlign w:val="top"/>
          </w:tcPr>
          <w:p w14:paraId="7D283E42">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漏洞名称</w:t>
            </w:r>
          </w:p>
        </w:tc>
        <w:tc>
          <w:tcPr>
            <w:tcW w:w="1368" w:type="dxa"/>
            <w:shd w:val="clear" w:color="auto" w:fill="F1F1F3"/>
            <w:vAlign w:val="top"/>
          </w:tcPr>
          <w:p w14:paraId="7358194C">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影响主机个数</w:t>
            </w:r>
          </w:p>
        </w:tc>
        <w:tc>
          <w:tcPr>
            <w:tcW w:w="1275" w:type="dxa"/>
            <w:shd w:val="clear" w:color="auto" w:fill="F1F1F3"/>
            <w:vAlign w:val="top"/>
          </w:tcPr>
          <w:p w14:paraId="5DEF0E7A">
            <w:pPr>
              <w:pageBreakBefore w:val="0"/>
              <w:kinsoku/>
              <w:wordWrap w:val="0"/>
              <w:overflowPunct/>
              <w:topLinePunct w:val="0"/>
              <w:autoSpaceDE/>
              <w:autoSpaceDN/>
              <w:bidi w:val="0"/>
              <w:adjustRightInd/>
              <w:snapToGrid/>
              <w:spacing w:line="360" w:lineRule="auto"/>
              <w:jc w:val="center"/>
              <w:textAlignment w:val="auto"/>
              <w:rPr>
                <w:rFonts w:eastAsiaTheme="minorEastAsia" w:hint="default"/>
                <w:vertAlign w:val="baseline"/>
                <w:lang w:val="en-US" w:eastAsia="zh-CN"/>
              </w:rPr>
            </w:pPr>
            <w:r>
              <w:rPr>
                <w:rFonts w:ascii="宋体" w:hAnsi="宋体" w:hint="eastAsia"/>
                <w:b/>
                <w:szCs w:val="21"/>
                <w:lang w:val="en-US" w:eastAsia="zh-CN"/>
              </w:rPr>
              <w:t>影响主机百分比</w:t>
            </w:r>
          </w:p>
        </w:tc>
        <w:tc>
          <w:tcPr>
            <w:tcW w:w="1554" w:type="dxa"/>
            <w:shd w:val="clear" w:color="auto" w:fill="F1F1F3"/>
            <w:vAlign w:val="top"/>
          </w:tcPr>
          <w:p w14:paraId="32D4CE07">
            <w:pPr>
              <w:pageBreakBefore w:val="0"/>
              <w:kinsoku/>
              <w:wordWrap w:val="0"/>
              <w:overflowPunct/>
              <w:topLinePunct w:val="0"/>
              <w:autoSpaceDE/>
              <w:autoSpaceDN/>
              <w:bidi w:val="0"/>
              <w:adjustRightInd/>
              <w:snapToGrid/>
              <w:spacing w:line="360" w:lineRule="auto"/>
              <w:jc w:val="center"/>
              <w:textAlignment w:val="auto"/>
              <w:rPr>
                <w:rFonts w:eastAsiaTheme="minorEastAsia" w:hint="eastAsia"/>
                <w:vertAlign w:val="baseline"/>
                <w:lang w:val="en-US" w:eastAsia="zh-CN"/>
              </w:rPr>
            </w:pPr>
            <w:r>
              <w:rPr>
                <w:rFonts w:ascii="宋体" w:hAnsi="宋体" w:hint="eastAsia"/>
                <w:b/>
                <w:szCs w:val="21"/>
                <w:lang w:val="en-US" w:eastAsia="zh-CN"/>
              </w:rPr>
              <w:t>出现次数</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14:paraId="392927E0">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w:t>
            </w:r>
          </w:p>
        </w:tc>
        <w:tc>
          <w:tcPr>
            <w:tcW w:w="3156" w:type="dxa"/>
            <w:shd w:val="clear" w:color="auto" w:fill="FFFFFF" w:themeFill="background1"/>
            <w:vAlign w:val="center"/>
          </w:tcPr>
          <w:p w14:paraId="6B435C40">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color w:val="F9A825"/>
              </w:rPr>
              <w:t>目标主机支持RSA密钥交换【原理扫描】</w:t>
            </w:r>
          </w:p>
        </w:tc>
        <w:tc>
          <w:tcPr>
            <w:tcW w:w="1368" w:type="dxa"/>
            <w:shd w:val="clear" w:color="auto" w:fill="FFFFFF" w:themeFill="background1"/>
            <w:vAlign w:val="center"/>
          </w:tcPr>
          <w:p w14:paraId="386EFD8D">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14:paraId="07B0AF5F">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14:paraId="5D61D793">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2</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使用了自签名证书【原理扫描】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3</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SSL 证书无法受到信任【原理扫描】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4</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SSL 证书链不完整【原理扫描】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5</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允许Traceroute探测</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6</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TLS 1.3 版协议检测【原理扫描】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7</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远端WEB服务器上存在/robots.txt文件【原理扫描】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8</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检测到目标主机加密通信支持的SSL加密算法【原理扫描】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9</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探测到服务器支持的SSL加密协议【原理扫描】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10</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可通过HTTP(S)获取远端WWW服务信息</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3</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11</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远端HSTS服务运行中</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12</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SSH版本信息可被获取</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13</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可通过HTTPS获取远端WWW服务信息</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14</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获取目标SSL证书过期时间【原理扫描】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15</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获取SSL 证书中的hostname【原理扫描】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16</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TLS 1.2 版协议检测【原理扫描】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w:t>
            </w:r>
          </w:p>
        </w:tc>
      </w:tr>
      <w:tr w14:paraId="23E4B01B">
        <w:tblPrEx>
          <w:tblW w:w="0" w:type="auto"/>
          <w:tblInd w:w="0" w:type="dxa"/>
          <w:tblLayout w:type="fixed"/>
          <w:tblCellMar>
            <w:top w:w="0" w:type="dxa"/>
            <w:left w:w="108" w:type="dxa"/>
            <w:bottom w:w="0" w:type="dxa"/>
            <w:right w:w="108" w:type="dxa"/>
          </w:tblCellMar>
        </w:tblPrEx>
        <w:trPr>
          <w:trHeight w:val="901"/>
        </w:trPr>
        <w:tc>
          <w:tcPr>
            <w:tcW w:w="1169" w:type="dxa"/>
            <w:shd w:val="clear" w:color="auto" w:fill="F1F1F3"/>
            <w:vAlign w:val="center"/>
          </w:tcPr>
          <w:p>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i/>
                <w:iCs/>
                <w:szCs w:val="21"/>
              </w:rPr>
            </w:pPr>
            <w:r>
              <w:rPr>
                <w:rFonts w:hint="eastAsia"/>
                <w:b/>
                <w:bCs/>
                <w:vertAlign w:val="baseline"/>
                <w:lang w:val="en-US" w:eastAsia="zh-CN"/>
              </w:rPr>
              <w:t>17</w:t>
            </w:r>
          </w:p>
        </w:tc>
        <w:tc>
          <w:tcPr>
            <w:tcW w:w="3156"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left"/>
              <w:textAlignment w:val="auto"/>
              <w:rPr>
                <w:rFonts w:asciiTheme="minorHAnsi" w:eastAsiaTheme="minorEastAsia" w:hAnsiTheme="minorHAnsi" w:cstheme="minorBidi" w:hint="eastAsia"/>
                <w:b w:val="0"/>
                <w:bCs w:val="0"/>
                <w:kern w:val="2"/>
                <w:sz w:val="21"/>
                <w:szCs w:val="24"/>
                <w:vertAlign w:val="baseline"/>
                <w:lang w:val="en-US" w:eastAsia="zh-CN" w:bidi="ar-SA"/>
              </w:rPr>
            </w:pPr>
            <w:r>
              <w:drawing>
                <wp:inline>
                  <wp:extent cx="137160" cy="137160"/>
                  <wp:docPr id="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757575"/>
              </w:rPr>
              <w:t>探测到SSH服务器支持的算法【原理扫描】</w:t>
            </w:r>
          </w:p>
        </w:tc>
        <w:tc>
          <w:tcPr>
            <w:tcW w:w="1368"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default"/>
                <w:b w:val="0"/>
                <w:bCs w:val="0"/>
                <w:kern w:val="2"/>
                <w:sz w:val="21"/>
                <w:szCs w:val="24"/>
                <w:vertAlign w:val="baseline"/>
                <w:lang w:val="en-US" w:eastAsia="zh-CN" w:bidi="ar-SA"/>
              </w:rPr>
            </w:pPr>
            <w:r>
              <w:rPr>
                <w:rFonts w:hint="eastAsia"/>
                <w:b w:val="0"/>
                <w:bCs w:val="0"/>
                <w:vertAlign w:val="baseline"/>
                <w:lang w:val="en-US" w:eastAsia="zh-CN"/>
              </w:rPr>
              <w:t>1/1</w:t>
            </w:r>
          </w:p>
        </w:tc>
        <w:tc>
          <w:tcPr>
            <w:tcW w:w="1275"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100%</w:t>
            </w:r>
          </w:p>
        </w:tc>
        <w:tc>
          <w:tcPr>
            <w:tcW w:w="1554" w:type="dxa"/>
            <w:shd w:val="clear" w:color="auto" w:fill="FFFFFF" w:themeFill="background1"/>
            <w:vAlign w:val="center"/>
          </w:tcPr>
          <w:p>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1</w:t>
            </w:r>
          </w:p>
        </w:tc>
      </w:tr>
      <w:tr w14:paraId="1A66B69F">
        <w:tblPrEx>
          <w:tblW w:w="0" w:type="auto"/>
          <w:tblInd w:w="0" w:type="dxa"/>
          <w:tblLayout w:type="fixed"/>
          <w:tblCellMar>
            <w:top w:w="0" w:type="dxa"/>
            <w:left w:w="108" w:type="dxa"/>
            <w:bottom w:w="0" w:type="dxa"/>
            <w:right w:w="108" w:type="dxa"/>
          </w:tblCellMar>
        </w:tblPrEx>
        <w:tc>
          <w:tcPr>
            <w:tcW w:w="6968" w:type="dxa"/>
            <w:gridSpan w:val="4"/>
            <w:shd w:val="clear" w:color="auto" w:fill="FFFFFF" w:themeFill="background1"/>
            <w:vAlign w:val="top"/>
          </w:tcPr>
          <w:p w14:paraId="2076086C">
            <w:pPr>
              <w:pageBreakBefore w:val="0"/>
              <w:kinsoku/>
              <w:wordWrap w:val="0"/>
              <w:overflowPunct/>
              <w:topLinePunct w:val="0"/>
              <w:autoSpaceDE/>
              <w:autoSpaceDN/>
              <w:bidi w:val="0"/>
              <w:adjustRightInd/>
              <w:snapToGrid/>
              <w:spacing w:line="360" w:lineRule="auto"/>
              <w:jc w:val="center"/>
              <w:textAlignment w:val="auto"/>
              <w:rPr>
                <w:rFonts w:ascii="宋体" w:hAnsi="宋体" w:hint="eastAsia"/>
                <w:b/>
                <w:szCs w:val="21"/>
              </w:rPr>
            </w:pPr>
            <w:r>
              <w:rPr>
                <w:rFonts w:hint="eastAsia"/>
                <w:b/>
                <w:bCs/>
                <w:vertAlign w:val="baseline"/>
                <w:lang w:val="en-US" w:eastAsia="zh-CN"/>
              </w:rPr>
              <w:t>合计</w:t>
            </w:r>
          </w:p>
        </w:tc>
        <w:tc>
          <w:tcPr>
            <w:tcW w:w="1554" w:type="dxa"/>
            <w:shd w:val="clear" w:color="auto" w:fill="FFFFFF" w:themeFill="background1"/>
            <w:vAlign w:val="center"/>
          </w:tcPr>
          <w:p w14:paraId="1BF57889">
            <w:pPr>
              <w:pageBreakBefore w:val="0"/>
              <w:kinsoku/>
              <w:wordWrap w:val="0"/>
              <w:overflowPunct/>
              <w:topLinePunct w:val="0"/>
              <w:autoSpaceDE/>
              <w:autoSpaceDN/>
              <w:bidi w:val="0"/>
              <w:adjustRightInd/>
              <w:snapToGrid/>
              <w:spacing w:line="360" w:lineRule="auto"/>
              <w:jc w:val="center"/>
              <w:textAlignment w:val="auto"/>
              <w:rPr>
                <w:rFonts w:asciiTheme="minorHAnsi" w:eastAsiaTheme="minorEastAsia" w:hAnsiTheme="minorHAnsi" w:cstheme="minorBidi" w:hint="eastAsia"/>
                <w:b w:val="0"/>
                <w:bCs w:val="0"/>
                <w:kern w:val="2"/>
                <w:sz w:val="21"/>
                <w:szCs w:val="24"/>
                <w:vertAlign w:val="baseline"/>
                <w:lang w:val="en-US" w:eastAsia="zh-CN" w:bidi="ar-SA"/>
              </w:rPr>
            </w:pPr>
            <w:r>
              <w:rPr>
                <w:rFonts w:hint="eastAsia"/>
                <w:b w:val="0"/>
                <w:bCs w:val="0"/>
                <w:vertAlign w:val="baseline"/>
                <w:lang w:val="en-US" w:eastAsia="zh-CN"/>
              </w:rPr>
              <w:t>24</w:t>
            </w:r>
          </w:p>
        </w:tc>
      </w:tr>
    </w:tbl>
    <w:p w14:paraId="6B394E48">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9A5FF28">
      <w:pPr>
        <w:pStyle w:val="Heading1"/>
        <w:pageBreakBefore w:val="0"/>
        <w:kinsoku/>
        <w:wordWrap w:val="0"/>
        <w:overflowPunct/>
        <w:topLinePunct w:val="0"/>
        <w:autoSpaceDE/>
        <w:autoSpaceDN/>
        <w:bidi w:val="0"/>
        <w:adjustRightInd/>
        <w:snapToGrid/>
        <w:spacing w:line="360" w:lineRule="auto"/>
        <w:textAlignment w:val="auto"/>
        <w:rPr>
          <w:rFonts w:hint="eastAsia"/>
          <w:vanish w:val="0"/>
          <w:lang w:val="en-US" w:eastAsia="zh-CN"/>
        </w:rPr>
      </w:pPr>
      <w:bookmarkStart w:id="17" w:name="_Toc256000014"/>
      <w:r>
        <w:rPr>
          <w:rFonts w:hint="eastAsia"/>
          <w:vanish w:val="0"/>
          <w:lang w:val="en-US" w:eastAsia="zh-CN"/>
        </w:rPr>
        <w:t>5  配置信息</w:t>
      </w:r>
      <w:bookmarkEnd w:id="17"/>
    </w:p>
    <w:p w14:paraId="660DCB1E">
      <w:pPr>
        <w:pStyle w:val="Heading2"/>
        <w:pageBreakBefore w:val="0"/>
        <w:kinsoku/>
        <w:wordWrap w:val="0"/>
        <w:overflowPunct/>
        <w:topLinePunct w:val="0"/>
        <w:autoSpaceDE/>
        <w:autoSpaceDN/>
        <w:bidi w:val="0"/>
        <w:adjustRightInd/>
        <w:snapToGrid/>
        <w:spacing w:line="360" w:lineRule="auto"/>
        <w:jc w:val="left"/>
        <w:textAlignment w:val="auto"/>
        <w:rPr>
          <w:rFonts w:hint="eastAsia"/>
          <w:vanish w:val="0"/>
          <w:lang w:val="en-US" w:eastAsia="zh-CN"/>
        </w:rPr>
      </w:pPr>
      <w:bookmarkStart w:id="18" w:name="_Toc256000015"/>
      <w:r>
        <w:rPr>
          <w:rFonts w:hint="eastAsia"/>
          <w:vanish w:val="0"/>
          <w:lang w:val="en-US" w:eastAsia="zh-CN"/>
        </w:rPr>
        <w:t>5.1  不合规配置信息</w:t>
      </w:r>
      <w:bookmarkEnd w:id="18"/>
    </w:p>
    <w:p w14:paraId="15DC91EF">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99F3177">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51E4D3F1">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44B2FDCB">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pPr>
        <w:pStyle w:val="BodyText"/>
        <w:pageBreakBefore w:val="0"/>
        <w:kinsoku/>
        <w:wordWrap w:val="0"/>
        <w:overflowPunct/>
        <w:topLinePunct w:val="0"/>
        <w:autoSpaceDE/>
        <w:autoSpaceDN/>
        <w:bidi w:val="0"/>
        <w:adjustRightInd/>
        <w:snapToGrid/>
        <w:textAlignment w:val="auto"/>
        <w:rPr>
          <w:rFonts w:asciiTheme="minorAscii" w:eastAsiaTheme="minorEastAsia" w:hAnsiTheme="minorAscii" w:hint="default"/>
          <w:b w:val="0"/>
          <w:bCs w:val="0"/>
          <w:vanish/>
          <w:sz w:val="21"/>
          <w:vertAlign w:val="baseline"/>
          <w:lang w:val="en-US" w:eastAsia="zh-CN"/>
        </w:rPr>
      </w:pPr>
    </w:p>
    <w:p w14:paraId="64562E45">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b w:val="0"/>
          <w:bCs w:val="0"/>
          <w:vanish/>
          <w:sz w:val="21"/>
          <w:vertAlign w:val="baseline"/>
          <w:lang w:val="en-US" w:eastAsia="zh-CN"/>
        </w:rPr>
      </w:pPr>
    </w:p>
    <w:p w14:paraId="6C6A1E9A">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8B714A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A1E9921">
      <w:pPr>
        <w:pStyle w:val="Heading1"/>
        <w:pageBreakBefore w:val="0"/>
        <w:kinsoku/>
        <w:wordWrap w:val="0"/>
        <w:overflowPunct/>
        <w:topLinePunct w:val="0"/>
        <w:autoSpaceDE/>
        <w:autoSpaceDN/>
        <w:bidi w:val="0"/>
        <w:adjustRightInd/>
        <w:snapToGrid/>
        <w:spacing w:line="360" w:lineRule="auto"/>
        <w:textAlignment w:val="auto"/>
        <w:rPr>
          <w:rFonts w:hint="eastAsia"/>
          <w:lang w:val="en-US" w:eastAsia="zh-CN"/>
        </w:rPr>
      </w:pPr>
      <w:bookmarkStart w:id="19" w:name="_Toc256000016"/>
      <w:r>
        <w:rPr>
          <w:rFonts w:hint="eastAsia"/>
          <w:vanish w:val="0"/>
          <w:lang w:val="en-US" w:eastAsia="zh-CN"/>
        </w:rPr>
        <w:t>6  脆弱帐号</w:t>
      </w:r>
      <w:bookmarkEnd w:id="19"/>
    </w:p>
    <w:p w14:paraId="161EB523">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0" w:name="_Toc256000017"/>
      <w:r>
        <w:rPr>
          <w:rFonts w:hint="eastAsia"/>
          <w:lang w:val="en-US" w:eastAsia="zh-CN"/>
        </w:rPr>
        <w:t>6.1  系统脆弱帐号</w:t>
      </w:r>
      <w:bookmarkEnd w:id="20"/>
    </w:p>
    <w:p w14:paraId="50DB2D5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6CA368C7">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1" w:name="_Toc256000018"/>
      <w:r>
        <w:rPr>
          <w:rFonts w:hint="eastAsia"/>
          <w:lang w:val="en-US" w:eastAsia="zh-CN"/>
        </w:rPr>
        <w:t>6.2  应用程序脆弱帐号</w:t>
      </w:r>
      <w:bookmarkEnd w:id="21"/>
    </w:p>
    <w:p w14:paraId="3E3D43E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1870A10">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18A94811">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431C3126">
      <w:pPr>
        <w:pStyle w:val="Heading1"/>
        <w:pageBreakBefore w:val="0"/>
        <w:kinsoku/>
        <w:wordWrap w:val="0"/>
        <w:overflowPunct/>
        <w:topLinePunct w:val="0"/>
        <w:autoSpaceDE/>
        <w:autoSpaceDN/>
        <w:bidi w:val="0"/>
        <w:adjustRightInd/>
        <w:snapToGrid/>
        <w:textAlignment w:val="auto"/>
        <w:rPr>
          <w:rFonts w:hint="eastAsia"/>
          <w:lang w:val="en-US" w:eastAsia="zh-CN"/>
        </w:rPr>
      </w:pPr>
      <w:bookmarkStart w:id="22" w:name="_Toc256000019"/>
      <w:r>
        <w:rPr>
          <w:rFonts w:hint="eastAsia"/>
          <w:lang w:val="en-US" w:eastAsia="zh-CN"/>
        </w:rPr>
        <w:t>7  参考标准</w:t>
      </w:r>
      <w:bookmarkEnd w:id="22"/>
    </w:p>
    <w:p w14:paraId="74E39A55">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789EFF0A">
      <w:pPr>
        <w:pStyle w:val="Heading2"/>
        <w:pageBreakBefore w:val="0"/>
        <w:kinsoku/>
        <w:wordWrap w:val="0"/>
        <w:overflowPunct/>
        <w:topLinePunct w:val="0"/>
        <w:autoSpaceDE/>
        <w:autoSpaceDN/>
        <w:bidi w:val="0"/>
        <w:adjustRightInd/>
        <w:snapToGrid/>
        <w:jc w:val="both"/>
        <w:textAlignment w:val="auto"/>
        <w:rPr>
          <w:rFonts w:hint="eastAsia"/>
          <w:lang w:val="en-US" w:eastAsia="zh-CN"/>
        </w:rPr>
      </w:pPr>
      <w:bookmarkStart w:id="23" w:name="_Toc256000020"/>
      <w:r>
        <w:rPr>
          <w:rFonts w:hint="eastAsia"/>
          <w:lang w:val="en-US" w:eastAsia="zh-CN"/>
        </w:rPr>
        <w:t>7.1  单一漏洞风险等级评定标准</w:t>
      </w:r>
      <w:bookmarkEnd w:id="23"/>
    </w:p>
    <w:p w14:paraId="34D1C614">
      <w:pPr>
        <w:pageBreakBefore w:val="0"/>
        <w:widowControl w:val="0"/>
        <w:kinsoku/>
        <w:wordWrap w:val="0"/>
        <w:overflowPunct/>
        <w:topLinePunct w:val="0"/>
        <w:autoSpaceDE/>
        <w:autoSpaceDN/>
        <w:bidi w:val="0"/>
        <w:adjustRightInd/>
        <w:snapToGrid/>
        <w:spacing w:line="360" w:lineRule="auto"/>
        <w:textAlignment w:val="auto"/>
        <w:rPr>
          <w:rFonts w:hint="default"/>
          <w:vanish/>
          <w:lang w:val="en-US" w:eastAsia="zh-CN"/>
        </w:rPr>
      </w:pPr>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3226"/>
        <w:gridCol w:w="1340"/>
        <w:gridCol w:w="3956"/>
      </w:tblGrid>
      <w:tr w14:paraId="06296C51">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604C58CB">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危险程度</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57BF0DA8">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危险值区域</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top"/>
          </w:tcPr>
          <w:p w14:paraId="3E3BE732">
            <w:pPr>
              <w:pageBreakBefore w:val="0"/>
              <w:widowControl w:val="0"/>
              <w:kinsoku/>
              <w:wordWrap w:val="0"/>
              <w:overflowPunct/>
              <w:topLinePunct w:val="0"/>
              <w:autoSpaceDE/>
              <w:autoSpaceDN/>
              <w:bidi w:val="0"/>
              <w:adjustRightInd/>
              <w:snapToGrid/>
              <w:spacing w:line="360" w:lineRule="auto"/>
              <w:textAlignment w:val="auto"/>
            </w:pPr>
            <w:r>
              <w:rPr>
                <w:rFonts w:ascii="宋体" w:hAnsi="宋体"/>
                <w:b/>
                <w:szCs w:val="21"/>
              </w:rPr>
              <w:t>危险程度说明</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022C33AE">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H.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b w:val="0"/>
                <w:bCs w:val="0"/>
                <w:lang w:val="en-US" w:eastAsia="zh-CN"/>
              </w:rPr>
              <w:t>高</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67E74824">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7 &lt;= 漏洞风险值 &lt;= 10</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14:paraId="2347FBD0">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攻击者可以远程执行任意命令或者代码，或对系统进行远程拒绝服务攻击。</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b w:val="0"/>
                <w:bCs w:val="0"/>
                <w:lang w:val="en-US" w:eastAsia="zh-CN"/>
              </w:rPr>
              <w:t>中</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4 &lt;= 漏洞风险值 &lt; 7</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攻击者可以远程创建、修改、删除文件或数据，或对普通服务进行拒绝服务攻击。</w:t>
            </w:r>
          </w:p>
        </w:tc>
      </w:tr>
      <w:tr w14:paraId="05FA061F">
        <w:tblPrEx>
          <w:tblW w:w="5000" w:type="pct"/>
          <w:tblInd w:w="0" w:type="dxa"/>
          <w:tblCellMar>
            <w:top w:w="0" w:type="dxa"/>
            <w:left w:w="108" w:type="dxa"/>
            <w:bottom w:w="0" w:type="dxa"/>
            <w:right w:w="108" w:type="dxa"/>
          </w:tblCellMar>
        </w:tblPrEx>
        <w:tc>
          <w:tcPr>
            <w:tcW w:w="18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b w:val="0"/>
                <w:bCs w:val="0"/>
                <w:lang w:val="en-US" w:eastAsia="zh-CN"/>
              </w:rPr>
              <w:t>低</w:t>
            </w:r>
          </w:p>
        </w:tc>
        <w:tc>
          <w:tcPr>
            <w:tcW w:w="7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0 &lt;= 漏洞风险值 &lt; 4</w:t>
            </w:r>
          </w:p>
        </w:tc>
        <w:tc>
          <w:tcPr>
            <w:tcW w:w="232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top"/>
          </w:tcPr>
          <w:p>
            <w:pPr>
              <w:pageBreakBefore w:val="0"/>
              <w:widowControl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攻击者可以获取某些系统、服务的信息，或读取系统文件和数据。</w:t>
            </w:r>
          </w:p>
        </w:tc>
      </w:tr>
    </w:tbl>
    <w:p w14:paraId="2E63F97B">
      <w:pPr>
        <w:pageBreakBefore w:val="0"/>
        <w:widowControl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1.漏洞的风险值兼容CVSS评分标准。</w:t>
      </w:r>
    </w:p>
    <w:p w14:paraId="580CA15D">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CDA79D8">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00B28ED3">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p w14:paraId="5ABD78BA">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4" w:name="_Toc256000021"/>
      <w:r>
        <w:rPr>
          <w:rFonts w:hint="eastAsia"/>
          <w:lang w:val="en-US" w:eastAsia="zh-CN"/>
        </w:rPr>
        <w:t>7.2  单一配置检查项风险等级评定标准</w:t>
      </w:r>
      <w:bookmarkEnd w:id="24"/>
    </w:p>
    <w:p w14:paraId="73B0FB26">
      <w:pPr>
        <w:pageBreakBefore w:val="0"/>
        <w:kinsoku/>
        <w:wordWrap w:val="0"/>
        <w:overflowPunct/>
        <w:topLinePunct w:val="0"/>
        <w:autoSpaceDE/>
        <w:autoSpaceDN/>
        <w:bidi w:val="0"/>
        <w:adjustRightInd/>
        <w:snapToGrid/>
        <w:spacing w:line="360" w:lineRule="auto"/>
        <w:textAlignment w:val="auto"/>
        <w:rPr>
          <w:rFonts w:hint="eastAsia"/>
          <w:vanish/>
          <w:lang w:val="en-US" w:eastAsia="zh-CN"/>
        </w:rPr>
      </w:pPr>
    </w:p>
    <w:tbl>
      <w:tblPr>
        <w:tblStyle w:val="TableNormal"/>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1101"/>
        <w:gridCol w:w="1560"/>
        <w:gridCol w:w="5861"/>
      </w:tblGrid>
      <w:tr w14:paraId="5BE69E8A">
        <w:tblPrEx>
          <w:tblW w:w="0" w:type="auto"/>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FE22573">
            <w:pPr>
              <w:pageBreakBefore w:val="0"/>
              <w:kinsoku/>
              <w:wordWrap w:val="0"/>
              <w:overflowPunct/>
              <w:topLinePunct w:val="0"/>
              <w:autoSpaceDE/>
              <w:autoSpaceDN/>
              <w:bidi w:val="0"/>
              <w:adjustRightInd/>
              <w:snapToGrid/>
              <w:textAlignment w:val="auto"/>
              <w:rPr>
                <w:b/>
                <w:bCs/>
              </w:rPr>
            </w:pPr>
            <w:r>
              <w:rPr>
                <w:b/>
                <w:bCs/>
              </w:rPr>
              <w:t>危险程度</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96AEB5B">
            <w:pPr>
              <w:pageBreakBefore w:val="0"/>
              <w:kinsoku/>
              <w:wordWrap w:val="0"/>
              <w:overflowPunct/>
              <w:topLinePunct w:val="0"/>
              <w:autoSpaceDE/>
              <w:autoSpaceDN/>
              <w:bidi w:val="0"/>
              <w:adjustRightInd/>
              <w:snapToGrid/>
              <w:textAlignment w:val="auto"/>
              <w:rPr>
                <w:b/>
                <w:bCs/>
              </w:rPr>
            </w:pPr>
            <w:r>
              <w:rPr>
                <w:b/>
                <w:bCs/>
              </w:rPr>
              <w:t>危险值区域</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1C3F8AD">
            <w:pPr>
              <w:pageBreakBefore w:val="0"/>
              <w:kinsoku/>
              <w:wordWrap w:val="0"/>
              <w:overflowPunct/>
              <w:topLinePunct w:val="0"/>
              <w:autoSpaceDE/>
              <w:autoSpaceDN/>
              <w:bidi w:val="0"/>
              <w:adjustRightInd/>
              <w:snapToGrid/>
              <w:textAlignment w:val="auto"/>
              <w:rPr>
                <w:b/>
                <w:bCs/>
              </w:rPr>
            </w:pPr>
            <w:r>
              <w:rPr>
                <w:b/>
                <w:bCs/>
              </w:rPr>
              <w:t>危险程度说明</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68CA555">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H.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b w:val="0"/>
                <w:bCs w:val="0"/>
                <w:lang w:val="en-US" w:eastAsia="zh-CN"/>
              </w:rPr>
              <w:t>高</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6C5BF8">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7 &lt;= 检查项风险值 &lt;= 10</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112E66">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不当的配置导致攻击者可以通过其他方式获得管理员权限、或者只有管理员权限才能加固的配置。</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b w:val="0"/>
                <w:bCs w:val="0"/>
                <w:lang w:val="en-US" w:eastAsia="zh-CN"/>
              </w:rPr>
              <w:t>中</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4 &lt;= 检查项风险值 &lt; 7</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不当的配置导致攻击者可以对主机进行破坏或者收集主机的信息、或者遭受攻击后，重要事件没有记录。</w:t>
            </w:r>
          </w:p>
        </w:tc>
      </w:tr>
      <w:tr w14:paraId="407F42D3">
        <w:tblPrEx>
          <w:tblW w:w="0" w:type="auto"/>
          <w:tblInd w:w="0" w:type="dxa"/>
          <w:tblCellMar>
            <w:top w:w="0" w:type="dxa"/>
            <w:left w:w="108" w:type="dxa"/>
            <w:bottom w:w="0" w:type="dxa"/>
            <w:right w:w="108" w:type="dxa"/>
          </w:tblCellMar>
        </w:tblPrEx>
        <w:tc>
          <w:tcPr>
            <w:tcW w:w="11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eastAsiaTheme="minorEastAsia" w:hint="default"/>
                <w:b/>
                <w:szCs w:val="21"/>
                <w:lang w:val="en-US" w:eastAsia="zh-CN"/>
              </w:rPr>
            </w:pPr>
            <w:r>
              <w:drawing>
                <wp:inline>
                  <wp:extent cx="137160" cy="137160"/>
                  <wp:docPr id="10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L.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b w:val="0"/>
                <w:bCs w:val="0"/>
                <w:lang w:val="en-US" w:eastAsia="zh-CN"/>
              </w:rPr>
              <w:t>低</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0 &lt;= 检查项风险值 &lt; 4</w:t>
            </w:r>
          </w:p>
        </w:tc>
        <w:tc>
          <w:tcPr>
            <w:tcW w:w="5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pageBreakBefore w:val="0"/>
              <w:kinsoku/>
              <w:wordWrap w:val="0"/>
              <w:overflowPunct/>
              <w:topLinePunct w:val="0"/>
              <w:autoSpaceDE/>
              <w:autoSpaceDN/>
              <w:bidi w:val="0"/>
              <w:adjustRightInd/>
              <w:snapToGrid/>
              <w:spacing w:line="360" w:lineRule="auto"/>
              <w:textAlignment w:val="auto"/>
              <w:rPr>
                <w:rFonts w:ascii="宋体" w:hAnsi="宋体"/>
                <w:b/>
                <w:szCs w:val="21"/>
              </w:rPr>
            </w:pPr>
            <w:r>
              <w:rPr>
                <w:b w:val="0"/>
                <w:bCs w:val="0"/>
                <w:lang w:val="en-US" w:eastAsia="zh-CN"/>
              </w:rPr>
              <w:t>不当地配置对主机安全不会造成太大的影响。</w:t>
            </w:r>
          </w:p>
        </w:tc>
      </w:tr>
    </w:tbl>
    <w:p w14:paraId="75D946AE">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683C86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8784A36">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139C201">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5" w:name="_Toc256000022"/>
      <w:r>
        <w:rPr>
          <w:rFonts w:hint="eastAsia"/>
          <w:lang w:val="en-US" w:eastAsia="zh-CN"/>
        </w:rPr>
        <w:t>7.3  主机风险等级评定标准</w:t>
      </w:r>
      <w:bookmarkEnd w:id="25"/>
    </w:p>
    <w:p w14:paraId="667F562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Normal"/>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2621"/>
        <w:gridCol w:w="5879"/>
      </w:tblGrid>
      <w:tr w14:paraId="55D22F41">
        <w:tblPrEx>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53214327">
            <w:pPr>
              <w:pageBreakBefore w:val="0"/>
              <w:kinsoku/>
              <w:wordWrap w:val="0"/>
              <w:overflowPunct/>
              <w:topLinePunct w:val="0"/>
              <w:autoSpaceDE/>
              <w:autoSpaceDN/>
              <w:bidi w:val="0"/>
              <w:adjustRightInd/>
              <w:snapToGrid/>
              <w:textAlignment w:val="auto"/>
              <w:rPr>
                <w:b/>
                <w:bCs/>
              </w:rPr>
            </w:pPr>
            <w:r>
              <w:rPr>
                <w:b/>
                <w:bCs/>
              </w:rPr>
              <w:t>主机风险等级</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2CDC1B2F">
            <w:pPr>
              <w:pageBreakBefore w:val="0"/>
              <w:kinsoku/>
              <w:wordWrap w:val="0"/>
              <w:overflowPunct/>
              <w:topLinePunct w:val="0"/>
              <w:autoSpaceDE/>
              <w:autoSpaceDN/>
              <w:bidi w:val="0"/>
              <w:adjustRightInd/>
              <w:snapToGrid/>
              <w:textAlignment w:val="auto"/>
              <w:rPr>
                <w:b/>
                <w:bCs/>
              </w:rPr>
            </w:pPr>
            <w:r>
              <w:rPr>
                <w:b/>
                <w:bCs/>
              </w:rPr>
              <w:t>主机风险值区域</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004E707">
            <w:pPr>
              <w:pageBreakBefore w:val="0"/>
              <w:kinsoku/>
              <w:wordWrap w:val="0"/>
              <w:overflowPunct/>
              <w:topLinePunct w:val="0"/>
              <w:autoSpaceDE/>
              <w:autoSpaceDN/>
              <w:bidi w:val="0"/>
              <w:adjustRightInd/>
              <w:snapToGrid/>
              <w:spacing w:line="360" w:lineRule="auto"/>
              <w:textAlignment w:val="auto"/>
            </w:pPr>
            <w:r>
              <w:drawing>
                <wp:inline>
                  <wp:extent cx="137160" cy="13716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Red.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b w:val="0"/>
                <w:bCs w:val="0"/>
                <w:lang w:val="en-US" w:eastAsia="zh-CN"/>
              </w:rPr>
              <w:t>非常危险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E022A6A">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7.0 &lt;= 主机风险值 &lt;= 10.0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b w:val="0"/>
                <w:bCs w:val="0"/>
                <w:lang w:val="en-US" w:eastAsia="zh-CN"/>
              </w:rPr>
              <w:t>比较危险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5.0 &lt;= 主机风险值 &lt; 7.0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Blue.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rPr>
                <w:b w:val="0"/>
                <w:bCs w:val="0"/>
                <w:lang w:val="en-US" w:eastAsia="zh-CN"/>
              </w:rPr>
              <w:t>比较安全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2.0 &lt;= 主机风险值 &lt; 5.0</w:t>
            </w:r>
          </w:p>
        </w:tc>
      </w:tr>
      <w:tr w14:paraId="779B396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Green.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rPr>
                <w:b w:val="0"/>
                <w:bCs w:val="0"/>
                <w:lang w:val="en-US" w:eastAsia="zh-CN"/>
              </w:rPr>
              <w:t>非常安全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0.0 &lt;= 主机风险值 &lt; 2.0</w:t>
            </w:r>
          </w:p>
        </w:tc>
      </w:tr>
    </w:tbl>
    <w:p w14:paraId="1BDDC05C">
      <w:pPr>
        <w:pageBreakBefore w:val="0"/>
        <w:widowControl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50B3088">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9D40FA8">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1.按照网络安全漏洞扫描系统的主机风险评估模型计算主机风险值。根据得到的主机风险值参考“主机风险等级评定标准”标识主机风险等级。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2.将主机风险等级按照风险值的高低进行排序，得到非常危险、比较危险、比较安全、非常安全四种主机风险等级。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3.用户可以根据自己的需要修订主机风险等级中的主机风险值范围。</w:t>
      </w:r>
    </w:p>
    <w:p w14:paraId="78F95039">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399731D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50648F6D">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4EEA6C78">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6" w:name="_Toc256000023"/>
      <w:r>
        <w:rPr>
          <w:rFonts w:hint="eastAsia"/>
          <w:lang w:val="en-US" w:eastAsia="zh-CN"/>
        </w:rPr>
        <w:t>7.4  网络风险等级评定标准</w:t>
      </w:r>
      <w:bookmarkEnd w:id="26"/>
    </w:p>
    <w:p w14:paraId="29DC8DB0">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tbl>
      <w:tblPr>
        <w:tblStyle w:val="TableNormal"/>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
      <w:tblGrid>
        <w:gridCol w:w="2621"/>
        <w:gridCol w:w="5879"/>
      </w:tblGrid>
      <w:tr w14:paraId="13D203FB">
        <w:tblPrEx>
          <w:tblW w:w="8500" w:type="dxa"/>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0D057D7E">
            <w:pPr>
              <w:pageBreakBefore w:val="0"/>
              <w:kinsoku/>
              <w:wordWrap w:val="0"/>
              <w:overflowPunct/>
              <w:topLinePunct w:val="0"/>
              <w:autoSpaceDE/>
              <w:autoSpaceDN/>
              <w:bidi w:val="0"/>
              <w:adjustRightInd/>
              <w:snapToGrid/>
              <w:textAlignment w:val="auto"/>
              <w:rPr>
                <w:b/>
                <w:bCs/>
              </w:rPr>
            </w:pPr>
            <w:r>
              <w:rPr>
                <w:b/>
                <w:bCs/>
              </w:rPr>
              <w:t>网络风险等级</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06092C22">
            <w:pPr>
              <w:pageBreakBefore w:val="0"/>
              <w:kinsoku/>
              <w:wordWrap w:val="0"/>
              <w:overflowPunct/>
              <w:topLinePunct w:val="0"/>
              <w:autoSpaceDE/>
              <w:autoSpaceDN/>
              <w:bidi w:val="0"/>
              <w:adjustRightInd/>
              <w:snapToGrid/>
              <w:textAlignment w:val="auto"/>
              <w:rPr>
                <w:b/>
                <w:bCs/>
              </w:rPr>
            </w:pPr>
            <w:r>
              <w:rPr>
                <w:b/>
                <w:bCs/>
              </w:rPr>
              <w:t>网络风险值区域</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CAE1866">
            <w:pPr>
              <w:pageBreakBefore w:val="0"/>
              <w:kinsoku/>
              <w:wordWrap w:val="0"/>
              <w:overflowPunct/>
              <w:topLinePunct w:val="0"/>
              <w:autoSpaceDE/>
              <w:autoSpaceDN/>
              <w:bidi w:val="0"/>
              <w:adjustRightInd/>
              <w:snapToGrid/>
              <w:spacing w:line="360" w:lineRule="auto"/>
              <w:textAlignment w:val="auto"/>
            </w:pPr>
            <w:r>
              <w:drawing>
                <wp:inline>
                  <wp:extent cx="137160" cy="137160"/>
                  <wp:docPr id="10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Red.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b w:val="0"/>
                <w:bCs w:val="0"/>
                <w:lang w:val="en-US" w:eastAsia="zh-CN"/>
              </w:rPr>
              <w:t>非常危险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B4AB22E">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8.0 &lt;= 网络风险值 &lt;= 10.0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rPr>
                <w:b w:val="0"/>
                <w:bCs w:val="0"/>
                <w:lang w:val="en-US" w:eastAsia="zh-CN"/>
              </w:rPr>
              <w:t>比较危险</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5.0 &lt;= 网络风险值 &lt; 8.0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Blue.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rPr>
                <w:b w:val="0"/>
                <w:bCs w:val="0"/>
                <w:lang w:val="en-US" w:eastAsia="zh-CN"/>
              </w:rPr>
              <w:t>比较安全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1.0 &lt;= 网络风险值 &lt; 5.0</w:t>
            </w:r>
          </w:p>
        </w:tc>
      </w:tr>
      <w:tr w14:paraId="247992FD">
        <w:tblPrEx>
          <w:tblW w:w="8500" w:type="dxa"/>
          <w:tblInd w:w="0" w:type="dxa"/>
          <w:tblCellMar>
            <w:top w:w="0" w:type="dxa"/>
            <w:left w:w="108" w:type="dxa"/>
            <w:bottom w:w="0" w:type="dxa"/>
            <w:right w:w="108" w:type="dxa"/>
          </w:tblCellMar>
        </w:tblPrEx>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drawing>
                <wp:inline>
                  <wp:extent cx="137160" cy="137160"/>
                  <wp:docPr id="10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Green.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rPr>
                <w:b w:val="0"/>
                <w:bCs w:val="0"/>
                <w:lang w:val="en-US" w:eastAsia="zh-CN"/>
              </w:rPr>
              <w:t>非常安全</w:t>
            </w:r>
          </w:p>
        </w:tc>
        <w:tc>
          <w:tcPr>
            <w:tcW w:w="58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pageBreakBefore w:val="0"/>
              <w:kinsoku/>
              <w:wordWrap w:val="0"/>
              <w:overflowPunct/>
              <w:topLinePunct w:val="0"/>
              <w:autoSpaceDE/>
              <w:autoSpaceDN/>
              <w:bidi w:val="0"/>
              <w:adjustRightInd/>
              <w:snapToGrid/>
              <w:spacing w:line="360" w:lineRule="auto"/>
              <w:textAlignment w:val="auto"/>
            </w:pPr>
            <w:r>
              <w:rPr>
                <w:b w:val="0"/>
                <w:bCs w:val="0"/>
                <w:lang w:val="en-US" w:eastAsia="zh-CN"/>
              </w:rPr>
              <w:t>0.0 &lt;= 网络风险值 &lt; 1.0</w:t>
            </w:r>
          </w:p>
        </w:tc>
      </w:tr>
    </w:tbl>
    <w:p w14:paraId="480FB603">
      <w:pPr>
        <w:pageBreakBefore w:val="0"/>
        <w:kinsoku/>
        <w:wordWrap w:val="0"/>
        <w:overflowPunct/>
        <w:topLinePunct w:val="0"/>
        <w:autoSpaceDE/>
        <w:autoSpaceDN/>
        <w:bidi w:val="0"/>
        <w:adjustRightInd/>
        <w:snapToGrid/>
        <w:spacing w:line="360" w:lineRule="auto"/>
        <w:textAlignment w:val="auto"/>
        <w:rPr>
          <w:rFonts w:ascii="宋体" w:eastAsia="宋体" w:hAnsi="宋体" w:cs="宋体" w:hint="eastAsia"/>
          <w:sz w:val="24"/>
          <w:szCs w:val="24"/>
          <w:lang w:val="en-US" w:eastAsia="zh-CN"/>
        </w:rPr>
      </w:pPr>
      <w:r>
        <w:rPr>
          <w:rFonts w:ascii="宋体" w:eastAsia="宋体" w:hAnsi="宋体" w:cs="宋体" w:hint="eastAsia"/>
          <w:sz w:val="24"/>
          <w:szCs w:val="24"/>
          <w:lang w:val="en-US" w:eastAsia="zh-CN"/>
        </w:rPr>
        <w:t>说明：</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1.按照网络安全漏洞扫描系统的网络风险评估模型计算网络风险值。根据得到的网络风险值参考“网络风险等级评定标准”标识网络风险等级。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2.将网络风险等级按照风险值的高低进行排序，得到非常危险、比较危险、比较安全、非常安全四种网络风险等级。</w:t>
        <w:br/>
      </w:r>
      <w:r>
        <w:rPr>
          <w:rFonts w:ascii="宋体" w:eastAsia="宋体" w:hAnsi="宋体" w:cs="宋体" w:hint="eastAsia"/>
          <w:sz w:val="24"/>
          <w:szCs w:val="24"/>
          <w:lang w:val="en-US" w:eastAsia="zh-CN"/>
        </w:rPr>
        <w:tab/>
      </w:r>
      <w:r>
        <w:rPr>
          <w:rFonts w:ascii="宋体" w:eastAsia="宋体" w:hAnsi="宋体" w:cs="宋体" w:hint="eastAsia"/>
          <w:sz w:val="24"/>
          <w:szCs w:val="24"/>
          <w:lang w:val="en-US" w:eastAsia="zh-CN"/>
        </w:rPr>
        <w:t>3.用户可以根据自己的需要修订网络风险等级中的网络风险值范围。</w:t>
      </w:r>
    </w:p>
    <w:p w14:paraId="1899D583">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736F7EA">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0034DF9C">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3016BC9">
      <w:pPr>
        <w:pStyle w:val="Heading2"/>
        <w:pageBreakBefore w:val="0"/>
        <w:kinsoku/>
        <w:wordWrap w:val="0"/>
        <w:overflowPunct/>
        <w:topLinePunct w:val="0"/>
        <w:autoSpaceDE/>
        <w:autoSpaceDN/>
        <w:bidi w:val="0"/>
        <w:adjustRightInd/>
        <w:snapToGrid/>
        <w:spacing w:line="360" w:lineRule="auto"/>
        <w:jc w:val="left"/>
        <w:textAlignment w:val="auto"/>
        <w:rPr>
          <w:rFonts w:hint="eastAsia"/>
          <w:lang w:val="en-US" w:eastAsia="zh-CN"/>
        </w:rPr>
      </w:pPr>
      <w:bookmarkStart w:id="27" w:name="_Toc256000024"/>
      <w:r>
        <w:rPr>
          <w:rFonts w:hint="eastAsia"/>
          <w:lang w:val="en-US" w:eastAsia="zh-CN"/>
        </w:rPr>
        <w:t>7.5  安全建议</w:t>
      </w:r>
      <w:bookmarkEnd w:id="27"/>
    </w:p>
    <w:p w14:paraId="5618684D">
      <w:pPr>
        <w:pageBreakBefore w:val="0"/>
        <w:kinsoku/>
        <w:wordWrap w:val="0"/>
        <w:overflowPunct/>
        <w:topLinePunct w:val="0"/>
        <w:autoSpaceDE/>
        <w:autoSpaceDN/>
        <w:bidi w:val="0"/>
        <w:adjustRightInd/>
        <w:snapToGrid/>
        <w:spacing w:line="360" w:lineRule="auto"/>
        <w:textAlignment w:val="auto"/>
        <w:rPr>
          <w:rFonts w:hint="eastAsia"/>
          <w:lang w:val="en-US" w:eastAsia="zh-CN"/>
        </w:rPr>
      </w:pPr>
      <w:r>
        <w:rPr>
          <w:rFonts w:hint="eastAsia"/>
          <w:lang w:val="en-US" w:eastAsia="zh-CN"/>
        </w:rPr>
        <w:tab/>
      </w:r>
      <w:r>
        <w:rPr>
          <w:rFonts w:hint="eastAsia"/>
          <w:lang w:val="en-US" w:eastAsia="zh-CN"/>
        </w:rPr>
        <w:t>据市场研究公司 Gartner 研究报告称"实施漏洞管理的企业会避免近 90% 的攻击"。可以看出，及时的漏洞修补可以在一定程度上防止病毒、攻击者的威胁。</w:t>
        <w:br/>
      </w:r>
      <w:r>
        <w:rPr>
          <w:rFonts w:hint="eastAsia"/>
          <w:lang w:val="en-US" w:eastAsia="zh-CN"/>
        </w:rPr>
        <w:tab/>
      </w:r>
      <w:r>
        <w:rPr>
          <w:rFonts w:hint="eastAsia"/>
          <w:lang w:val="en-US" w:eastAsia="zh-CN"/>
        </w:rPr>
        <w:t>网络安全漏洞扫描系统建议对存在漏洞的主机参考附件中提出的解决方案进行漏洞修补、安全增强。</w:t>
        <w:br/>
      </w:r>
      <w:r>
        <w:rPr>
          <w:rFonts w:hint="eastAsia"/>
          <w:lang w:val="en-US" w:eastAsia="zh-CN"/>
        </w:rPr>
        <w:tab/>
      </w:r>
      <w:r>
        <w:rPr>
          <w:rFonts w:hint="eastAsia"/>
          <w:lang w:val="en-US" w:eastAsia="zh-CN"/>
        </w:rPr>
        <w:t xml:space="preserve"> 1. 建议所有 Windows 系统使用"Windows Update"进行更新。</w:t>
        <w:br/>
      </w:r>
      <w:r>
        <w:rPr>
          <w:rFonts w:hint="eastAsia"/>
          <w:lang w:val="en-US" w:eastAsia="zh-CN"/>
        </w:rPr>
        <w:tab/>
      </w:r>
      <w:r>
        <w:rPr>
          <w:rFonts w:hint="eastAsia"/>
          <w:lang w:val="en-US" w:eastAsia="zh-CN"/>
        </w:rPr>
        <w:t xml:space="preserve"> 2. 对于大量终端用户而言，可以采用 WSUS 进行自动补丁更新，也可以采用补丁分发系统及时对终端用户进行补丁更新。</w:t>
        <w:br/>
      </w:r>
      <w:r>
        <w:rPr>
          <w:rFonts w:hint="eastAsia"/>
          <w:lang w:val="en-US" w:eastAsia="zh-CN"/>
        </w:rPr>
        <w:tab/>
      </w:r>
      <w:r>
        <w:rPr>
          <w:rFonts w:hint="eastAsia"/>
          <w:lang w:val="en-US" w:eastAsia="zh-CN"/>
        </w:rPr>
        <w:t xml:space="preserve"> 3. 对于存在弱口令的系统，需在加强使用者安全意识的前提下，督促其修改密码，或者使用策略来强制限制密码长度和复杂性。</w:t>
        <w:br/>
      </w:r>
      <w:r>
        <w:rPr>
          <w:rFonts w:hint="eastAsia"/>
          <w:lang w:val="en-US" w:eastAsia="zh-CN"/>
        </w:rPr>
        <w:tab/>
      </w:r>
      <w:r>
        <w:rPr>
          <w:rFonts w:hint="eastAsia"/>
          <w:lang w:val="en-US" w:eastAsia="zh-CN"/>
        </w:rPr>
        <w:t xml:space="preserve"> 4. 对于存在弱口令或是空口令的服务，在一些关键服务上，应加强口令强度，同时需使用加密传输方式，对于一些可关闭的服务来说，建议关闭该服务以达到安全目的。</w:t>
        <w:br/>
      </w:r>
      <w:r>
        <w:rPr>
          <w:rFonts w:hint="eastAsia"/>
          <w:lang w:val="en-US" w:eastAsia="zh-CN"/>
        </w:rPr>
        <w:tab/>
      </w:r>
      <w:r>
        <w:rPr>
          <w:rFonts w:hint="eastAsia"/>
          <w:lang w:val="en-US" w:eastAsia="zh-CN"/>
        </w:rPr>
        <w:t xml:space="preserve"> 5. 对于UNIX系统订阅厂商的安全公告，与厂商技术人员确认后进行漏洞修补、补丁安装、停止服务等。</w:t>
        <w:br/>
      </w:r>
      <w:r>
        <w:rPr>
          <w:rFonts w:hint="eastAsia"/>
          <w:lang w:val="en-US" w:eastAsia="zh-CN"/>
        </w:rPr>
        <w:tab/>
      </w:r>
      <w:r>
        <w:rPr>
          <w:rFonts w:hint="eastAsia"/>
          <w:lang w:val="en-US" w:eastAsia="zh-CN"/>
        </w:rPr>
        <w:t xml:space="preserve"> 6. 由于其他原因不能及时安装补丁的系统，考虑在网络边界、路由器、防火墙上设置严格的访问控制策略，以保证网络的动态安全。</w:t>
        <w:br/>
      </w:r>
      <w:r>
        <w:rPr>
          <w:rFonts w:hint="eastAsia"/>
          <w:lang w:val="en-US" w:eastAsia="zh-CN"/>
        </w:rPr>
        <w:tab/>
      </w:r>
      <w:r>
        <w:rPr>
          <w:rFonts w:hint="eastAsia"/>
          <w:lang w:val="en-US" w:eastAsia="zh-CN"/>
        </w:rPr>
        <w:t xml:space="preserve"> 7. 建议网络管理员、系统管理员、安全管理员关注安全信息、安全动态及最新的严重漏洞，攻与防的循环，伴随每个主流操作系统、应用服务的生命周期。</w:t>
        <w:br/>
      </w:r>
      <w:r>
        <w:rPr>
          <w:rFonts w:hint="eastAsia"/>
          <w:lang w:val="en-US" w:eastAsia="zh-CN"/>
        </w:rPr>
        <w:tab/>
      </w:r>
      <w:r>
        <w:rPr>
          <w:rFonts w:hint="eastAsia"/>
          <w:lang w:val="en-US" w:eastAsia="zh-CN"/>
        </w:rPr>
        <w:t xml:space="preserve"> 8. 建议采用网络安全漏洞扫描系统定期对网络进行评估，真正做到未雨绸缪。</w:t>
        <w:br/>
      </w:r>
      <w:r>
        <w:rPr>
          <w:rFonts w:hint="eastAsia"/>
          <w:lang w:val="en-US" w:eastAsia="zh-CN"/>
        </w:rPr>
        <w:tab/>
      </w:r>
      <w:r>
        <w:rPr>
          <w:rFonts w:hint="eastAsia"/>
          <w:lang w:val="en-US" w:eastAsia="zh-CN"/>
        </w:rPr>
        <w:t>网络安全漏洞扫描系统建议对存在不合规检查项的主机参考对应的检查点详情中提出的调整方案和标准值进行修正。</w:t>
        <w:br/>
      </w:r>
    </w:p>
    <w:p w14:paraId="1318FED4">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p w14:paraId="1636EF22">
      <w:pPr>
        <w:pageBreakBefore w:val="0"/>
        <w:kinsoku/>
        <w:wordWrap w:val="0"/>
        <w:overflowPunct/>
        <w:topLinePunct w:val="0"/>
        <w:autoSpaceDE/>
        <w:autoSpaceDN/>
        <w:bidi w:val="0"/>
        <w:adjustRightInd/>
        <w:snapToGrid/>
        <w:spacing w:line="360" w:lineRule="auto"/>
        <w:textAlignment w:val="auto"/>
        <w:rPr>
          <w:rFonts w:asciiTheme="minorAscii" w:eastAsiaTheme="minorEastAsia" w:hAnsiTheme="minorAscii" w:hint="default"/>
          <w:vanish/>
          <w:sz w:val="21"/>
          <w:lang w:val="en-US" w:eastAsia="zh-CN"/>
        </w:rPr>
      </w:pPr>
    </w:p>
    <w:sectPr>
      <w:footerReference w:type="default" r:id="rId18"/>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decimal"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038969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377DA5C">
    <w:pPr>
      <w:pStyle w:val="Footer"/>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204A6F10">
                    <w:pPr>
                      <w:pStyle w:val="Footer"/>
                    </w:pPr>
                    <w:r>
                      <w:fldChar w:fldCharType="begin"/>
                    </w:r>
                    <w:r>
                      <w:instrText xml:space="preserve"> PAGE  \* MERGEFORMAT </w:instrText>
                    </w:r>
                    <w:r>
                      <w:fldChar w:fldCharType="separate"/>
                    </w:r>
                    <w:r>
                      <w:t>11</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ABD401">
    <w:pPr>
      <w:pStyle w:val="Header"/>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D4F44BE">
    <w:pPr>
      <w:pStyle w:val="Header"/>
      <w:pBdr>
        <w:bottom w:val="single" w:sz="4" w:space="1" w:color="auto"/>
      </w:pBdr>
      <w:jc w:val="right"/>
    </w:pPr>
    <w:r>
      <w:rPr>
        <w:rFonts w:hint="eastAsia"/>
      </w:rPr>
      <w:t>绿盟科技"网络安全漏洞扫描系统"安全评估报告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7655B4F"/>
    <w:multiLevelType w:val="multilevel"/>
    <w:tmpl w:val="67655B4F"/>
    <w:lvl w:ilvl="0">
      <w:start w:val="1"/>
      <w:numFmt w:val="lowerLetter"/>
      <w:lvlText w:val="%1)"/>
      <w:lvlJc w:val="left"/>
      <w:pPr>
        <w:ind w:left="900" w:hanging="420"/>
      </w:pPr>
      <w:rPr>
        <w:rFont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3D0404"/>
    <w:rsid w:val="004C4B69"/>
    <w:rsid w:val="0057257B"/>
    <w:rsid w:val="00601E4C"/>
    <w:rsid w:val="006A442B"/>
    <w:rsid w:val="006E6810"/>
    <w:rsid w:val="00BD00FD"/>
    <w:rsid w:val="00C8739E"/>
    <w:rsid w:val="00D1177C"/>
    <w:rsid w:val="010E0E85"/>
    <w:rsid w:val="014E47B7"/>
    <w:rsid w:val="01730582"/>
    <w:rsid w:val="01A319FB"/>
    <w:rsid w:val="01B513C4"/>
    <w:rsid w:val="022644A3"/>
    <w:rsid w:val="024E7F60"/>
    <w:rsid w:val="02781BC8"/>
    <w:rsid w:val="02E828A9"/>
    <w:rsid w:val="02FE6A20"/>
    <w:rsid w:val="030E4C83"/>
    <w:rsid w:val="033C1281"/>
    <w:rsid w:val="039361B5"/>
    <w:rsid w:val="03D9122D"/>
    <w:rsid w:val="044E2916"/>
    <w:rsid w:val="04747985"/>
    <w:rsid w:val="047903B9"/>
    <w:rsid w:val="04CD5502"/>
    <w:rsid w:val="04EE7C6A"/>
    <w:rsid w:val="051748A9"/>
    <w:rsid w:val="051A3BCD"/>
    <w:rsid w:val="053A7B0E"/>
    <w:rsid w:val="0578413D"/>
    <w:rsid w:val="05CC0B63"/>
    <w:rsid w:val="05DD06BF"/>
    <w:rsid w:val="062C26C4"/>
    <w:rsid w:val="064E04CF"/>
    <w:rsid w:val="06504129"/>
    <w:rsid w:val="066228C7"/>
    <w:rsid w:val="067C0D66"/>
    <w:rsid w:val="068C5C42"/>
    <w:rsid w:val="06903CFF"/>
    <w:rsid w:val="06A862BF"/>
    <w:rsid w:val="06F1065B"/>
    <w:rsid w:val="072238EB"/>
    <w:rsid w:val="07866B35"/>
    <w:rsid w:val="07A1566A"/>
    <w:rsid w:val="07C62F9C"/>
    <w:rsid w:val="07FA5873"/>
    <w:rsid w:val="08421E31"/>
    <w:rsid w:val="0881380A"/>
    <w:rsid w:val="08D30740"/>
    <w:rsid w:val="08EF4AFC"/>
    <w:rsid w:val="08F27DD4"/>
    <w:rsid w:val="090C3A7D"/>
    <w:rsid w:val="09432CC4"/>
    <w:rsid w:val="09825103"/>
    <w:rsid w:val="09884013"/>
    <w:rsid w:val="0A372C2C"/>
    <w:rsid w:val="0A4524EB"/>
    <w:rsid w:val="0A876E33"/>
    <w:rsid w:val="0A951B0C"/>
    <w:rsid w:val="0AA84A7A"/>
    <w:rsid w:val="0AD61B81"/>
    <w:rsid w:val="0AF77BA3"/>
    <w:rsid w:val="0B4F38C0"/>
    <w:rsid w:val="0B745622"/>
    <w:rsid w:val="0B831C71"/>
    <w:rsid w:val="0B8668D0"/>
    <w:rsid w:val="0BC95BFD"/>
    <w:rsid w:val="0BEF7B2F"/>
    <w:rsid w:val="0C1C1F38"/>
    <w:rsid w:val="0C2C0149"/>
    <w:rsid w:val="0C3D3146"/>
    <w:rsid w:val="0C79664C"/>
    <w:rsid w:val="0CD5495A"/>
    <w:rsid w:val="0CDE52DC"/>
    <w:rsid w:val="0CE9152F"/>
    <w:rsid w:val="0CF71EEF"/>
    <w:rsid w:val="0CFF45D4"/>
    <w:rsid w:val="0D101455"/>
    <w:rsid w:val="0D352AAD"/>
    <w:rsid w:val="0D3C4016"/>
    <w:rsid w:val="0D82371F"/>
    <w:rsid w:val="0DE46588"/>
    <w:rsid w:val="0E721E54"/>
    <w:rsid w:val="0E861DFE"/>
    <w:rsid w:val="0E8B6A5B"/>
    <w:rsid w:val="0ED618C0"/>
    <w:rsid w:val="0F182768"/>
    <w:rsid w:val="0F81030D"/>
    <w:rsid w:val="0FA933C0"/>
    <w:rsid w:val="106079A9"/>
    <w:rsid w:val="107D3D12"/>
    <w:rsid w:val="10935E18"/>
    <w:rsid w:val="109A747C"/>
    <w:rsid w:val="10C67FEE"/>
    <w:rsid w:val="10D13C6A"/>
    <w:rsid w:val="10E61335"/>
    <w:rsid w:val="110110FE"/>
    <w:rsid w:val="1107668A"/>
    <w:rsid w:val="11410DA9"/>
    <w:rsid w:val="1193388F"/>
    <w:rsid w:val="11C35E1C"/>
    <w:rsid w:val="11D52002"/>
    <w:rsid w:val="11E93F48"/>
    <w:rsid w:val="12F368C9"/>
    <w:rsid w:val="13091944"/>
    <w:rsid w:val="133C18EF"/>
    <w:rsid w:val="13C63739"/>
    <w:rsid w:val="13E1587A"/>
    <w:rsid w:val="14275680"/>
    <w:rsid w:val="142C526D"/>
    <w:rsid w:val="144171F6"/>
    <w:rsid w:val="1444190A"/>
    <w:rsid w:val="148A7817"/>
    <w:rsid w:val="14CD7E8C"/>
    <w:rsid w:val="14CE7BA3"/>
    <w:rsid w:val="15240200"/>
    <w:rsid w:val="15254CD2"/>
    <w:rsid w:val="15520E27"/>
    <w:rsid w:val="15727225"/>
    <w:rsid w:val="15A30AD6"/>
    <w:rsid w:val="15D02978"/>
    <w:rsid w:val="15D95826"/>
    <w:rsid w:val="161D76AB"/>
    <w:rsid w:val="163240B7"/>
    <w:rsid w:val="165C118C"/>
    <w:rsid w:val="16AD28C4"/>
    <w:rsid w:val="172267F6"/>
    <w:rsid w:val="17AF1C6A"/>
    <w:rsid w:val="17C07C93"/>
    <w:rsid w:val="17C527F3"/>
    <w:rsid w:val="1802033E"/>
    <w:rsid w:val="18365A0D"/>
    <w:rsid w:val="188F0994"/>
    <w:rsid w:val="18E1064F"/>
    <w:rsid w:val="18E37DCD"/>
    <w:rsid w:val="190163AE"/>
    <w:rsid w:val="190B07B0"/>
    <w:rsid w:val="192B12EA"/>
    <w:rsid w:val="19BB04E7"/>
    <w:rsid w:val="19BB69B9"/>
    <w:rsid w:val="1A8C436A"/>
    <w:rsid w:val="1AAA236F"/>
    <w:rsid w:val="1ACA07B1"/>
    <w:rsid w:val="1AD82DAC"/>
    <w:rsid w:val="1B4F45D3"/>
    <w:rsid w:val="1B6C14DF"/>
    <w:rsid w:val="1B9664DA"/>
    <w:rsid w:val="1B9D6CA9"/>
    <w:rsid w:val="1B9F4BB2"/>
    <w:rsid w:val="1C067E9E"/>
    <w:rsid w:val="1C5D101A"/>
    <w:rsid w:val="1C83065A"/>
    <w:rsid w:val="1C994BDD"/>
    <w:rsid w:val="1D0F39CD"/>
    <w:rsid w:val="1D80509C"/>
    <w:rsid w:val="1DEA7DBD"/>
    <w:rsid w:val="1E0B14FC"/>
    <w:rsid w:val="1E110F21"/>
    <w:rsid w:val="1EC4409A"/>
    <w:rsid w:val="1EDD12DA"/>
    <w:rsid w:val="1F117572"/>
    <w:rsid w:val="1F5E568A"/>
    <w:rsid w:val="1FA35A61"/>
    <w:rsid w:val="1FAB50E1"/>
    <w:rsid w:val="201F301E"/>
    <w:rsid w:val="203E2947"/>
    <w:rsid w:val="205602F3"/>
    <w:rsid w:val="20624EB7"/>
    <w:rsid w:val="208230A6"/>
    <w:rsid w:val="20EA7DBA"/>
    <w:rsid w:val="213A3D03"/>
    <w:rsid w:val="21813DF7"/>
    <w:rsid w:val="21C51C84"/>
    <w:rsid w:val="21E2612A"/>
    <w:rsid w:val="21FB7641"/>
    <w:rsid w:val="22194E4C"/>
    <w:rsid w:val="22853E7D"/>
    <w:rsid w:val="22FE2929"/>
    <w:rsid w:val="2312222F"/>
    <w:rsid w:val="235B4CA0"/>
    <w:rsid w:val="23754132"/>
    <w:rsid w:val="237B32BD"/>
    <w:rsid w:val="23887139"/>
    <w:rsid w:val="23BF178E"/>
    <w:rsid w:val="23C5774F"/>
    <w:rsid w:val="24371CC0"/>
    <w:rsid w:val="24CC572F"/>
    <w:rsid w:val="25050C3E"/>
    <w:rsid w:val="252951AB"/>
    <w:rsid w:val="252C22FE"/>
    <w:rsid w:val="25441769"/>
    <w:rsid w:val="25B34B41"/>
    <w:rsid w:val="25D92115"/>
    <w:rsid w:val="25DE1FA0"/>
    <w:rsid w:val="2602658B"/>
    <w:rsid w:val="261C238F"/>
    <w:rsid w:val="261D737F"/>
    <w:rsid w:val="262E7315"/>
    <w:rsid w:val="26465658"/>
    <w:rsid w:val="266F6C4E"/>
    <w:rsid w:val="26922228"/>
    <w:rsid w:val="26AF6371"/>
    <w:rsid w:val="27E31CA0"/>
    <w:rsid w:val="28461C9C"/>
    <w:rsid w:val="28E10464"/>
    <w:rsid w:val="28E3291C"/>
    <w:rsid w:val="29153A7D"/>
    <w:rsid w:val="29227034"/>
    <w:rsid w:val="294C3F5B"/>
    <w:rsid w:val="294E18B8"/>
    <w:rsid w:val="297866ED"/>
    <w:rsid w:val="29AC008F"/>
    <w:rsid w:val="29C26B40"/>
    <w:rsid w:val="29D97CF9"/>
    <w:rsid w:val="2A832B5A"/>
    <w:rsid w:val="2A876662"/>
    <w:rsid w:val="2A9F6AE3"/>
    <w:rsid w:val="2AE17C3E"/>
    <w:rsid w:val="2B434271"/>
    <w:rsid w:val="2B4877F1"/>
    <w:rsid w:val="2B532714"/>
    <w:rsid w:val="2B587E19"/>
    <w:rsid w:val="2BD2547C"/>
    <w:rsid w:val="2BD71CA9"/>
    <w:rsid w:val="2C02287E"/>
    <w:rsid w:val="2C02412C"/>
    <w:rsid w:val="2C275A9A"/>
    <w:rsid w:val="2C593220"/>
    <w:rsid w:val="2C6375F7"/>
    <w:rsid w:val="2C7F51A8"/>
    <w:rsid w:val="2CBB1232"/>
    <w:rsid w:val="2CDF446E"/>
    <w:rsid w:val="2CED3F8A"/>
    <w:rsid w:val="2CF170E1"/>
    <w:rsid w:val="2D222E8D"/>
    <w:rsid w:val="2D535AA4"/>
    <w:rsid w:val="2DA83E9B"/>
    <w:rsid w:val="2DB909EC"/>
    <w:rsid w:val="2E694E51"/>
    <w:rsid w:val="2E6B3E18"/>
    <w:rsid w:val="2EE74896"/>
    <w:rsid w:val="2EFF2C28"/>
    <w:rsid w:val="2F082047"/>
    <w:rsid w:val="2F125CDF"/>
    <w:rsid w:val="2F1F7BA1"/>
    <w:rsid w:val="2F370591"/>
    <w:rsid w:val="2F9608AC"/>
    <w:rsid w:val="2FF74A23"/>
    <w:rsid w:val="300369BB"/>
    <w:rsid w:val="30073AA2"/>
    <w:rsid w:val="300F4A91"/>
    <w:rsid w:val="304A61D1"/>
    <w:rsid w:val="304E7CB0"/>
    <w:rsid w:val="30F304E8"/>
    <w:rsid w:val="31022A1E"/>
    <w:rsid w:val="31360497"/>
    <w:rsid w:val="31570A76"/>
    <w:rsid w:val="3171211B"/>
    <w:rsid w:val="318F19A6"/>
    <w:rsid w:val="31AE6C74"/>
    <w:rsid w:val="31D06CB9"/>
    <w:rsid w:val="31F15741"/>
    <w:rsid w:val="3240738A"/>
    <w:rsid w:val="328B55F7"/>
    <w:rsid w:val="328F1440"/>
    <w:rsid w:val="33372B3D"/>
    <w:rsid w:val="33411D52"/>
    <w:rsid w:val="334B5B1C"/>
    <w:rsid w:val="33652AC4"/>
    <w:rsid w:val="33833285"/>
    <w:rsid w:val="3399733B"/>
    <w:rsid w:val="339C615C"/>
    <w:rsid w:val="33A27074"/>
    <w:rsid w:val="33AF06B8"/>
    <w:rsid w:val="34E94B1A"/>
    <w:rsid w:val="35044677"/>
    <w:rsid w:val="350727B3"/>
    <w:rsid w:val="35843E04"/>
    <w:rsid w:val="35C914B4"/>
    <w:rsid w:val="35D3551B"/>
    <w:rsid w:val="37270EEB"/>
    <w:rsid w:val="37832A6C"/>
    <w:rsid w:val="37B15B40"/>
    <w:rsid w:val="38465695"/>
    <w:rsid w:val="385470C2"/>
    <w:rsid w:val="385C5362"/>
    <w:rsid w:val="3874040C"/>
    <w:rsid w:val="38B02F13"/>
    <w:rsid w:val="38F034D9"/>
    <w:rsid w:val="39363667"/>
    <w:rsid w:val="398E7866"/>
    <w:rsid w:val="39914AA0"/>
    <w:rsid w:val="39FD796B"/>
    <w:rsid w:val="3A715572"/>
    <w:rsid w:val="3AA72E1F"/>
    <w:rsid w:val="3AAB2892"/>
    <w:rsid w:val="3BB74669"/>
    <w:rsid w:val="3C385CC1"/>
    <w:rsid w:val="3C40016C"/>
    <w:rsid w:val="3C4847F2"/>
    <w:rsid w:val="3C996DB6"/>
    <w:rsid w:val="3D65497F"/>
    <w:rsid w:val="3D721290"/>
    <w:rsid w:val="3D901E29"/>
    <w:rsid w:val="3DB52276"/>
    <w:rsid w:val="3DB55618"/>
    <w:rsid w:val="3DB7417C"/>
    <w:rsid w:val="3DF364FD"/>
    <w:rsid w:val="3DFF4D93"/>
    <w:rsid w:val="3E101D82"/>
    <w:rsid w:val="3E6C6A4F"/>
    <w:rsid w:val="3E6E330B"/>
    <w:rsid w:val="3ED61CC7"/>
    <w:rsid w:val="3F4225CA"/>
    <w:rsid w:val="3F6E4E60"/>
    <w:rsid w:val="3F8E75B4"/>
    <w:rsid w:val="3F9D3335"/>
    <w:rsid w:val="40041DC9"/>
    <w:rsid w:val="40103E4E"/>
    <w:rsid w:val="404A6C41"/>
    <w:rsid w:val="40852036"/>
    <w:rsid w:val="40A168EF"/>
    <w:rsid w:val="40EF17B3"/>
    <w:rsid w:val="40FF039C"/>
    <w:rsid w:val="41394BAC"/>
    <w:rsid w:val="415D5C35"/>
    <w:rsid w:val="41610FD0"/>
    <w:rsid w:val="416443A3"/>
    <w:rsid w:val="419C1192"/>
    <w:rsid w:val="41BA63DF"/>
    <w:rsid w:val="41F642AE"/>
    <w:rsid w:val="424173CD"/>
    <w:rsid w:val="424B5C7C"/>
    <w:rsid w:val="434D0466"/>
    <w:rsid w:val="43B7769F"/>
    <w:rsid w:val="43C17344"/>
    <w:rsid w:val="43EC3253"/>
    <w:rsid w:val="43ED7037"/>
    <w:rsid w:val="447C0AC8"/>
    <w:rsid w:val="44C27E70"/>
    <w:rsid w:val="44FB0607"/>
    <w:rsid w:val="45082145"/>
    <w:rsid w:val="451758BA"/>
    <w:rsid w:val="45702ABE"/>
    <w:rsid w:val="458F2D5E"/>
    <w:rsid w:val="45BD6059"/>
    <w:rsid w:val="45BE3173"/>
    <w:rsid w:val="45D86D8A"/>
    <w:rsid w:val="45E306D3"/>
    <w:rsid w:val="46160AA8"/>
    <w:rsid w:val="46FF1B50"/>
    <w:rsid w:val="471527FD"/>
    <w:rsid w:val="472F7CCC"/>
    <w:rsid w:val="478845E4"/>
    <w:rsid w:val="47F92430"/>
    <w:rsid w:val="48036E0A"/>
    <w:rsid w:val="48420C37"/>
    <w:rsid w:val="487815A6"/>
    <w:rsid w:val="48B60A50"/>
    <w:rsid w:val="48CD7FF2"/>
    <w:rsid w:val="48D778F5"/>
    <w:rsid w:val="48E00424"/>
    <w:rsid w:val="49284D7B"/>
    <w:rsid w:val="49350EA1"/>
    <w:rsid w:val="497A5B7B"/>
    <w:rsid w:val="498148FD"/>
    <w:rsid w:val="4A054302"/>
    <w:rsid w:val="4A5A4C2D"/>
    <w:rsid w:val="4A9E678B"/>
    <w:rsid w:val="4A9E6935"/>
    <w:rsid w:val="4AAA17BF"/>
    <w:rsid w:val="4AD54A8E"/>
    <w:rsid w:val="4AF331E3"/>
    <w:rsid w:val="4B1318D7"/>
    <w:rsid w:val="4B5B219E"/>
    <w:rsid w:val="4B766C25"/>
    <w:rsid w:val="4B8B3770"/>
    <w:rsid w:val="4B9B63E9"/>
    <w:rsid w:val="4C0B4E5A"/>
    <w:rsid w:val="4C2A54C8"/>
    <w:rsid w:val="4C3457E4"/>
    <w:rsid w:val="4C417191"/>
    <w:rsid w:val="4CDD0537"/>
    <w:rsid w:val="4CE92A73"/>
    <w:rsid w:val="4D0E072B"/>
    <w:rsid w:val="4D1E3BF0"/>
    <w:rsid w:val="4D23401E"/>
    <w:rsid w:val="4D292F18"/>
    <w:rsid w:val="4E4D2F98"/>
    <w:rsid w:val="4E9E02F2"/>
    <w:rsid w:val="4F1B2C8C"/>
    <w:rsid w:val="4F21757A"/>
    <w:rsid w:val="4F44603F"/>
    <w:rsid w:val="4F5B7CFE"/>
    <w:rsid w:val="4F5C2A13"/>
    <w:rsid w:val="501F70B7"/>
    <w:rsid w:val="5032537B"/>
    <w:rsid w:val="509A0A44"/>
    <w:rsid w:val="50BE6FAF"/>
    <w:rsid w:val="50CD0F4C"/>
    <w:rsid w:val="50E824CD"/>
    <w:rsid w:val="51161D1C"/>
    <w:rsid w:val="51581F80"/>
    <w:rsid w:val="515B5339"/>
    <w:rsid w:val="51661A7D"/>
    <w:rsid w:val="51916E82"/>
    <w:rsid w:val="520E1C44"/>
    <w:rsid w:val="52390A64"/>
    <w:rsid w:val="523F4EE3"/>
    <w:rsid w:val="524E5126"/>
    <w:rsid w:val="524F5101"/>
    <w:rsid w:val="525F19A5"/>
    <w:rsid w:val="528F15D1"/>
    <w:rsid w:val="52BA4AFD"/>
    <w:rsid w:val="52CD7D86"/>
    <w:rsid w:val="52D00D15"/>
    <w:rsid w:val="52D41ACF"/>
    <w:rsid w:val="52E36E14"/>
    <w:rsid w:val="53193986"/>
    <w:rsid w:val="53210C7A"/>
    <w:rsid w:val="532F0AEC"/>
    <w:rsid w:val="53322C88"/>
    <w:rsid w:val="538D3FE0"/>
    <w:rsid w:val="538F6092"/>
    <w:rsid w:val="53C22E43"/>
    <w:rsid w:val="53FA0CE7"/>
    <w:rsid w:val="546E6337"/>
    <w:rsid w:val="54782853"/>
    <w:rsid w:val="54FF02B0"/>
    <w:rsid w:val="550C1F5C"/>
    <w:rsid w:val="551C7EC0"/>
    <w:rsid w:val="552F6C70"/>
    <w:rsid w:val="55911EF9"/>
    <w:rsid w:val="55970B35"/>
    <w:rsid w:val="55E63039"/>
    <w:rsid w:val="55E869EF"/>
    <w:rsid w:val="55EE7B38"/>
    <w:rsid w:val="55F32BB8"/>
    <w:rsid w:val="56065BB3"/>
    <w:rsid w:val="565F4183"/>
    <w:rsid w:val="56677DAE"/>
    <w:rsid w:val="569F0BF6"/>
    <w:rsid w:val="56D60D89"/>
    <w:rsid w:val="56EF2A31"/>
    <w:rsid w:val="571406EC"/>
    <w:rsid w:val="57862942"/>
    <w:rsid w:val="57DD1426"/>
    <w:rsid w:val="58224A41"/>
    <w:rsid w:val="5834613A"/>
    <w:rsid w:val="58642193"/>
    <w:rsid w:val="58721AF7"/>
    <w:rsid w:val="5889510A"/>
    <w:rsid w:val="58C17956"/>
    <w:rsid w:val="58FB1945"/>
    <w:rsid w:val="59683EB5"/>
    <w:rsid w:val="59AA2C98"/>
    <w:rsid w:val="59C06B0F"/>
    <w:rsid w:val="59CE5909"/>
    <w:rsid w:val="59CE5D52"/>
    <w:rsid w:val="5A240660"/>
    <w:rsid w:val="5AF051C8"/>
    <w:rsid w:val="5AF81198"/>
    <w:rsid w:val="5B504597"/>
    <w:rsid w:val="5B773940"/>
    <w:rsid w:val="5B9444F1"/>
    <w:rsid w:val="5B9672E4"/>
    <w:rsid w:val="5BB25195"/>
    <w:rsid w:val="5BF8100E"/>
    <w:rsid w:val="5C3872F2"/>
    <w:rsid w:val="5CC93458"/>
    <w:rsid w:val="5D8F5802"/>
    <w:rsid w:val="5E9B51F7"/>
    <w:rsid w:val="5EE67A13"/>
    <w:rsid w:val="5EE83993"/>
    <w:rsid w:val="5F132B6E"/>
    <w:rsid w:val="5F2B6F1B"/>
    <w:rsid w:val="5F37187D"/>
    <w:rsid w:val="5F634A78"/>
    <w:rsid w:val="5F6D26BC"/>
    <w:rsid w:val="5F7D0605"/>
    <w:rsid w:val="5F884FE8"/>
    <w:rsid w:val="5F970F44"/>
    <w:rsid w:val="5FEF1CF6"/>
    <w:rsid w:val="601B0D3D"/>
    <w:rsid w:val="606F4BE5"/>
    <w:rsid w:val="608C6CB8"/>
    <w:rsid w:val="60C34F31"/>
    <w:rsid w:val="60E84C3F"/>
    <w:rsid w:val="61190197"/>
    <w:rsid w:val="6158255D"/>
    <w:rsid w:val="615A6CB5"/>
    <w:rsid w:val="61A50120"/>
    <w:rsid w:val="61BC02FE"/>
    <w:rsid w:val="61C975E6"/>
    <w:rsid w:val="61D373F6"/>
    <w:rsid w:val="61F31DDA"/>
    <w:rsid w:val="624D2976"/>
    <w:rsid w:val="62547FDF"/>
    <w:rsid w:val="62AE7505"/>
    <w:rsid w:val="62E540C8"/>
    <w:rsid w:val="637123C4"/>
    <w:rsid w:val="63C6135F"/>
    <w:rsid w:val="63D46E7F"/>
    <w:rsid w:val="641F7636"/>
    <w:rsid w:val="643260F2"/>
    <w:rsid w:val="64A137DB"/>
    <w:rsid w:val="64BF4D71"/>
    <w:rsid w:val="64CF321D"/>
    <w:rsid w:val="64E00FA5"/>
    <w:rsid w:val="65337FC1"/>
    <w:rsid w:val="659A175A"/>
    <w:rsid w:val="65D33FC6"/>
    <w:rsid w:val="65EC4722"/>
    <w:rsid w:val="66306A40"/>
    <w:rsid w:val="66967370"/>
    <w:rsid w:val="66BD20C5"/>
    <w:rsid w:val="66D208FF"/>
    <w:rsid w:val="670B4DFA"/>
    <w:rsid w:val="670D72D4"/>
    <w:rsid w:val="673F17B5"/>
    <w:rsid w:val="675C7F85"/>
    <w:rsid w:val="67DD7915"/>
    <w:rsid w:val="67DE774C"/>
    <w:rsid w:val="680D2006"/>
    <w:rsid w:val="68157063"/>
    <w:rsid w:val="681F5143"/>
    <w:rsid w:val="68683E00"/>
    <w:rsid w:val="68D75530"/>
    <w:rsid w:val="68DE6DAC"/>
    <w:rsid w:val="691C6782"/>
    <w:rsid w:val="69296276"/>
    <w:rsid w:val="696E5EC9"/>
    <w:rsid w:val="6982125C"/>
    <w:rsid w:val="69F53287"/>
    <w:rsid w:val="6A0B1E23"/>
    <w:rsid w:val="6A0C3D9D"/>
    <w:rsid w:val="6A5C6387"/>
    <w:rsid w:val="6AE74987"/>
    <w:rsid w:val="6AED777A"/>
    <w:rsid w:val="6AF35486"/>
    <w:rsid w:val="6B560C49"/>
    <w:rsid w:val="6B695CA2"/>
    <w:rsid w:val="6B8754D9"/>
    <w:rsid w:val="6B945E48"/>
    <w:rsid w:val="6BDD1D01"/>
    <w:rsid w:val="6C793FB3"/>
    <w:rsid w:val="6CF50B68"/>
    <w:rsid w:val="6D5E7053"/>
    <w:rsid w:val="6E4A41A2"/>
    <w:rsid w:val="6E6D5385"/>
    <w:rsid w:val="6EB87750"/>
    <w:rsid w:val="6F2F1DA8"/>
    <w:rsid w:val="6F3519A2"/>
    <w:rsid w:val="6F3F6AB6"/>
    <w:rsid w:val="6F424D82"/>
    <w:rsid w:val="6F793E6F"/>
    <w:rsid w:val="6F953F20"/>
    <w:rsid w:val="6FC42292"/>
    <w:rsid w:val="6FE70C3C"/>
    <w:rsid w:val="705A41AE"/>
    <w:rsid w:val="710B0016"/>
    <w:rsid w:val="71141F49"/>
    <w:rsid w:val="712F2F83"/>
    <w:rsid w:val="712F4D40"/>
    <w:rsid w:val="71536202"/>
    <w:rsid w:val="717912B5"/>
    <w:rsid w:val="71C83D38"/>
    <w:rsid w:val="71E80C9B"/>
    <w:rsid w:val="7220072D"/>
    <w:rsid w:val="72673C16"/>
    <w:rsid w:val="72782FEA"/>
    <w:rsid w:val="72906C5A"/>
    <w:rsid w:val="72BC5A5F"/>
    <w:rsid w:val="733511AD"/>
    <w:rsid w:val="733B08E9"/>
    <w:rsid w:val="7348384A"/>
    <w:rsid w:val="73B26855"/>
    <w:rsid w:val="745B5755"/>
    <w:rsid w:val="74832C87"/>
    <w:rsid w:val="751A24EE"/>
    <w:rsid w:val="75BF029D"/>
    <w:rsid w:val="75EA3133"/>
    <w:rsid w:val="7642703D"/>
    <w:rsid w:val="769026CC"/>
    <w:rsid w:val="76C05D69"/>
    <w:rsid w:val="77B21D7F"/>
    <w:rsid w:val="77CC652C"/>
    <w:rsid w:val="7801480E"/>
    <w:rsid w:val="78A43A5B"/>
    <w:rsid w:val="794666AE"/>
    <w:rsid w:val="79555700"/>
    <w:rsid w:val="79671ACC"/>
    <w:rsid w:val="798412AA"/>
    <w:rsid w:val="79954935"/>
    <w:rsid w:val="7A22251A"/>
    <w:rsid w:val="7A6102AA"/>
    <w:rsid w:val="7A627BAF"/>
    <w:rsid w:val="7A820227"/>
    <w:rsid w:val="7A8E67CA"/>
    <w:rsid w:val="7B025C9E"/>
    <w:rsid w:val="7B2E771F"/>
    <w:rsid w:val="7B7179AA"/>
    <w:rsid w:val="7BB120FE"/>
    <w:rsid w:val="7BB91A06"/>
    <w:rsid w:val="7BBF58E9"/>
    <w:rsid w:val="7BC83FB8"/>
    <w:rsid w:val="7C08483A"/>
    <w:rsid w:val="7CA539C1"/>
    <w:rsid w:val="7CC10F1E"/>
    <w:rsid w:val="7CEF2EDE"/>
    <w:rsid w:val="7CF20C20"/>
    <w:rsid w:val="7CF76237"/>
    <w:rsid w:val="7DD50326"/>
    <w:rsid w:val="7E417892"/>
    <w:rsid w:val="7E5F5E41"/>
    <w:rsid w:val="7E6E5448"/>
    <w:rsid w:val="7EE96B57"/>
    <w:rsid w:val="7F841C19"/>
  </w:rsids>
  <w:docVars>
    <w:docVar w:name="commondata" w:val="eyJoZGlkIjoiYTdjNmJjMTc4NDdjZjZhMDA5ODVmZGFiYjYxOGU1MDAifQ=="/>
    <w:docVar w:name="KSO_WPS_MARK_KEY" w:val="2e1cce54-81fa-4acc-a439-6644b786e326"/>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Title"/>
    <w:next w:val="Normal"/>
    <w:unhideWhenUsed/>
    <w:qFormat/>
    <w:pPr>
      <w:keepNext/>
      <w:keepLines/>
      <w:spacing w:before="260" w:beforeLines="0" w:beforeAutospacing="0" w:after="260" w:afterLines="0" w:afterAutospacing="0" w:line="413" w:lineRule="auto"/>
      <w:outlineLvl w:val="1"/>
    </w:pPr>
    <w:rPr>
      <w:rFonts w:ascii="Arial" w:eastAsia="黑体" w:hAnsi="Arial"/>
      <w:sz w:val="32"/>
    </w:rPr>
  </w:style>
  <w:style w:type="paragraph" w:styleId="Heading3">
    <w:name w:val="heading 3"/>
    <w:basedOn w:val="Heading2"/>
    <w:next w:val="Normal"/>
    <w:qFormat/>
    <w:pPr>
      <w:numPr>
        <w:ilvl w:val="0"/>
        <w:numId w:val="0"/>
      </w:numPr>
      <w:outlineLvl w:val="2"/>
    </w:pPr>
  </w:style>
  <w:style w:type="paragraph" w:styleId="Heading4">
    <w:name w:val="heading 4"/>
    <w:basedOn w:val="Heading3"/>
    <w:next w:val="Normal"/>
    <w:qFormat/>
    <w:pPr>
      <w:numPr>
        <w:ilvl w:val="0"/>
        <w:numId w:val="0"/>
      </w:numPr>
      <w:outlineLvl w:val="3"/>
    </w:pPr>
    <w:rPr>
      <w:sz w:val="21"/>
      <w:szCs w:val="28"/>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Title">
    <w:name w:val="Title"/>
    <w:basedOn w:val="Normal"/>
    <w:next w:val="a"/>
    <w:qFormat/>
    <w:pPr>
      <w:spacing w:before="240" w:after="60"/>
      <w:jc w:val="center"/>
    </w:pPr>
    <w:rPr>
      <w:rFonts w:ascii="Calibri Light" w:eastAsia="黑体" w:hAnsi="Calibri Light"/>
      <w:b/>
      <w:sz w:val="52"/>
      <w:szCs w:val="32"/>
    </w:rPr>
  </w:style>
  <w:style w:type="paragraph" w:customStyle="1" w:styleId="a">
    <w:name w:val="报表主标题"/>
    <w:basedOn w:val="Title"/>
    <w:qFormat/>
    <w:pPr>
      <w:adjustRightInd w:val="0"/>
      <w:snapToGrid w:val="0"/>
      <w:spacing w:before="0" w:after="0"/>
    </w:pPr>
  </w:style>
  <w:style w:type="paragraph" w:styleId="BodyText">
    <w:name w:val="Body Text"/>
    <w:basedOn w:val="Normal"/>
    <w:qFormat/>
    <w:pPr>
      <w:spacing w:after="12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中等深浅底纹 1 - 强调文字颜色 11"/>
    <w:basedOn w:val="TableNormal"/>
    <w:uiPriority w:val="63"/>
    <w:qFormat/>
    <w:pPr>
      <w:spacing w:after="0" w:line="240" w:lineRule="auto"/>
    </w:pPr>
    <w:tblPr>
      <w:tblBorders>
        <w:top w:val="single" w:sz="8"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single" w:sz="8" w:space="0" w:color="84B4D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sz="8"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4DF" w:themeColor="accent1" w:themeTint="BF"/>
          <w:left w:val="single" w:sz="8" w:space="0" w:color="84B4DF" w:themeColor="accent1" w:themeTint="BF"/>
          <w:bottom w:val="single" w:sz="8" w:space="0" w:color="84B4DF" w:themeColor="accent1" w:themeTint="BF"/>
          <w:right w:val="single" w:sz="8" w:space="0" w:color="84B4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TOC1">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2">
    <w:name w:val="toc 2"/>
    <w:basedOn w:val="Normal"/>
    <w:next w:val="Normal"/>
    <w:autoRedefine/>
    <w:rsid w:val="00805BCE"/>
    <w:pPr>
      <w:ind w:left="24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hart" Target="charts/chart1.xml" /><Relationship Id="rId11" Type="http://schemas.openxmlformats.org/officeDocument/2006/relationships/chart" Target="charts/chart2.xml" /><Relationship Id="rId12" Type="http://schemas.openxmlformats.org/officeDocument/2006/relationships/image" Target="media/image3.png" /><Relationship Id="rId13" Type="http://schemas.openxmlformats.org/officeDocument/2006/relationships/image" Target="media/image4.png" /><Relationship Id="rId14" Type="http://schemas.openxmlformats.org/officeDocument/2006/relationships/image" Target="media/image5.png"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footer" Target="footer2.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image" Target="media/image2.png"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主机风险等级分布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178EFF"/>
              </a:solidFill>
            </c:spPr>
          </c:dPt>
          <c:dPt>
            <c:idx val="3"/>
            <c:spPr>
              <a:solidFill>
                <a:srgbClr val="68B92E"/>
              </a:solidFill>
            </c:spPr>
          </c:dPt>
          <c:dPt>
            <c:idx val="4"/>
            <c:spPr>
              <a:solidFill>
                <a:srgbClr val="E7E7E7"/>
              </a:solidFill>
            </c:spPr>
          </c:dPt>
          <c:cat>
            <c:strLit>
              <c:ptCount val="5"/>
              <c:pt idx="0">
                <c:v>非常危险[0]</c:v>
              </c:pt>
              <c:pt idx="1">
                <c:v>比较危险[1]</c:v>
              </c:pt>
              <c:pt idx="2">
                <c:v>比较安全[0]</c:v>
              </c:pt>
              <c:pt idx="3">
                <c:v>非常安全[0]</c:v>
              </c:pt>
              <c:pt idx="4">
                <c:v>未知风险[0]</c:v>
              </c:pt>
            </c:strLit>
          </c:cat>
          <c:val>
            <c:numLit>
              <c:formatCode>General</c:formatCode>
              <c:ptCount val="5"/>
              <c:pt idx="0" formatCode="General">
                <c:v>0</c:v>
              </c:pt>
              <c:pt idx="1" formatCode="General">
                <c:v>1</c:v>
              </c:pt>
              <c:pt idx="2" formatCode="General">
                <c:v>0</c:v>
              </c:pt>
              <c:pt idx="3" formatCode="General">
                <c:v>0</c:v>
              </c:pt>
              <c:pt idx="4" formatCode="General">
                <c:v>0</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漏洞高中低风险分布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68B92E"/>
              </a:solidFill>
            </c:spPr>
          </c:dPt>
          <c:cat>
            <c:strLit>
              <c:ptCount val="3"/>
              <c:pt idx="0">
                <c:v>高风险[0个]</c:v>
              </c:pt>
              <c:pt idx="1">
                <c:v>中风险[1个]</c:v>
              </c:pt>
              <c:pt idx="2">
                <c:v>低风险[16个]</c:v>
              </c:pt>
            </c:strLit>
          </c:cat>
          <c:val>
            <c:numLit>
              <c:formatCode>General</c:formatCode>
              <c:ptCount val="3"/>
              <c:pt idx="0" formatCode="General">
                <c:v>0</c:v>
              </c:pt>
              <c:pt idx="1" formatCode="General">
                <c:v>1</c:v>
              </c:pt>
              <c:pt idx="2" formatCode="General">
                <c:v>16</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437</Words>
  <Characters>1684</Characters>
  <Application>Microsoft Office Word</Application>
  <DocSecurity>0</DocSecurity>
  <Lines>0</Lines>
  <Paragraphs>0</Paragraphs>
  <ScaleCrop>false</ScaleCrop>
  <Company/>
  <LinksUpToDate>false</LinksUpToDate>
  <CharactersWithSpaces>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nsfocus</dc:creator>
  <cp:lastModifiedBy>Self</cp:lastModifiedBy>
  <cp:revision>0</cp:revision>
  <dcterms:created xsi:type="dcterms:W3CDTF">2024-04-08T01:56:00Z</dcterms:created>
  <dcterms:modified xsi:type="dcterms:W3CDTF">2025-11-04T06:54:48Z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73C23F9AD0FD488886990CA181992262_12</vt:lpwstr>
  </property>
  <property fmtid="{D5CDD505-2E9C-101B-9397-08002B2CF9AE}" pid="3" name="KSOProductBuildVer">
    <vt:lpwstr>2052-12.1.0.23125</vt:lpwstr>
  </property>
  <property fmtid="{D5CDD505-2E9C-101B-9397-08002B2CF9AE}" pid="4" name="KSOTemplateDocerSaveRecord">
    <vt:lpwstr>eyJoZGlkIjoiYTdjNmJjMTc4NDdjZjZhMDA5ODVmZGFiYjYxOGU1MDAiLCJ1c2VySWQiOiI3MzM3MDc3NDAifQ==</vt:lpwstr>
  </property>
</Properties>
</file>