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720" w:after="160"/>
        <w:jc w:val="center"/>
      </w:pPr>
      <w:r>
        <w:rPr>
          <w:rFonts w:ascii="Noto Sans CJK SC" w:hAnsi="Noto Sans CJK SC" w:eastAsia="Noto Sans CJK SC"/>
          <w:b/>
          <w:color w:val="1F3A5F"/>
          <w:sz w:val="48"/>
        </w:rPr>
        <w:t>公司级智能体研发交付规范</w:t>
      </w:r>
    </w:p>
    <w:p>
      <w:pPr>
        <w:spacing w:after="280"/>
        <w:jc w:val="center"/>
      </w:pPr>
      <w:r>
        <w:rPr>
          <w:rFonts w:ascii="Noto Sans CJK SC" w:hAnsi="Noto Sans CJK SC" w:eastAsia="Noto Sans CJK SC"/>
          <w:color w:val="555555"/>
          <w:sz w:val="25"/>
        </w:rPr>
        <w:t>company_ai_delivery_standard_v1</w:t>
      </w:r>
    </w:p>
    <w:p>
      <w:pPr>
        <w:spacing w:after="360"/>
        <w:jc w:val="center"/>
      </w:pPr>
      <w:r>
        <w:rPr>
          <w:rFonts w:ascii="Noto Sans CJK SC" w:hAnsi="Noto Sans CJK SC" w:eastAsia="Noto Sans CJK SC"/>
          <w:color w:val="666666"/>
          <w:sz w:val="21"/>
        </w:rPr>
        <w:t>版本：v1.0    用途：主控智能体、Codex、研发、测试、CI/CD 与手册自动化统一治理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1944"/>
            <w:vAlign w:val="center"/>
            <w:shd w:fill="EAF1FB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核心目标</w:t>
            </w:r>
          </w:p>
        </w:tc>
        <w:tc>
          <w:tcPr>
            <w:tcW w:type="dxa" w:w="856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让任意平台来的需求先归一、再实现，并把“改坏旧系统”的风险降到最低。</w:t>
            </w:r>
          </w:p>
        </w:tc>
      </w:tr>
      <w:tr>
        <w:tc>
          <w:tcPr>
            <w:tcW w:type="dxa" w:w="1944"/>
            <w:vAlign w:val="center"/>
            <w:shd w:fill="EAF1FB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控制面</w:t>
            </w:r>
          </w:p>
        </w:tc>
        <w:tc>
          <w:tcPr>
            <w:tcW w:type="dxa" w:w="856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管理员硬约束 + 仓库规则 + Hook + 多智能体分工 + CI/CD Gate。</w:t>
            </w:r>
          </w:p>
        </w:tc>
      </w:tr>
      <w:tr>
        <w:tc>
          <w:tcPr>
            <w:tcW w:type="dxa" w:w="1944"/>
            <w:vAlign w:val="center"/>
            <w:shd w:fill="EAF1FB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适用范围</w:t>
            </w:r>
          </w:p>
        </w:tc>
        <w:tc>
          <w:tcPr>
            <w:tcW w:type="dxa" w:w="856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新功能、缺陷修复、权限与菜单调整、API/DB/配置变更、手册与菜单差异更新。</w:t>
            </w:r>
          </w:p>
        </w:tc>
      </w:tr>
      <w:tr>
        <w:tc>
          <w:tcPr>
            <w:tcW w:type="dxa" w:w="1944"/>
            <w:vAlign w:val="center"/>
            <w:shd w:fill="EAF1FB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完成定义</w:t>
            </w:r>
          </w:p>
        </w:tc>
        <w:tc>
          <w:tcPr>
            <w:tcW w:type="dxa" w:w="856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没有测试结果、兼容策略、发布建议、回滚方案，不允许宣称完成。</w:t>
            </w:r>
          </w:p>
        </w:tc>
      </w:tr>
    </w:tbl>
    <w:p>
      <w:r>
        <w:br w:type="page"/>
      </w:r>
    </w:p>
    <w:p>
      <w:pPr>
        <w:pStyle w:val="Heading1"/>
      </w:pPr>
      <w:r>
        <w:t>1. 为什么这套规范必须存在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Prompt 只能引导行为，不能单独形成安全边界；真正能防止“新功能可用但旧系统被改坏”的，是 sandbox、approval、rules、hooks 与 CI/CD。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任何协作平台的自然语言需求，如果直接丢给实现代理，都会放大误解、改动面失控、测试缺失和兼容性回归。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把 TASK_CONTRACT、FEATURE_SPEC、测试报告、兼容说明和回滚方案固化下来，才能把“经验”变成可复制的工程能力。</w:t>
      </w:r>
    </w:p>
    <w:p>
      <w:pPr>
        <w:pStyle w:val="Heading1"/>
      </w:pPr>
      <w:r>
        <w:t>2. 公司级控制面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728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控制层</w:t>
            </w:r>
          </w:p>
        </w:tc>
        <w:tc>
          <w:tcPr>
            <w:tcW w:type="dxa" w:w="2448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落地文件</w:t>
            </w:r>
          </w:p>
        </w:tc>
        <w:tc>
          <w:tcPr>
            <w:tcW w:type="dxa" w:w="5040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治理重点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管理员硬约束</w:t>
            </w:r>
          </w:p>
        </w:tc>
        <w:tc>
          <w:tcPr>
            <w:tcW w:type="dxa" w:w="244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requirements.toml</w:t>
            </w:r>
          </w:p>
        </w:tc>
        <w:tc>
          <w:tcPr>
            <w:tcW w:type="dxa" w:w="504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限制 sandbox / approval policy / 高风险命令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仓库默认配置</w:t>
            </w:r>
          </w:p>
        </w:tc>
        <w:tc>
          <w:tcPr>
            <w:tcW w:type="dxa" w:w="244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.codex/config.toml</w:t>
            </w:r>
          </w:p>
        </w:tc>
        <w:tc>
          <w:tcPr>
            <w:tcW w:type="dxa" w:w="504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固化多智能体、profile、默认只读策略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仓库规则</w:t>
            </w:r>
          </w:p>
        </w:tc>
        <w:tc>
          <w:tcPr>
            <w:tcW w:type="dxa" w:w="244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AGENTS.md</w:t>
            </w:r>
          </w:p>
        </w:tc>
        <w:tc>
          <w:tcPr>
            <w:tcW w:type="dxa" w:w="504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规定先契约、后分析、再实现、先验证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本地规则 + Hooks</w:t>
            </w:r>
          </w:p>
        </w:tc>
        <w:tc>
          <w:tcPr>
            <w:tcW w:type="dxa" w:w="244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.codex/rules / .codex/hooks</w:t>
            </w:r>
          </w:p>
        </w:tc>
        <w:tc>
          <w:tcPr>
            <w:tcW w:type="dxa" w:w="504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拦截危险命令，结束前检查测试、兼容性与手册门禁</w:t>
            </w:r>
          </w:p>
        </w:tc>
      </w:tr>
      <w:tr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CI/CD 质量门</w:t>
            </w:r>
          </w:p>
        </w:tc>
        <w:tc>
          <w:tcPr>
            <w:tcW w:type="dxa" w:w="244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governance/CI_GATES.md</w:t>
            </w:r>
          </w:p>
        </w:tc>
        <w:tc>
          <w:tcPr>
            <w:tcW w:type="dxa" w:w="504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把测试、OpenAPI、手册与回滚检查接入流水线</w:t>
            </w:r>
          </w:p>
        </w:tc>
      </w:tr>
    </w:tbl>
    <w:p>
      <w:pPr>
        <w:spacing w:after="60"/>
      </w:pPr>
    </w:p>
    <w:p>
      <w:pPr>
        <w:pStyle w:val="Heading1"/>
      </w:pPr>
      <w:r>
        <w:t>3. 任意平台需求的统一流转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所有需求先归一为 TASK_CONTRACT；中高风险任务再补 FEATURE_SPEC。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主控智能体不直接写代码，先做需求契约、影响面识别和风险分级。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高风险任务必须输出兼容策略、灰度方式、发布建议和回滚方式。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vAlign w:val="center"/>
            <w:shd w:fill="F3F7FC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原始需求 → TASK_CONTRACT →（中高风险）FEATURE_SPEC → 影响面分析 → 实现 → 测试 → 审查 → Manual Gate → 发布建议 / 回滚建议</w:t>
            </w:r>
          </w:p>
        </w:tc>
      </w:tr>
    </w:tbl>
    <w:p/>
    <w:p>
      <w:pPr>
        <w:pStyle w:val="Heading1"/>
      </w:pPr>
      <w:r>
        <w:t>4. 多智能体职责划分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944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角色</w:t>
            </w:r>
          </w:p>
        </w:tc>
        <w:tc>
          <w:tcPr>
            <w:tcW w:type="dxa" w:w="5544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职责</w:t>
            </w:r>
          </w:p>
        </w:tc>
        <w:tc>
          <w:tcPr>
            <w:tcW w:type="dxa" w:w="1728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默认权限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contract_guard</w:t>
            </w:r>
          </w:p>
        </w:tc>
        <w:tc>
          <w:tcPr>
            <w:tcW w:type="dxa" w:w="55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把原始需求转为 TASK_CONTRACT，判断风险与是否需要详细规格</w:t>
            </w:r>
          </w:p>
        </w:tc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只读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code_mapper</w:t>
            </w:r>
          </w:p>
        </w:tc>
        <w:tc>
          <w:tcPr>
            <w:tcW w:type="dxa" w:w="55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识别入口、调用链、上下游依赖、受影响契约与现有测试</w:t>
            </w:r>
          </w:p>
        </w:tc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只读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implementation_worker</w:t>
            </w:r>
          </w:p>
        </w:tc>
        <w:tc>
          <w:tcPr>
            <w:tcW w:type="dxa" w:w="55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做最小闭环实现，优先兼容、优先补测试</w:t>
            </w:r>
          </w:p>
        </w:tc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工作区可写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test_guard</w:t>
            </w:r>
          </w:p>
        </w:tc>
        <w:tc>
          <w:tcPr>
            <w:tcW w:type="dxa" w:w="55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组织 full-chain、OpenAPI、Perf 与 manual gate 相关验证</w:t>
            </w:r>
          </w:p>
        </w:tc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工作区可写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reviewer</w:t>
            </w:r>
          </w:p>
        </w:tc>
        <w:tc>
          <w:tcPr>
            <w:tcW w:type="dxa" w:w="55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审查正确性、回归、兼容性、安全与可观测性</w:t>
            </w:r>
          </w:p>
        </w:tc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只读</w:t>
            </w:r>
          </w:p>
        </w:tc>
      </w:tr>
      <w:tr>
        <w:tc>
          <w:tcPr>
            <w:tcW w:type="dxa" w:w="19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manual_guard</w:t>
            </w:r>
          </w:p>
        </w:tc>
        <w:tc>
          <w:tcPr>
            <w:tcW w:type="dxa" w:w="554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检查 menu diff、role diff、手册与 QC 报告</w:t>
            </w:r>
          </w:p>
        </w:tc>
        <w:tc>
          <w:tcPr>
            <w:tcW w:type="dxa" w:w="1728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工作区可写</w:t>
            </w:r>
          </w:p>
        </w:tc>
      </w:tr>
    </w:tbl>
    <w:p>
      <w:pPr>
        <w:spacing w:after="60"/>
      </w:pPr>
    </w:p>
    <w:p>
      <w:pPr>
        <w:pStyle w:val="Heading1"/>
      </w:pPr>
      <w:r>
        <w:t>5. 项目级强规则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兼容性优先：API、数据库、事件、配置、权限、菜单、共享库、手册入口变化默认按高风险处理。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改动范围最小化：禁止借机顺手重构无关模块；跨边界改动必须先说明影响链。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先复用后新增：依赖变化必须审批；生成目录不得作为源代码修改替代。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数据迁移必须遵循 Expand → Migrate → Contract；不允许一步到位的破坏式提交。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菜单、路由、页面结构和角色差异变化必须触发手册更新与菜单差异报告。</w:t>
      </w:r>
    </w:p>
    <w:p>
      <w:pPr>
        <w:pStyle w:val="Heading1"/>
      </w:pPr>
      <w:r>
        <w:t>6. 仓库边界与禁止区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656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对象</w:t>
            </w:r>
          </w:p>
        </w:tc>
        <w:tc>
          <w:tcPr>
            <w:tcW w:type="dxa" w:w="4680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允许的做法</w:t>
            </w:r>
          </w:p>
        </w:tc>
        <w:tc>
          <w:tcPr>
            <w:tcW w:type="dxa" w:w="2880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禁止的做法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后端仓库</w:t>
            </w:r>
          </w:p>
        </w:tc>
        <w:tc>
          <w:tcPr>
            <w:tcW w:type="dxa" w:w="46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Controller/Service/Model 各司其职，补测试并更新 OpenAPI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Controller 直接写 SQL、无迁移策略改 schema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前端仓库</w:t>
            </w:r>
          </w:p>
        </w:tc>
        <w:tc>
          <w:tcPr>
            <w:tcW w:type="dxa" w:w="46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API 调用收敛到 src/api，路由权限沿用既有模式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直接改 dist、静默修改菜单/权限语义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Prompt / 手册资产</w:t>
            </w:r>
          </w:p>
        </w:tc>
        <w:tc>
          <w:tcPr>
            <w:tcW w:type="dxa" w:w="46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通过真相源与脚本生成 README、手册与差异报告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手工改生成文件、无证据编写结论</w:t>
            </w:r>
          </w:p>
        </w:tc>
      </w:tr>
      <w:tr>
        <w:tc>
          <w:tcPr>
            <w:tcW w:type="dxa" w:w="165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发布资产</w:t>
            </w:r>
          </w:p>
        </w:tc>
        <w:tc>
          <w:tcPr>
            <w:tcW w:type="dxa" w:w="46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补充灰度、回滚、观测点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无回滚方案直接推进高风险上线</w:t>
            </w:r>
          </w:p>
        </w:tc>
      </w:tr>
    </w:tbl>
    <w:p>
      <w:pPr>
        <w:spacing w:after="60"/>
      </w:pPr>
    </w:p>
    <w:p>
      <w:pPr>
        <w:pStyle w:val="Heading1"/>
      </w:pPr>
      <w:r>
        <w:t>7. 质量门与交付产物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296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门禁类型</w:t>
            </w:r>
          </w:p>
        </w:tc>
        <w:tc>
          <w:tcPr>
            <w:tcW w:type="dxa" w:w="5184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最低要求</w:t>
            </w:r>
          </w:p>
        </w:tc>
        <w:tc>
          <w:tcPr>
            <w:tcW w:type="dxa" w:w="2880"/>
            <w:vAlign w:val="center"/>
            <w:shd w:fill="D9E2F3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产物</w:t>
            </w:r>
          </w:p>
        </w:tc>
      </w:tr>
      <w:tr>
        <w:tc>
          <w:tcPr>
            <w:tcW w:type="dxa" w:w="129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P0</w:t>
            </w:r>
          </w:p>
        </w:tc>
        <w:tc>
          <w:tcPr>
            <w:tcW w:type="dxa" w:w="518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lint / compile / unit / smoke / diff-based regression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测试日志与结果</w:t>
            </w:r>
          </w:p>
        </w:tc>
      </w:tr>
      <w:tr>
        <w:tc>
          <w:tcPr>
            <w:tcW w:type="dxa" w:w="129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P1</w:t>
            </w:r>
          </w:p>
        </w:tc>
        <w:tc>
          <w:tcPr>
            <w:tcW w:type="dxa" w:w="518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contract / integration / schema check / OpenAPI 更新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契约说明、OpenAPI、报告</w:t>
            </w:r>
          </w:p>
        </w:tc>
      </w:tr>
      <w:tr>
        <w:tc>
          <w:tcPr>
            <w:tcW w:type="dxa" w:w="129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P2</w:t>
            </w:r>
          </w:p>
        </w:tc>
        <w:tc>
          <w:tcPr>
            <w:tcW w:type="dxa" w:w="518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canary / rollback rehearsal / perf baseline / observability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灰度计划、回滚方案、性能报告</w:t>
            </w:r>
          </w:p>
        </w:tc>
      </w:tr>
      <w:tr>
        <w:tc>
          <w:tcPr>
            <w:tcW w:type="dxa" w:w="1296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Manual Gate</w:t>
            </w:r>
          </w:p>
        </w:tc>
        <w:tc>
          <w:tcPr>
            <w:tcW w:type="dxa" w:w="5184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menu diff / role diff / QC / 截图或视频证据</w:t>
            </w:r>
          </w:p>
        </w:tc>
        <w:tc>
          <w:tcPr>
            <w:tcW w:type="dxa" w:w="2880"/>
            <w:vAlign w:val="center"/>
          </w:tcPr>
          <w:p>
            <w:pPr>
              <w:spacing w:after="20" w:before="20"/>
            </w:pPr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手册报告、差异页、QC 报告</w:t>
            </w:r>
          </w:p>
        </w:tc>
      </w:tr>
    </w:tbl>
    <w:p>
      <w:pPr>
        <w:spacing w:after="60"/>
      </w:pPr>
    </w:p>
    <w:p>
      <w:pPr>
        <w:pStyle w:val="Heading1"/>
      </w:pPr>
      <w:r>
        <w:t>8. 审查与发布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审查顺序固定为：正确性 → 回归风险 → 兼容性 → 安全性 → 并发/幂等/重试 → 可观测性 → 可维护性。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高风险变更必须有：受影响契约、兼容策略、灰度方式、回滚方式、观测点。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没有真实测试结果、手册差异结果或回滚方案时，只能输出“仍需处理事项”，不能输出“完成”。</w:t>
      </w:r>
    </w:p>
    <w:p>
      <w:pPr>
        <w:pStyle w:val="Heading1"/>
      </w:pPr>
      <w:r>
        <w:t>9. 落地建议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先由管理员统一下发 requirements.toml，再在试点仓库落 AGENTS.md 与 governance 目录。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先挑一个中等复杂度模块试点，跑通 contract_guard → code_mapper → implementation_worker → test_guard → reviewer → manual_guard。</w:t>
      </w:r>
    </w:p>
    <w:p>
      <w:pPr>
        <w:spacing w:after="60"/>
        <w:ind w:left="259" w:hanging="259"/>
      </w:pPr>
      <w:r>
        <w:rPr>
          <w:rFonts w:ascii="Noto Sans CJK SC" w:hAnsi="Noto Sans CJK SC" w:eastAsia="Noto Sans CJK SC"/>
          <w:sz w:val="21"/>
        </w:rPr>
        <w:t>• 项目负责人必须补齐 PROJECT_METADATA_TEMPLATE.md；否则 AI 仍可能“局部正确、全局出事”。</w:t>
      </w:r>
    </w:p>
    <w:p>
      <w:pPr>
        <w:pStyle w:val="Heading1"/>
      </w:pPr>
      <w:r>
        <w:t>10. 一句话判断标准</w:t>
      </w:r>
    </w:p>
    <w:p>
      <w:pPr>
        <w:pStyle w:val="Callout"/>
        <w:spacing w:before="40" w:after="40"/>
        <w:ind w:left="259" w:right="259"/>
      </w:pPr>
      <w:r>
        <w:rPr>
          <w:rFonts w:ascii="Noto Sans CJK SC" w:hAnsi="Noto Sans CJK SC" w:eastAsia="Noto Sans CJK SC"/>
          <w:b/>
          <w:sz w:val="21"/>
        </w:rPr>
        <w:t>如果新需求能先被归一、关键改动能被兼容与测试门禁挡住、手册与系统保持同步、发布时总有可执行的回滚方案，这套规范就真正开始发挥价值。</w:t>
      </w:r>
    </w:p>
    <w:sectPr w:rsidR="00FC693F" w:rsidRPr="0006063C" w:rsidSect="00034616">
      <w:footerReference w:type="default" r:id="rId9"/>
      <w:pgSz w:w="12240" w:h="15840"/>
      <w:pgMar w:top="1008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666666"/>
        <w:sz w:val="16"/>
      </w:rPr>
      <w:t>company_ai_delivery_standard_v1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3A5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F557F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D6D9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F3A5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rPr>
      <w:rFonts w:ascii="Noto Sans CJK SC" w:hAnsi="Noto Sans CJK SC" w:eastAsia="Noto Sans CJK SC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