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/>
    <w:p>
      <w:pPr>
        <w:pStyle w:val="Title"/>
        <w:jc w:val="center"/>
      </w:pPr>
      <w:r>
        <w:t>安庆支队智慧食堂大屏使用说明</w:t>
      </w:r>
    </w:p>
    <w:p>
      <w:pPr>
        <w:spacing w:after="160"/>
      </w:pPr>
      <w:r>
        <w:rPr>
          <w:rFonts w:ascii="PingFang SC" w:hAnsi="PingFang SC" w:eastAsia="PingFang SC"/>
          <w:b w:val="0"/>
          <w:color w:val="000000"/>
          <w:sz w:val="21"/>
        </w:rPr>
        <w:t>本说明用于大屏值守人员确认周菜谱页面是否正确运行。页面为只读展示，不提供菜谱编辑、人员修改或业务审批操作。</w:t>
      </w:r>
    </w:p>
    <w:p>
      <w:pPr>
        <w:pStyle w:val="1"/>
      </w:pPr>
      <w:r>
        <w:t>访问入口</w:t>
      </w:r>
    </w:p>
    <w:p>
      <w:r>
        <w:rPr>
          <w:rFonts w:ascii="PingFang SC" w:hAnsi="PingFang SC" w:eastAsia="PingFang SC"/>
          <w:b/>
          <w:color w:val="0B5A78"/>
          <w:sz w:val="21"/>
        </w:rPr>
        <w:t>http://&lt;大屏主机&gt;:8082/#/anhui?type=&lt;餐厅ID&gt;</w:t>
      </w:r>
    </w:p>
    <w:p>
      <w:pPr>
        <w:pStyle w:val="1"/>
      </w:pPr>
      <w:r>
        <w:t>页面数据说明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6552"/>
      </w:tblGrid>
      <w:tr>
        <w:trPr>
          <w:tblHeader w:val="true"/>
        </w:trPr>
        <w:tc>
          <w:tcPr>
            <w:tcW w:type="dxa" w:w="4153"/>
            <w:vAlign w:val="center"/>
            <w:shd w:fill="0B5A78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区域</w:t>
            </w:r>
          </w:p>
        </w:tc>
        <w:tc>
          <w:tcPr>
            <w:tcW w:type="dxa" w:w="4153"/>
            <w:vAlign w:val="center"/>
            <w:shd w:fill="0B5A78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数据来源或规则</w:t>
            </w:r>
          </w:p>
        </w:tc>
      </w:tr>
      <w:tr>
        <w:tc>
          <w:tcPr>
            <w:tcW w:type="dxa" w:w="2376"/>
            <w:vAlign w:val="center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今日就餐人数</w:t>
            </w:r>
          </w:p>
        </w:tc>
        <w:tc>
          <w:tcPr>
            <w:tcW w:type="dxa" w:w="6552"/>
            <w:vAlign w:val="center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当前 type 餐厅的可见人员数量，不按当日订单统计</w:t>
            </w:r>
          </w:p>
        </w:tc>
      </w:tr>
      <w:tr>
        <w:tc>
          <w:tcPr>
            <w:tcW w:type="dxa" w:w="2376"/>
            <w:vAlign w:val="center"/>
            <w:shd w:fill="EAF5F8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查看人员名单</w:t>
            </w:r>
          </w:p>
        </w:tc>
        <w:tc>
          <w:tcPr>
            <w:tcW w:type="dxa" w:w="6552"/>
            <w:vAlign w:val="center"/>
            <w:shd w:fill="EAF5F8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点击后分页展示当前餐厅姓名，每页 80 人</w:t>
            </w:r>
          </w:p>
        </w:tc>
      </w:tr>
      <w:tr>
        <w:tc>
          <w:tcPr>
            <w:tcW w:type="dxa" w:w="2376"/>
            <w:vAlign w:val="center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当餐菜谱</w:t>
            </w:r>
          </w:p>
        </w:tc>
        <w:tc>
          <w:tcPr>
            <w:tcW w:type="dxa" w:w="6552"/>
            <w:vAlign w:val="center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按 PC 餐厅早中晚餐时间自动切换；加餐阶段继续展示晚餐</w:t>
            </w:r>
          </w:p>
        </w:tc>
      </w:tr>
      <w:tr>
        <w:tc>
          <w:tcPr>
            <w:tcW w:type="dxa" w:w="2376"/>
            <w:vAlign w:val="center"/>
            <w:shd w:fill="EAF5F8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本周菜谱</w:t>
            </w:r>
          </w:p>
        </w:tc>
        <w:tc>
          <w:tcPr>
            <w:tcW w:type="dxa" w:w="6552"/>
            <w:vAlign w:val="center"/>
            <w:shd w:fill="EAF5F8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周一至周日的早餐、午餐、晚餐和加餐</w:t>
            </w:r>
          </w:p>
        </w:tc>
      </w:tr>
      <w:tr>
        <w:tc>
          <w:tcPr>
            <w:tcW w:type="dxa" w:w="2376"/>
            <w:vAlign w:val="center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加餐</w:t>
            </w:r>
          </w:p>
        </w:tc>
        <w:tc>
          <w:tcPr>
            <w:tcW w:type="dxa" w:w="6552"/>
            <w:vAlign w:val="center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与 PC 菜谱管理夜宵同源，即餐次 4</w:t>
            </w:r>
          </w:p>
        </w:tc>
      </w:tr>
      <w:tr>
        <w:tc>
          <w:tcPr>
            <w:tcW w:type="dxa" w:w="2376"/>
            <w:vAlign w:val="center"/>
            <w:shd w:fill="EAF5F8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伙食定量标准</w:t>
            </w:r>
          </w:p>
        </w:tc>
        <w:tc>
          <w:tcPr>
            <w:tcW w:type="dxa" w:w="6552"/>
            <w:vAlign w:val="center"/>
            <w:shd w:fill="EAF5F8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按图示一类灶标准固定展示 16 项并自动滚动</w:t>
            </w:r>
          </w:p>
        </w:tc>
      </w:tr>
      <w:tr>
        <w:tc>
          <w:tcPr>
            <w:tcW w:type="dxa" w:w="2376"/>
            <w:vAlign w:val="center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今日寿星 妈妈菜</w:t>
            </w:r>
          </w:p>
        </w:tc>
        <w:tc>
          <w:tcPr>
            <w:tcW w:type="dxa" w:w="6552"/>
            <w:vAlign w:val="center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展示当天寿星及已维护妈妈菜；无数据时显示空态</w:t>
            </w:r>
          </w:p>
        </w:tc>
      </w:tr>
      <w:tr>
        <w:tc>
          <w:tcPr>
            <w:tcW w:type="dxa" w:w="2376"/>
            <w:vAlign w:val="center"/>
            <w:shd w:fill="EAF5F8"/>
          </w:tcPr>
          <w:p>
            <w:pPr>
              <w:jc w:val="center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吃动平衡</w:t>
            </w:r>
          </w:p>
        </w:tc>
        <w:tc>
          <w:tcPr>
            <w:tcW w:type="dxa" w:w="6552"/>
            <w:vAlign w:val="center"/>
            <w:shd w:fill="EAF5F8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color w:val="000000"/>
                <w:sz w:val="19"/>
              </w:rPr>
              <w:t>固定健康提示自动循环滚动</w:t>
            </w:r>
          </w:p>
        </w:tc>
      </w:tr>
    </w:tbl>
    <w:p>
      <w:pPr>
        <w:pStyle w:val="1"/>
      </w:pPr>
      <w:r>
        <w:t>核对步骤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1. 打开大屏入口，确认顶部名称与 PC 端选中餐厅一致，并显示当前日期时间。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2. 确认左上角人数为当前餐厅人员数；点击查看人员名单，检查姓名、分页和关闭。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3. 确认中心显示当前自然周 7 天，当天列以黄色边框标记。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4. 在 PC 菜谱管理维护某日夜宵后，确认中心加餐行和右侧加餐安排同时出现对应菜品。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5. 观察伙食定量标准和底部吃动平衡，确认持续滚动且没有长时间空白。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6. 某餐次未排菜时应显示横线或明确空态；接口异常时应提示稍后自动重试。</w:t>
      </w:r>
    </w:p>
    <w:p>
      <w:r>
        <w:br w:type="page"/>
      </w:r>
    </w:p>
    <w:p>
      <w:pPr>
        <w:pStyle w:val="1"/>
      </w:pPr>
      <w:r>
        <w:t>当前周页面</w:t>
      </w:r>
    </w:p>
    <w:p>
      <w:pPr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577840" cy="3137535"/>
            <wp:docPr id="1" name="Picture 1" descr="安庆支队智慧食堂当前周大屏" title="当前周大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rent-wee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137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PingFang SC" w:hAnsi="PingFang SC" w:eastAsia="PingFang SC"/>
          <w:b w:val="0"/>
          <w:color w:val="666666"/>
          <w:sz w:val="18"/>
        </w:rPr>
        <w:t>图 1 当前周智慧食堂大屏</w:t>
      </w:r>
    </w:p>
    <w:p>
      <w:r>
        <w:br w:type="page"/>
      </w:r>
    </w:p>
    <w:p>
      <w:pPr>
        <w:pStyle w:val="1"/>
      </w:pPr>
      <w:r>
        <w:t>查看人员名单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点击人数卡片下方查看人员名单。弹窗只展示当前餐厅姓名，可通过页码浏览全部人员。下图使用脱敏示例数据。</w:t>
      </w:r>
    </w:p>
    <w:p>
      <w:pPr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577840" cy="3137535"/>
            <wp:docPr id="2" name="Picture 2" descr="智慧食堂大屏查看人员名单弹窗脱敏示例" title="查看人员名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ff-list-dialog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137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PingFang SC" w:hAnsi="PingFang SC" w:eastAsia="PingFang SC"/>
          <w:b w:val="0"/>
          <w:color w:val="666666"/>
          <w:sz w:val="18"/>
        </w:rPr>
        <w:t>图 2 查看人员名单弹窗</w:t>
      </w:r>
    </w:p>
    <w:p>
      <w:r>
        <w:br w:type="page"/>
      </w:r>
    </w:p>
    <w:p>
      <w:pPr>
        <w:pStyle w:val="1"/>
      </w:pPr>
      <w:r>
        <w:t>夜宵同步示例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本地历史周只读数据验证：PC 夜宵同时进入中心加餐行和右侧加餐卡。</w:t>
      </w:r>
    </w:p>
    <w:p>
      <w:pPr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577840" cy="3137535"/>
            <wp:docPr id="3" name="Picture 3" descr="PC夜宵同步到大屏加餐安排的验证画面" title="夜宵同步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ight-snac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137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PingFang SC" w:hAnsi="PingFang SC" w:eastAsia="PingFang SC"/>
          <w:b w:val="0"/>
          <w:color w:val="666666"/>
          <w:sz w:val="18"/>
        </w:rPr>
        <w:t>图 3 夜宵同步到加餐安排</w:t>
      </w:r>
    </w:p>
    <w:p>
      <w:pPr>
        <w:pStyle w:val="1"/>
      </w:pPr>
      <w:r>
        <w:t>已知边界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• 页面每 120 秒刷新一次；PC 修改夜宵后请等待下一次刷新。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• 页面按 16:9 等比缩放；非 16:9 显示器可能留黑边，但内容不会被裁切。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• 大屏只读，不应在此页面维护人员或菜谱。</w:t>
      </w:r>
    </w:p>
    <w:p>
      <w:r>
        <w:rPr>
          <w:rFonts w:ascii="PingFang SC" w:hAnsi="PingFang SC" w:eastAsia="PingFang SC"/>
          <w:b w:val="0"/>
          <w:color w:val="000000"/>
          <w:sz w:val="21"/>
        </w:rPr>
        <w:t>• 人员姓名属于内部信息，应只在授权的大屏环境使用；接口不返回手机号、生日、部门或卡号。</w:t>
      </w:r>
    </w:p>
    <w:p>
      <w:r>
        <w:rPr>
          <w:rFonts w:ascii="PingFang SC" w:hAnsi="PingFang SC" w:eastAsia="PingFang SC"/>
          <w:b w:val="0"/>
          <w:color w:val="666666"/>
          <w:sz w:val="18"/>
        </w:rPr>
        <w:t>最后验证：2026-09-10，本地 Docker PHP 7.3 环境和 Vue 大屏端；1920×1080、1366×768 浏览器检查通过。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 descr="康比特品牌标识" title="康比特品牌标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 w:ascii="PingFang SC" w:hAnsi="PingFang SC" w:eastAsia="PingFang SC"/>
      <w:color w:val="000000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rFonts w:ascii="PingFang SC" w:hAnsi="PingFang SC" w:eastAsia="PingFang SC"/>
      <w:b/>
      <w:bCs/>
      <w:color w:val="000000"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 w:ascii="PingFang SC" w:hAnsi="PingFang SC" w:eastAsia="PingFang SC"/>
      <w:b/>
      <w:bCs/>
      <w:color w:val="000000"/>
      <w:sz w:val="25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rPr>
      <w:rFonts w:ascii="PingFang SC" w:hAnsi="PingFang SC" w:eastAsia="PingFang SC"/>
      <w:b/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