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440D4">
      <w:pPr>
        <w:spacing w:before="920" w:after="200" w:line="324" w:lineRule="auto"/>
        <w:jc w:val="center"/>
      </w:pPr>
      <w:r>
        <w:rPr>
          <w:rFonts w:ascii="Noto Sans CJK SC" w:hAnsi="Noto Sans CJK SC" w:eastAsia="Noto Sans CJK SC"/>
          <w:b w:val="0"/>
          <w:color w:val="2F5F96"/>
          <w:sz w:val="26"/>
        </w:rPr>
        <w:t>AI营养智慧食堂管理平台</w:t>
      </w:r>
    </w:p>
    <w:p w14:paraId="08175873">
      <w:pPr>
        <w:pStyle w:val="30"/>
        <w:spacing w:before="0" w:after="160" w:line="324" w:lineRule="auto"/>
        <w:jc w:val="center"/>
      </w:pPr>
      <w:r>
        <w:rPr>
          <w:rFonts w:ascii="Noto Sans CJK SC" w:hAnsi="Noto Sans CJK SC" w:eastAsia="Noto Sans CJK SC"/>
          <w:b/>
          <w:color w:val="000000"/>
          <w:sz w:val="48"/>
        </w:rPr>
        <w:t>PC端操作手册</w:t>
      </w:r>
    </w:p>
    <w:p w14:paraId="1CEFDB98">
      <w:pPr>
        <w:spacing w:before="0" w:after="520" w:line="324" w:lineRule="auto"/>
        <w:jc w:val="center"/>
      </w:pPr>
      <w:r>
        <w:rPr>
          <w:rFonts w:ascii="Noto Sans CJK SC" w:hAnsi="Noto Sans CJK SC" w:eastAsia="Noto Sans CJK SC"/>
          <w:b/>
          <w:color w:val="2F5F96"/>
          <w:sz w:val="40"/>
        </w:rPr>
        <w:t>膳食营养总览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 w14:paraId="6A8EC97A">
        <w:trPr>
          <w:tblHeader/>
          <w:jc w:val="center"/>
        </w:trPr>
        <w:tc>
          <w:tcPr>
            <w:tcW w:w="4153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8D9E0B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项目</w:t>
            </w:r>
          </w:p>
        </w:tc>
        <w:tc>
          <w:tcPr>
            <w:tcW w:w="4153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8FB5E9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内容</w:t>
            </w:r>
          </w:p>
        </w:tc>
      </w:tr>
      <w:tr w14:paraId="32A9B905">
        <w:trPr>
          <w:jc w:val="center"/>
        </w:trPr>
        <w:tc>
          <w:tcPr>
            <w:tcW w:w="415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501872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版本</w:t>
            </w:r>
          </w:p>
        </w:tc>
        <w:tc>
          <w:tcPr>
            <w:tcW w:w="415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078282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V1.1</w:t>
            </w:r>
          </w:p>
        </w:tc>
      </w:tr>
      <w:tr w14:paraId="574FBA2E">
        <w:trPr>
          <w:jc w:val="center"/>
        </w:trPr>
        <w:tc>
          <w:tcPr>
            <w:tcW w:w="4153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AA1322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适用角色</w:t>
            </w:r>
          </w:p>
        </w:tc>
        <w:tc>
          <w:tcPr>
            <w:tcW w:w="4153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C1482C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营养人员、后勤人员及具有菜单和数据权限的查看人员</w:t>
            </w:r>
          </w:p>
        </w:tc>
      </w:tr>
      <w:tr w14:paraId="5D1B9EAF">
        <w:trPr>
          <w:jc w:val="center"/>
        </w:trPr>
        <w:tc>
          <w:tcPr>
            <w:tcW w:w="415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17B7F4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功能范围</w:t>
            </w:r>
          </w:p>
        </w:tc>
        <w:tc>
          <w:tcPr>
            <w:tcW w:w="415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7B53C8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总览筛选、周期营养概况、自然周趋势、食谱安排浏览和当周食谱导出</w:t>
            </w:r>
          </w:p>
        </w:tc>
      </w:tr>
      <w:tr w14:paraId="6CB8033D">
        <w:trPr>
          <w:jc w:val="center"/>
        </w:trPr>
        <w:tc>
          <w:tcPr>
            <w:tcW w:w="4153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230FE4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验证日期</w:t>
            </w:r>
          </w:p>
        </w:tc>
        <w:tc>
          <w:tcPr>
            <w:tcW w:w="4153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DEA808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2026年9月28日</w:t>
            </w:r>
          </w:p>
        </w:tc>
      </w:tr>
    </w:tbl>
    <w:p w14:paraId="090C4616">
      <w:pPr>
        <w:spacing w:after="40"/>
      </w:pPr>
    </w:p>
    <w:p w14:paraId="60EB1013">
      <w:r>
        <w:br w:type="page"/>
      </w:r>
    </w:p>
    <w:p w14:paraId="4EFAF1E4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一 手册用途</w:t>
      </w:r>
    </w:p>
    <w:p w14:paraId="3868C6D3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000000"/>
          <w:sz w:val="22"/>
        </w:rPr>
        <w:t>本手册说明如何在膳食营养总览中选择食堂、供餐对象和统计日期，查看能量、蛋白质、脂肪和碳水化合物的周期概况与自然周趋势，从食谱安排进入既有的编制或营养分析页面，并导出当前选中的当周食谱。</w:t>
      </w:r>
    </w:p>
    <w:p w14:paraId="4D2C55EE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555555"/>
          <w:sz w:val="22"/>
        </w:rPr>
        <w:t>范围包含总览页的查看与筛选，以及从总览进入食谱管理后导出当前周食谱；不包含新建或编辑食谱、提交审核、审核发布、特殊供餐规则维护、营养科普与法规内容维护。总览页没有保存动作；日期筛选以“应用后检查”代替“保存后检查”。</w:t>
      </w:r>
    </w:p>
    <w:p w14:paraId="221287E2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二 使用前提</w:t>
      </w:r>
    </w:p>
    <w:p w14:paraId="7D26DAA0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当前账号已登录 PC 管理后台，并具有膳食营养菜单权限。</w:t>
      </w:r>
    </w:p>
    <w:p w14:paraId="36049C45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当前账号已获得目标学校和食堂的数据权限。</w:t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如需导出食谱，当前账号还需具有“食谱导出”功能权限。</w:t>
      </w:r>
    </w:p>
    <w:p w14:paraId="20632286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基础设置中已存在可用的供餐对象。</w:t>
      </w:r>
    </w:p>
    <w:p w14:paraId="4C0C341C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如需看到营养数据，所选日期内必须存在与食堂、供餐对象匹配的有效已发布食谱。</w:t>
      </w:r>
    </w:p>
    <w:p w14:paraId="3B08B904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三 完整操作顺序</w:t>
      </w:r>
    </w:p>
    <w:p w14:paraId="5297E11A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1. 进入“膳食营养”，打开顶部“总览”。</w:t>
      </w:r>
    </w:p>
    <w:p w14:paraId="71195EE9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2. 在页面右上角确认或选择食堂和供餐对象。</w:t>
      </w:r>
    </w:p>
    <w:p w14:paraId="30B3EED1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3. 选择“近四周”“本月”或“自定义日期”；自定义日期选好起止日期后点击“应用”。</w:t>
      </w:r>
    </w:p>
    <w:p w14:paraId="7BDF39BC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4. 查看四张营养卡片的数值、单位、参考范围和评价。</w:t>
      </w:r>
    </w:p>
    <w:p w14:paraId="00EDEDDC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5. 点击营养卡片，在右侧查看相同筛选条件下的自然周趋势。</w:t>
      </w:r>
    </w:p>
    <w:p w14:paraId="396321BF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6. 向下查看食谱安排，按状态筛选并在需要时翻页。</w:t>
      </w:r>
    </w:p>
    <w:p w14:paraId="41B2D9F1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7. 草稿或待审核食谱点击“查看编制”；已发布食谱点击“查看分析”。</w:t>
      </w:r>
    </w:p>
    <w:p w14:paraId="379FC4A1">
      <w:r>
        <w:br w:type="page"/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8. 如需保存或打印当前周食谱，在食谱管理页面确认供餐周和当前食谱后点击“导出食谱”。</w:t>
      </w:r>
    </w:p>
    <w:p w14:paraId="6BAFBBB2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四 入口与范围选择</w:t>
      </w:r>
    </w:p>
    <w:p w14:paraId="3B6A6324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000000"/>
          <w:sz w:val="22"/>
        </w:rPr>
        <w:t>菜单路径：膳食营养 → 总览。进入页面后，系统自动选择权限范围内的合法食堂和供餐对象，并默认统计近四周。只有一个供餐对象时，页面直接显示对象名称。</w:t>
      </w:r>
    </w:p>
    <w:p w14:paraId="002AE4E9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选择食堂和供餐对象</w:t>
      </w:r>
    </w:p>
    <w:p w14:paraId="0C7AFE37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1. 在页面右上角选择食堂。</w:t>
      </w:r>
    </w:p>
    <w:p w14:paraId="7AE6733B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2. 如该食堂有多个供餐对象，再选择供餐对象。</w:t>
      </w:r>
    </w:p>
    <w:p w14:paraId="6EFD1E18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3. 等待营养概况和食谱安排完成刷新。</w:t>
      </w:r>
    </w:p>
    <w:p w14:paraId="11E67C8E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555555"/>
          <w:sz w:val="21"/>
        </w:rPr>
        <w:t>食堂或供餐对象变化后，营养卡片、周趋势、食谱状态计数和列表会同步切换；当前列表页码回到第1页。</w:t>
      </w:r>
    </w:p>
    <w:p w14:paraId="7EE2BFB5">
      <w:pPr>
        <w:pStyle w:val="3"/>
        <w:keepNext/>
        <w:spacing w:before="140" w:after="100"/>
      </w:pPr>
      <w:r>
        <w:rPr>
          <w:rFonts w:ascii="Noto Sans CJK SC" w:hAnsi="Noto Sans CJK SC" w:eastAsia="Noto Sans CJK SC"/>
          <w:b/>
          <w:color w:val="000000"/>
          <w:sz w:val="26"/>
        </w:rPr>
        <w:t>选择统计日期</w:t>
      </w:r>
    </w:p>
    <w:p w14:paraId="1383EA6A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1. 使用“近四周”查看默认周期。</w:t>
      </w:r>
    </w:p>
    <w:p w14:paraId="2C5ABABB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2. 使用“本月”查看当月1日至当前日期。</w:t>
      </w:r>
    </w:p>
    <w:p w14:paraId="40F5A648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3. 使用“自定义日期”时选择开始日期和结束日期，再点击“应用”。</w:t>
      </w:r>
    </w:p>
    <w:p w14:paraId="75C14E46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555555"/>
          <w:sz w:val="21"/>
        </w:rPr>
        <w:t>统计日期只影响上方营养概况和周趋势，不会隐藏下方日期范围外的草稿、待审核或未来食谱。</w:t>
      </w:r>
    </w:p>
    <w:p w14:paraId="031A6FC3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五 查看周期营养概况和周趋势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69"/>
        <w:gridCol w:w="2769"/>
      </w:tblGrid>
      <w:tr w14:paraId="0F05CAFA">
        <w:trPr>
          <w:tblHeader/>
          <w:jc w:val="center"/>
        </w:trPr>
        <w:tc>
          <w:tcPr>
            <w:tcW w:w="1656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2C4662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卡片</w:t>
            </w:r>
          </w:p>
        </w:tc>
        <w:tc>
          <w:tcPr>
            <w:tcW w:w="5112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0BCF48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页面口径</w:t>
            </w:r>
          </w:p>
        </w:tc>
        <w:tc>
          <w:tcPr>
            <w:tcW w:w="1080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A01B0C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单位</w:t>
            </w:r>
          </w:p>
        </w:tc>
      </w:tr>
      <w:tr w14:paraId="7A57F591">
        <w:trPr>
          <w:jc w:val="center"/>
        </w:trPr>
        <w:tc>
          <w:tcPr>
            <w:tcW w:w="165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6CDC95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能量</w:t>
            </w:r>
          </w:p>
        </w:tc>
        <w:tc>
          <w:tcPr>
            <w:tcW w:w="5112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B3C73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计划供餐日的日均计划供给</w:t>
            </w:r>
          </w:p>
        </w:tc>
        <w:tc>
          <w:tcPr>
            <w:tcW w:w="10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1FD32B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kcal</w:t>
            </w:r>
          </w:p>
        </w:tc>
      </w:tr>
      <w:tr w14:paraId="594767E2">
        <w:trPr>
          <w:jc w:val="center"/>
        </w:trPr>
        <w:tc>
          <w:tcPr>
            <w:tcW w:w="1656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8DF463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蛋白质</w:t>
            </w:r>
          </w:p>
        </w:tc>
        <w:tc>
          <w:tcPr>
            <w:tcW w:w="5112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18F55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计划供餐日的日均计划供给</w:t>
            </w:r>
          </w:p>
        </w:tc>
        <w:tc>
          <w:tcPr>
            <w:tcW w:w="1080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58A17F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g</w:t>
            </w:r>
          </w:p>
        </w:tc>
      </w:tr>
      <w:tr w14:paraId="68066EF8">
        <w:trPr>
          <w:jc w:val="center"/>
        </w:trPr>
        <w:tc>
          <w:tcPr>
            <w:tcW w:w="165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66E318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脂肪</w:t>
            </w:r>
          </w:p>
        </w:tc>
        <w:tc>
          <w:tcPr>
            <w:tcW w:w="5112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AB6439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所选周期的供能比</w:t>
            </w:r>
          </w:p>
        </w:tc>
        <w:tc>
          <w:tcPr>
            <w:tcW w:w="10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14931F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%</w:t>
            </w:r>
          </w:p>
        </w:tc>
      </w:tr>
      <w:tr w14:paraId="4A55E6FF">
        <w:trPr>
          <w:jc w:val="center"/>
        </w:trPr>
        <w:tc>
          <w:tcPr>
            <w:tcW w:w="1656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010C5D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碳水化合物</w:t>
            </w:r>
          </w:p>
        </w:tc>
        <w:tc>
          <w:tcPr>
            <w:tcW w:w="5112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75BC9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所选周期的供能比</w:t>
            </w:r>
          </w:p>
        </w:tc>
        <w:tc>
          <w:tcPr>
            <w:tcW w:w="1080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BFB2B3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%</w:t>
            </w:r>
          </w:p>
        </w:tc>
      </w:tr>
    </w:tbl>
    <w:p w14:paraId="61D4970C">
      <w:pPr>
        <w:spacing w:after="40"/>
      </w:pPr>
    </w:p>
    <w:p w14:paraId="118A992C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点击卡片后，右侧图表切换为对应指标。每个点按自然周与所选日期的交集统计；只有1周数据时提示“仅1周数据，暂无趋势”。缺失数据不会按0补齐，缺项周也不会与相邻周连接。</w:t>
      </w:r>
    </w:p>
    <w:p w14:paraId="4C42A41E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15240" b="7620"/>
            <wp:docPr id="1" name="Picture 1" descr="图1 真实测试页面中的已发布食谱、四项营养概况和单周数据点" title="图1 真实测试页面中的已发布食谱、四项营养概况和单周数据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图1 真实测试页面中的已发布食谱、四项营养概况和单周数据点" title="图1 真实测试页面中的已发布食谱、四项营养概况和单周数据点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3978">
      <w:pPr>
        <w:keepLines/>
        <w:spacing w:before="0" w:after="160" w:line="288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图1 真实测试页面中的已发布食谱、四项营养概况和单周数据点</w:t>
      </w:r>
    </w:p>
    <w:p w14:paraId="23A8332B">
      <w:r>
        <w:br w:type="page"/>
      </w:r>
    </w:p>
    <w:p w14:paraId="1AB9B202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六 查看食谱安排</w:t>
      </w:r>
    </w:p>
    <w:p w14:paraId="2467052A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1. 在“食谱安排”中选择“全部”“草稿”“待审核”或“已发布”。</w:t>
      </w:r>
    </w:p>
    <w:p w14:paraId="70A9D70C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2. 核对食谱名称、食堂与供餐对象、供餐周期和状态。</w:t>
      </w:r>
    </w:p>
    <w:p w14:paraId="3F289CC1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3. 数据超过一页时使用页码切换。</w:t>
      </w:r>
    </w:p>
    <w:p w14:paraId="26E6D1BB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4. 草稿或待审核记录点击“查看编制”；已发布记录点击“查看分析”。</w:t>
      </w:r>
    </w:p>
    <w:p w14:paraId="510BD824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555555"/>
          <w:sz w:val="21"/>
        </w:rPr>
        <w:t>状态筛选只影响食谱列表，不改变上方营养统计。列表总数来自当前食堂和供餐对象下的完整结果，不受上方统计日期限制。</w:t>
      </w:r>
    </w:p>
    <w:p>
      <w:pPr>
        <w:pStyle w:val="3"/>
        <w:keepNext/>
        <w:spacing w:before="140" w:after="100" w:line="312" w:lineRule="auto"/>
      </w:pPr>
      <w:r>
        <w:rPr>
          <w:rFonts w:ascii="Noto Sans CJK SC" w:hAnsi="Noto Sans CJK SC" w:eastAsia="Noto Sans CJK SC"/>
          <w:b/>
          <w:color w:val="000000"/>
          <w:sz w:val="26"/>
        </w:rPr>
        <w:t>导出当周食谱</w:t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1. 在食谱安排中找到目标记录。草稿或待审核食谱点击“查看编制”，已发布食谱点击“查看分析”。</w:t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2. 进入食谱管理页面后，确认供餐周、就餐学校档口和当前食谱均为目标范围。</w:t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3. 点击工具栏中的“导出食谱”。草稿、待审核和已发布的当前版本均可导出。</w:t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4. 使用 WPS 或 Excel 打开下载文件，核对单位、日期范围、周一至周日、餐次和菜品名称。</w:t>
      </w:r>
    </w:p>
    <w:p>
      <w:pPr>
        <w:spacing w:before="0" w:after="80" w:line="312" w:lineRule="auto"/>
      </w:pPr>
      <w:r>
        <w:rPr>
          <w:rFonts w:ascii="Noto Sans CJK SC" w:hAnsi="Noto Sans CJK SC" w:eastAsia="Noto Sans CJK SC"/>
          <w:b w:val="0"/>
          <w:color w:val="555555"/>
          <w:sz w:val="21"/>
        </w:rPr>
        <w:t>导出文件只包含当前选中的一个自然周，采用 A4 横向单页打印设置。文件不包含营养值、就餐人数、菜品 ID、配方倍数、采购量、成本或无来源的颜色标记。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66360" cy="3842480"/>
            <wp:docPr id="3" name="Picture 3" descr="图3 当周食谱导出结果左侧区域局部预览，实际文件继续横向显示至周日" title="图3 当周食谱导出结果左侧区域局部预览，实际文件继续横向显示至周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weekly-menu-export-previe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3842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 w:line="288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图3 当周食谱导出结果左侧区域局部预览，实际文件继续横向显示至周日</w:t>
      </w:r>
    </w:p>
    <w:p w14:paraId="40344314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七 无数据和异常提示</w:t>
      </w:r>
    </w:p>
    <w:p w14:paraId="421F9387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000000"/>
          <w:sz w:val="22"/>
        </w:rPr>
        <w:t>如果所选日期内没有有效已发布食谱，四张卡片显示“—”或“数据不完整”，右侧显示“暂无已发布食谱数据”；下方草稿和待审核食谱仍可继续查看。</w:t>
      </w:r>
    </w:p>
    <w:p w14:paraId="10FCF43C">
      <w:pPr>
        <w:keepNext/>
        <w:jc w:val="center"/>
      </w:pPr>
      <w:r>
        <w:drawing>
          <wp:inline distT="0" distB="0" distL="114300" distR="114300">
            <wp:extent cx="5166360" cy="2633980"/>
            <wp:effectExtent l="0" t="0" r="15240" b="7620"/>
            <wp:docPr id="2" name="Picture 2" descr="图2 真实测试页面中的无发布数据空态，状态计数仍正常保留" title="图2 真实测试页面中的无发布数据空态，状态计数仍正常保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图2 真实测试页面中的无发布数据空态，状态计数仍正常保留" title="图2 真实测试页面中的无发布数据空态，状态计数仍正常保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63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6735">
      <w:pPr>
        <w:keepLines/>
        <w:spacing w:before="0" w:after="160" w:line="288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18"/>
        </w:rPr>
        <w:t>图2 真实测试页面中的无发布数据空态，状态计数仍正常保留</w:t>
      </w:r>
    </w:p>
    <w:p w14:paraId="5DFBD0A4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000000"/>
          <w:sz w:val="21"/>
        </w:rPr>
        <w:t>出现加载失败时，点击对应区域的“重新加载”。出现“暂无授权学校或食堂”时联系管理员配置数据权限；出现“当前食堂暂无合法供餐对象”时先到基础设置维护供餐对象。</w:t>
      </w:r>
    </w:p>
    <w:p w14:paraId="7A60B0BF">
      <w:r>
        <w:br w:type="page"/>
      </w:r>
    </w:p>
    <w:p w14:paraId="378810B6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八 应用后检查</w:t>
      </w:r>
    </w:p>
    <w:p w14:paraId="5EF50CC9">
      <w:pPr>
        <w:spacing w:before="0" w:after="120" w:line="324" w:lineRule="auto"/>
      </w:pPr>
      <w:r>
        <w:rPr>
          <w:rFonts w:ascii="Noto Sans CJK SC" w:hAnsi="Noto Sans CJK SC" w:eastAsia="Noto Sans CJK SC"/>
          <w:b w:val="0"/>
          <w:color w:val="000000"/>
          <w:sz w:val="22"/>
        </w:rPr>
        <w:t>本页没有“保存”按钮。完成筛选或点击“应用”后，按以下顺序检查：</w:t>
      </w:r>
    </w:p>
    <w:p w14:paraId="2627636D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1. 页面右上角的食堂和供餐对象是本次要查看的范围。</w:t>
      </w:r>
    </w:p>
    <w:p w14:paraId="4131906F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2. 营养概况标题下方显示的起止日期和供餐对象与所选条件一致。</w:t>
      </w:r>
    </w:p>
    <w:p w14:paraId="3E5D419C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3. 四张卡片和右侧趋势图已经刷新，图表标题与当前选中的营养卡片一致。</w:t>
      </w:r>
    </w:p>
    <w:p w14:paraId="3DD424EF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4. 自定义日期只改变营养区；下方食谱安排没有被日期裁剪。</w:t>
      </w:r>
    </w:p>
    <w:p w14:paraId="679D871D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5. 草稿或待审核进入编制页，已发布食谱进入营养分析页。</w:t>
      </w:r>
    </w:p>
    <w:p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6. 执行导出后，文件日期范围与页面当前供餐周一致，并完整显示周一至周日和当前版本的餐次菜品。</w:t>
      </w:r>
    </w:p>
    <w:p w14:paraId="20C0F602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九 必要字段说明</w:t>
      </w:r>
    </w:p>
    <w:tbl>
      <w:tblPr>
        <w:tblStyle w:val="14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69"/>
        <w:gridCol w:w="2769"/>
      </w:tblGrid>
      <w:tr w14:paraId="4C22DFDF">
        <w:trPr>
          <w:tblHeader/>
          <w:jc w:val="center"/>
        </w:trPr>
        <w:tc>
          <w:tcPr>
            <w:tcW w:w="1800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B04353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字段或控件</w:t>
            </w:r>
          </w:p>
        </w:tc>
        <w:tc>
          <w:tcPr>
            <w:tcW w:w="3672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652C75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必须如何使用</w:t>
            </w:r>
          </w:p>
        </w:tc>
        <w:tc>
          <w:tcPr>
            <w:tcW w:w="2376" w:type="dxa"/>
            <w:shd w:val="clear" w:color="auto" w:fill="2F5F9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59F15D"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影响范围</w:t>
            </w:r>
          </w:p>
        </w:tc>
      </w:tr>
      <w:tr w14:paraId="660F7AB8">
        <w:trPr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FCD00F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食堂</w:t>
            </w:r>
          </w:p>
        </w:tc>
        <w:tc>
          <w:tcPr>
            <w:tcW w:w="3672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835715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选择有权限的目标食堂</w:t>
            </w:r>
          </w:p>
        </w:tc>
        <w:tc>
          <w:tcPr>
            <w:tcW w:w="237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81AE66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营养概况、趋势、计数和列表</w:t>
            </w:r>
          </w:p>
        </w:tc>
      </w:tr>
      <w:tr w14:paraId="39BD4106">
        <w:trPr>
          <w:jc w:val="center"/>
        </w:trPr>
        <w:tc>
          <w:tcPr>
            <w:tcW w:w="1800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BC8992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供餐对象</w:t>
            </w:r>
          </w:p>
        </w:tc>
        <w:tc>
          <w:tcPr>
            <w:tcW w:w="3672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B50B7B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选择该食堂下的目标对象</w:t>
            </w:r>
          </w:p>
        </w:tc>
        <w:tc>
          <w:tcPr>
            <w:tcW w:w="2376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E9A89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营养概况、趋势、计数和列表</w:t>
            </w:r>
          </w:p>
        </w:tc>
      </w:tr>
      <w:tr w14:paraId="3AB788E3">
        <w:trPr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D1FF29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日期快捷项</w:t>
            </w:r>
          </w:p>
        </w:tc>
        <w:tc>
          <w:tcPr>
            <w:tcW w:w="3672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40E14B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选择近四周、本月或自定义日期</w:t>
            </w:r>
          </w:p>
        </w:tc>
        <w:tc>
          <w:tcPr>
            <w:tcW w:w="237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1F74FC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仅营养概况和趋势</w:t>
            </w:r>
          </w:p>
        </w:tc>
      </w:tr>
      <w:tr w14:paraId="63F33606">
        <w:trPr>
          <w:jc w:val="center"/>
        </w:trPr>
        <w:tc>
          <w:tcPr>
            <w:tcW w:w="1800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773AD7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起止日期</w:t>
            </w:r>
          </w:p>
        </w:tc>
        <w:tc>
          <w:tcPr>
            <w:tcW w:w="3672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C233E0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自定义日期时选择有效且不倒置的范围</w:t>
            </w:r>
          </w:p>
        </w:tc>
        <w:tc>
          <w:tcPr>
            <w:tcW w:w="2376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2EC1BC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仅营养概况和趋势</w:t>
            </w:r>
          </w:p>
        </w:tc>
      </w:tr>
      <w:tr w14:paraId="7D9137AF">
        <w:trPr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507F91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营养卡片</w:t>
            </w:r>
          </w:p>
        </w:tc>
        <w:tc>
          <w:tcPr>
            <w:tcW w:w="3672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5FA739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点击要查看的营养指标</w:t>
            </w:r>
          </w:p>
        </w:tc>
        <w:tc>
          <w:tcPr>
            <w:tcW w:w="237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93505E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仅切换右侧趋势指标</w:t>
            </w:r>
          </w:p>
        </w:tc>
      </w:tr>
      <w:tr w14:paraId="4D568E89">
        <w:trPr>
          <w:jc w:val="center"/>
        </w:trPr>
        <w:tc>
          <w:tcPr>
            <w:tcW w:w="1800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C1A7CB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食谱状态</w:t>
            </w:r>
          </w:p>
        </w:tc>
        <w:tc>
          <w:tcPr>
            <w:tcW w:w="3672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0D1AA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选择全部、草稿、待审核或已发布</w:t>
            </w:r>
          </w:p>
        </w:tc>
        <w:tc>
          <w:tcPr>
            <w:tcW w:w="2376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2224A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仅筛选列表并回到第1页</w:t>
            </w:r>
          </w:p>
        </w:tc>
      </w:tr>
      <w:tr w14:paraId="4D568E89">
        <w:trPr>
          <w:jc w:val="center"/>
        </w:trPr>
        <w:tc>
          <w:tcPr>
            <w:tcW w:w="1800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C1A7CB">
            <w:pPr>
              <w:spacing w:after="0" w:line="288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导出食谱</w:t>
            </w:r>
          </w:p>
        </w:tc>
        <w:tc>
          <w:tcPr>
            <w:tcW w:w="3672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0D1AAD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在食谱管理中导出当前选中的周食谱</w:t>
            </w:r>
          </w:p>
        </w:tc>
        <w:tc>
          <w:tcPr>
            <w:tcW w:w="2376" w:type="dxa"/>
            <w:shd w:val="clear" w:color="auto" w:fill="F5F9F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2224A7">
            <w:pPr>
              <w:spacing w:after="0" w:line="288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color w:val="000000"/>
                <w:sz w:val="19"/>
              </w:rPr>
              <w:t>生成当前周横向 XLSX 文件，不改变食谱数据</w:t>
            </w:r>
          </w:p>
        </w:tc>
      </w:tr>
    </w:tbl>
    <w:p w14:paraId="46160EEC">
      <w:pPr>
        <w:spacing w:after="40"/>
      </w:pPr>
    </w:p>
    <w:p w14:paraId="017AD788">
      <w:r>
        <w:br w:type="page"/>
      </w:r>
    </w:p>
    <w:p w14:paraId="541C7129">
      <w:pPr>
        <w:pStyle w:val="2"/>
        <w:keepNext/>
        <w:spacing w:before="200" w:after="100"/>
      </w:pPr>
      <w:r>
        <w:rPr>
          <w:rFonts w:ascii="Noto Sans CJK SC" w:hAnsi="Noto Sans CJK SC" w:eastAsia="Noto Sans CJK SC"/>
          <w:b/>
          <w:color w:val="000000"/>
          <w:sz w:val="32"/>
        </w:rPr>
        <w:t>十 风险提示</w:t>
      </w:r>
    </w:p>
    <w:p w14:paraId="79CCB223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总览营养数据只统计有效已发布食谱。草稿和待审核食谱不会进入营养卡片和趋势计算。</w:t>
      </w:r>
    </w:p>
    <w:p w14:paraId="15028544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能量、蛋白质按计划供餐日计算日均；脂肪、碳水化合物按周期总量计算供能比。夜宵不进入正餐评价。</w:t>
      </w:r>
    </w:p>
    <w:p w14:paraId="69B81882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缺项不补0。看到“数据不完整”时，应检查食谱、菜品和食材营养资料，不要把“—”解释为实际值0。</w:t>
      </w:r>
    </w:p>
    <w:p w14:paraId="6C4B0E18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只有1个自然周数据点时可以查看本周结果，但不能据此判断变化趋势。</w:t>
      </w:r>
    </w:p>
    <w:p w14:paraId="140B9788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食堂和供餐对象受账号数据权限控制。页面没有展示某个范围，不代表该范围没有业务数据。</w:t>
      </w:r>
    </w:p>
    <w:p w14:paraId="579B96B6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“查看编制”和“查看分析”会进入食谱管理页面；后续能否编辑、提审或发布，以当前账号在目标页面的权限为准。</w:t>
      </w:r>
    </w:p>
    <w:p w14:paraId="57894129">
      <w:pPr>
        <w:spacing w:before="0"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显示“待专业资料完善”时，只读取实际数据，不自行作专业结论。</w:t>
      </w:r>
    </w:p>
    <w:p w14:paraId="27C1623B">
      <w:pPr>
        <w:spacing w:before="80" w:after="120" w:line="324" w:lineRule="auto"/>
      </w:pPr>
      <w:bookmarkStart w:id="0" w:name="_GoBack"/>
      <w:bookmarkEnd w:id="0"/>
    </w:p>
    <w:p>
      <w:pPr>
        <w:spacing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“导出食谱”只读取当前或已发布版本，并继续校验学校和档口数据权限；按钮不可用时联系管理员检查“食谱导出”权限。</w:t>
      </w:r>
    </w:p>
    <w:p>
      <w:pPr>
        <w:spacing w:after="80" w:line="312" w:lineRule="auto"/>
        <w:ind w:left="173" w:hanging="173"/>
      </w:pPr>
      <w:r>
        <w:rPr>
          <w:rFonts w:ascii="Noto Sans CJK SC" w:hAnsi="Noto Sans CJK SC" w:eastAsia="Noto Sans CJK SC"/>
          <w:b w:val="0"/>
          <w:color w:val="000000"/>
          <w:sz w:val="21"/>
        </w:rPr>
        <w:t>• 导出只覆盖当前周，不支持跨周合并、批量导出、Word 或 PDF；空餐次食谱不能导出。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680" w:footer="56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CJK SC">
    <w:panose1 w:val="020B0600000000000000"/>
    <w:charset w:val="86"/>
    <w:family w:val="auto"/>
    <w:pitch w:val="default"/>
    <w:sig w:usb0="30000083" w:usb1="2BDF3C10" w:usb2="00000016" w:usb3="00000000" w:csb0="602E0107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2130357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1E7E09F9">
            <w:pPr>
              <w:pStyle w:val="9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484E4">
    <w:pPr>
      <w:pStyle w:val="10"/>
      <w:jc w:val="both"/>
    </w:pPr>
  </w:p>
  <w:p w14:paraId="2D1B016F">
    <w:pPr>
      <w:pStyle w:val="10"/>
      <w:jc w:val="right"/>
      <w:rPr>
        <w:b/>
        <w:bCs/>
      </w:rPr>
    </w:pPr>
  </w:p>
  <w:p w14:paraId="61F2BAA1">
    <w:pPr>
      <w:pStyle w:val="10"/>
      <w:jc w:val="left"/>
      <w:rPr>
        <w:b/>
        <w:bCs/>
      </w:rPr>
    </w:pPr>
    <w:r>
      <w:drawing>
        <wp:inline distT="0" distB="0" distL="0" distR="0">
          <wp:extent cx="1169035" cy="181610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>
      <w:rPr>
        <w:rFonts w:hint="eastAsia"/>
        <w:b/>
        <w:bCs/>
        <w:sz w:val="24"/>
        <w:szCs w:val="24"/>
      </w:rPr>
      <w:t>康比特数字体育科技</w:t>
    </w:r>
    <w:r>
      <w:rPr>
        <w:rFonts w:hint="eastAsia"/>
        <w:b/>
        <w:bCs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  <w:rsid w:val="B9DB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rFonts w:ascii="Noto Sans CJK SC" w:hAnsi="Noto Sans CJK SC" w:eastAsia="Noto Sans CJK SC"/>
      <w:b/>
      <w:bCs/>
      <w:color w:val="000000"/>
      <w:kern w:val="44"/>
      <w:sz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8"/>
    <w:semiHidden/>
    <w:unhideWhenUsed/>
    <w:uiPriority w:val="99"/>
    <w:rPr>
      <w:rFonts w:ascii="宋体" w:eastAsia="宋体"/>
      <w:sz w:val="24"/>
      <w:szCs w:val="24"/>
    </w:r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Balloon Text"/>
    <w:basedOn w:val="1"/>
    <w:link w:val="26"/>
    <w:semiHidden/>
    <w:unhideWhenUsed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页眉 字符"/>
    <w:basedOn w:val="16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6"/>
    <w:link w:val="9"/>
    <w:qFormat/>
    <w:uiPriority w:val="99"/>
    <w:rPr>
      <w:sz w:val="18"/>
      <w:szCs w:val="18"/>
    </w:rPr>
  </w:style>
  <w:style w:type="character" w:customStyle="1" w:styleId="20">
    <w:name w:val="标题 1 字符"/>
    <w:basedOn w:val="16"/>
    <w:link w:val="2"/>
    <w:qFormat/>
    <w:uiPriority w:val="9"/>
    <w:rPr>
      <w:b/>
      <w:bCs/>
      <w:kern w:val="44"/>
      <w:sz w:val="44"/>
      <w:szCs w:val="4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标题 3 字符"/>
    <w:basedOn w:val="16"/>
    <w:link w:val="4"/>
    <w:qFormat/>
    <w:uiPriority w:val="9"/>
    <w:rPr>
      <w:b/>
      <w:bCs/>
      <w:sz w:val="32"/>
      <w:szCs w:val="32"/>
    </w:rPr>
  </w:style>
  <w:style w:type="paragraph" w:customStyle="1" w:styleId="2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5">
    <w:name w:val="标题 4 字符"/>
    <w:basedOn w:val="16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批注框文本 字符"/>
    <w:basedOn w:val="16"/>
    <w:link w:val="8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7">
    <w:name w:val="网格表 1 浅色 - 着色 51"/>
    <w:basedOn w:val="14"/>
    <w:uiPriority w:val="46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8">
    <w:name w:val="文档结构图 字符"/>
    <w:basedOn w:val="16"/>
    <w:link w:val="6"/>
    <w:semiHidden/>
    <w:uiPriority w:val="99"/>
    <w:rPr>
      <w:rFonts w:ascii="宋体" w:hAnsiTheme="minorHAnsi" w:cstheme="minorBidi"/>
      <w:kern w:val="2"/>
      <w:sz w:val="24"/>
      <w:szCs w:val="24"/>
    </w:rPr>
  </w:style>
  <w:style w:type="table" w:customStyle="1" w:styleId="29">
    <w:name w:val="gbc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Title"/>
    <w:basedOn w:val="1"/>
    <w:uiPriority w:val="0"/>
    <w:rPr>
      <w:rFonts w:ascii="Noto Sans CJK SC" w:hAnsi="Noto Sans CJK SC" w:eastAsia="Noto Sans CJK SC"/>
      <w:color w:val="000000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2B91C102-E3E4-FB4F-AB83-E92A3EF5A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9</Pages>
  <Words>0</Words>
  <Characters>1</Characters>
  <Lines>1</Lines>
  <Paragraphs>1</Paragraphs>
  <TotalTime>731</TotalTime>
  <ScaleCrop>false</ScaleCrop>
  <LinksUpToDate>false</LinksUpToDate>
  <CharactersWithSpaces>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2019-07-03T09:13:00Z</dcterms:created>
  <dc:creator>abc</dc:creator>
  <cp:lastModifiedBy>佚名</cp:lastModifiedBy>
  <cp:lastPrinted>2019-07-03T17:31:00Z</cp:lastPrinted>
  <dcterms:modified xsi:type="dcterms:W3CDTF">2026-09-28T13:45:46Z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4A93A954126445980AFFB96A50840A33_42</vt:lpwstr>
  </property>
</Properties>
</file>