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>
      <w:pPr>
        <w:pStyle w:val="Title"/>
        <w:jc w:val="center"/>
      </w:pPr>
      <w:r>
        <w:rPr>
          <w:rFonts w:ascii="Noto Sans CJK SC" w:hAnsi="Noto Sans CJK SC" w:eastAsia="Noto Sans CJK SC" w:cs="Noto Sans CJK SC"/>
          <w:b/>
          <w:color w:val="000000"/>
          <w:sz w:val="48"/>
        </w:rPr>
        <w:t>特殊供餐核验操作手册</w:t>
      </w:r>
    </w:p>
    <w:p>
      <w:pPr>
        <w:spacing w:after="320"/>
        <w:jc w:val="center"/>
      </w:pPr>
      <w:r>
        <w:rPr>
          <w:rFonts w:ascii="Noto Sans CJK SC" w:hAnsi="Noto Sans CJK SC" w:eastAsia="Noto Sans CJK SC" w:cs="Noto Sans CJK SC"/>
          <w:color w:val="555555"/>
          <w:sz w:val="22"/>
        </w:rPr>
        <w:t>适用于民族餐 其他民族餐和明确过敏限制</w:t>
      </w:r>
    </w:p>
    <w:p>
      <w:pPr>
        <w:spacing w:after="120" w:line="312" w:lineRule="auto"/>
      </w:pPr>
      <w:r>
        <w:rPr>
          <w:rFonts w:ascii="Noto Sans CJK SC" w:hAnsi="Noto Sans CJK SC" w:eastAsia="Noto Sans CJK SC" w:cs="Noto Sans CJK SC"/>
          <w:color w:val="000000"/>
          <w:sz w:val="22"/>
        </w:rPr>
        <w:t>本手册说明膳食营养模块中特殊供餐规则维护、人工核验、提审与发布流程。程序能力已经通过本地专项测试，但生产正式规则、人员授权和首个开通范围仍需业务补齐。截图使用本地模拟数据，不代表生产规则已经就绪。</w:t>
      </w:r>
    </w:p>
    <w:p>
      <w:pPr>
        <w:pStyle w:val="1"/>
      </w:pPr>
      <w:r>
        <w:t>适用角色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rPr>
          <w:tblHeader/>
        </w:trPr>
        <w:tc>
          <w:tcPr>
            <w:tcW w:type="dxa" w:w="1512"/>
            <w:vAlign w:val="center"/>
            <w:shd w:fill="24466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Noto Sans CJK SC" w:hAnsi="Noto Sans CJK SC" w:eastAsia="Noto Sans CJK SC" w:cs="Noto Sans CJK SC"/>
                <w:b/>
                <w:color w:val="FFFFFF"/>
                <w:sz w:val="19"/>
              </w:rPr>
              <w:t>角色</w:t>
            </w:r>
          </w:p>
        </w:tc>
        <w:tc>
          <w:tcPr>
            <w:tcW w:type="dxa" w:w="3384"/>
            <w:vAlign w:val="center"/>
            <w:shd w:fill="24466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Noto Sans CJK SC" w:hAnsi="Noto Sans CJK SC" w:eastAsia="Noto Sans CJK SC" w:cs="Noto Sans CJK SC"/>
                <w:b/>
                <w:color w:val="FFFFFF"/>
                <w:sz w:val="19"/>
              </w:rPr>
              <w:t>主要职责</w:t>
            </w:r>
          </w:p>
        </w:tc>
        <w:tc>
          <w:tcPr>
            <w:tcW w:type="dxa" w:w="3240"/>
            <w:vAlign w:val="center"/>
            <w:shd w:fill="24466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Noto Sans CJK SC" w:hAnsi="Noto Sans CJK SC" w:eastAsia="Noto Sans CJK SC" w:cs="Noto Sans CJK SC"/>
                <w:b/>
                <w:color w:val="FFFFFF"/>
                <w:sz w:val="19"/>
              </w:rPr>
              <w:t>必要权限</w:t>
            </w:r>
          </w:p>
        </w:tc>
      </w:tr>
      <w:tr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规则维护人员</w:t>
            </w:r>
          </w:p>
        </w:tc>
        <w:tc>
          <w:tcPr>
            <w:tcW w:type="dxa" w:w="33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新建和编辑草稿 派生新版本 停用规则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维护特殊供餐核验规则</w:t>
            </w:r>
          </w:p>
        </w:tc>
      </w:tr>
      <w:tr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专业确认人员</w:t>
            </w:r>
          </w:p>
        </w:tc>
        <w:tc>
          <w:tcPr>
            <w:tcW w:type="dxa" w:w="33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left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核对正式依据并启用规则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专业确认特殊供餐核验规则</w:t>
            </w:r>
          </w:p>
        </w:tc>
      </w:tr>
      <w:tr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核验人员</w:t>
            </w:r>
          </w:p>
        </w:tc>
        <w:tc>
          <w:tcPr>
            <w:tcW w:type="dxa" w:w="33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对当前食谱逐项记录结果和依据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特殊供餐核验</w:t>
            </w:r>
          </w:p>
        </w:tc>
      </w:tr>
      <w:tr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食谱编制人员</w:t>
            </w:r>
          </w:p>
        </w:tc>
        <w:tc>
          <w:tcPr>
            <w:tcW w:type="dxa" w:w="33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left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人工编制 保存草稿 提交审核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编辑食谱 提交审核</w:t>
            </w:r>
          </w:p>
        </w:tc>
      </w:tr>
      <w:tr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食谱审核人员</w:t>
            </w:r>
          </w:p>
        </w:tc>
        <w:tc>
          <w:tcPr>
            <w:tcW w:type="dxa" w:w="33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审核并发布已通过核验的食谱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审核通过并发布</w:t>
            </w:r>
          </w:p>
        </w:tc>
      </w:tr>
    </w:tbl>
    <w:p>
      <w:pPr>
        <w:spacing w:after="40"/>
      </w:pPr>
    </w:p>
    <w:p>
      <w:pPr>
        <w:spacing w:after="120" w:line="312" w:lineRule="auto"/>
      </w:pPr>
      <w:r>
        <w:rPr>
          <w:rFonts w:ascii="Noto Sans CJK SC" w:hAnsi="Noto Sans CJK SC" w:eastAsia="Noto Sans CJK SC" w:cs="Noto Sans CJK SC"/>
          <w:color w:val="000000"/>
          <w:sz w:val="22"/>
        </w:rPr>
        <w:t>技术管理员不会仅因超管身份自动取得专业确认资格。确需兼任时，必须显式配置包含“专业确认特殊供餐核验规则”的角色权限。</w:t>
      </w:r>
    </w:p>
    <w:p>
      <w:pPr>
        <w:pStyle w:val="1"/>
      </w:pPr>
      <w:r>
        <w:t>使用前提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客户供餐或食安负责人已经组织相应专业人员确认规则内容。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规则已明确适用学校、实际供餐档口、供餐对象、供餐类型或具体限制、检查项、通过条件、依据和有效期。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维护、专业确认、核验和审核人员已经分别授权。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其他民族餐必须填写具体要求，不能只填写民族名称。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特殊供餐仍采用人工编制，不支持 AI 自动推荐。</w:t>
      </w:r>
    </w:p>
    <w:p>
      <w:pPr>
        <w:pStyle w:val="1"/>
      </w:pPr>
      <w:r>
        <w:t>维护核验规则</w:t>
      </w:r>
    </w:p>
    <w:p>
      <w:pPr>
        <w:spacing w:after="120" w:line="312" w:lineRule="auto"/>
      </w:pPr>
      <w:r>
        <w:rPr>
          <w:rFonts w:ascii="Noto Sans CJK SC" w:hAnsi="Noto Sans CJK SC" w:eastAsia="Noto Sans CJK SC" w:cs="Noto Sans CJK SC"/>
          <w:color w:val="000000"/>
          <w:sz w:val="22"/>
        </w:rPr>
        <w:t>入口：膳食营养 → 基础设置 → 特殊供餐核验规则。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12080" cy="3619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17-special-rule-setting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61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Noto Sans CJK SC" w:hAnsi="Noto Sans CJK SC" w:eastAsia="Noto Sans CJK SC" w:cs="Noto Sans CJK SC"/>
          <w:color w:val="666666"/>
          <w:sz w:val="18"/>
        </w:rPr>
        <w:t>图 1  特殊供餐核验规则列表与历史版本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1. 点击“新建规则草稿”。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2. 选择学校、实际供餐档口和供餐对象。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3. 选择“供餐类型”或“过敏限制”。供餐类型可选民族餐或其他民族餐；其他民族餐必须填写具体限制。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4. 填写正式依据和有效期。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5. 添加检查项，并逐项填写名称、通过条件、核验依据要求和是否为必需项。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6. 保存草稿。草稿可继续编辑。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7. 专业确认人员核对正式资料后点击“专业确认并启用”。</w:t>
      </w:r>
    </w:p>
    <w:p>
      <w:pPr>
        <w:spacing w:after="120" w:line="312" w:lineRule="auto"/>
      </w:pPr>
      <w:r>
        <w:rPr>
          <w:rFonts w:ascii="Noto Sans CJK SC" w:hAnsi="Noto Sans CJK SC" w:eastAsia="Noto Sans CJK SC" w:cs="Noto Sans CJK SC"/>
          <w:color w:val="000000"/>
          <w:sz w:val="22"/>
        </w:rPr>
        <w:t>生效或停用版本不能覆盖修改。需要调整时点击“新建版本”，在新草稿中修改并重新完成专业确认。旧版本和基于旧版本形成的核验快照会继续保留。</w:t>
      </w:r>
    </w:p>
    <w:p>
      <w:pPr>
        <w:pStyle w:val="2"/>
      </w:pPr>
      <w:r>
        <w:t>规则字段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153"/>
        <w:gridCol w:w="4153"/>
      </w:tblGrid>
      <w:tr>
        <w:trPr>
          <w:tblHeader/>
        </w:trPr>
        <w:tc>
          <w:tcPr>
            <w:tcW w:type="dxa" w:w="1944"/>
            <w:vAlign w:val="center"/>
            <w:shd w:fill="24466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Noto Sans CJK SC" w:hAnsi="Noto Sans CJK SC" w:eastAsia="Noto Sans CJK SC" w:cs="Noto Sans CJK SC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6192"/>
            <w:vAlign w:val="center"/>
            <w:shd w:fill="24466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Noto Sans CJK SC" w:hAnsi="Noto Sans CJK SC" w:eastAsia="Noto Sans CJK SC" w:cs="Noto Sans CJK SC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规则名称</w:t>
            </w:r>
          </w:p>
        </w:tc>
        <w:tc>
          <w:tcPr>
            <w:tcW w:type="dxa" w:w="61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便于业务人员识别的名称</w:t>
            </w:r>
          </w:p>
        </w:tc>
      </w:tr>
      <w:t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学校与供餐档口</w:t>
            </w:r>
          </w:p>
        </w:tc>
        <w:tc>
          <w:tcPr>
            <w:tcW w:type="dxa" w:w="61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精确限定学校和实际供餐范围 不跨学校默认共用</w:t>
            </w:r>
          </w:p>
        </w:tc>
      </w:tr>
      <w:t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供餐对象</w:t>
            </w:r>
          </w:p>
        </w:tc>
        <w:tc>
          <w:tcPr>
            <w:tcW w:type="dxa" w:w="61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当前学校下实际使用的供餐对象</w:t>
            </w:r>
          </w:p>
        </w:tc>
      </w:tr>
      <w:t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要求类型</w:t>
            </w:r>
          </w:p>
        </w:tc>
        <w:tc>
          <w:tcPr>
            <w:tcW w:type="dxa" w:w="61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供餐类型或过敏限制</w:t>
            </w:r>
          </w:p>
        </w:tc>
      </w:tr>
      <w:t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供餐类型</w:t>
            </w:r>
          </w:p>
        </w:tc>
        <w:tc>
          <w:tcPr>
            <w:tcW w:type="dxa" w:w="61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民族餐或其他民族餐</w:t>
            </w:r>
          </w:p>
        </w:tc>
      </w:tr>
      <w:t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具体限制</w:t>
            </w:r>
          </w:p>
        </w:tc>
        <w:tc>
          <w:tcPr>
            <w:tcW w:type="dxa" w:w="61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过敏限制和其他民族餐必填 民族餐可按正式资料填写</w:t>
            </w:r>
          </w:p>
        </w:tc>
      </w:tr>
      <w:t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正式依据</w:t>
            </w:r>
          </w:p>
        </w:tc>
        <w:tc>
          <w:tcPr>
            <w:tcW w:type="dxa" w:w="61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客户供餐或食安负责人组织专业人员确认的依据</w:t>
            </w:r>
          </w:p>
        </w:tc>
      </w:tr>
      <w:t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有效期</w:t>
            </w:r>
          </w:p>
        </w:tc>
        <w:tc>
          <w:tcPr>
            <w:tcW w:type="dxa" w:w="61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  <w:shd w:fill="F4F7FA"/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规则可使用的日期范围 过期后不能继续放行</w:t>
            </w:r>
          </w:p>
        </w:tc>
      </w:tr>
      <w:t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检查项</w:t>
            </w:r>
          </w:p>
        </w:tc>
        <w:tc>
          <w:tcPr>
            <w:tcW w:type="dxa" w:w="61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Noto Sans CJK SC" w:hAnsi="Noto Sans CJK SC" w:eastAsia="Noto Sans CJK SC" w:cs="Noto Sans CJK SC"/>
                <w:color w:val="000000"/>
                <w:sz w:val="18"/>
              </w:rPr>
              <w:t>逐项核验名称 通过条件 依据要求和必需标记</w:t>
            </w:r>
          </w:p>
        </w:tc>
      </w:tr>
    </w:tbl>
    <w:p>
      <w:pPr>
        <w:spacing w:after="40"/>
      </w:pPr>
    </w:p>
    <w:p>
      <w:pPr>
        <w:pStyle w:val="1"/>
      </w:pPr>
      <w:r>
        <w:t>编制特殊供餐食谱</w:t>
      </w:r>
    </w:p>
    <w:p>
      <w:pPr>
        <w:spacing w:after="120" w:line="312" w:lineRule="auto"/>
      </w:pPr>
      <w:r>
        <w:rPr>
          <w:rFonts w:ascii="Noto Sans CJK SC" w:hAnsi="Noto Sans CJK SC" w:eastAsia="Noto Sans CJK SC" w:cs="Noto Sans CJK SC"/>
          <w:color w:val="000000"/>
          <w:sz w:val="22"/>
        </w:rPr>
        <w:t>入口：膳食营养 → 食谱管理 → 食谱编制。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1. 新建食谱或打开草稿。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2. 在“供餐要求”中选择民族餐或其他民族餐，或填写明确过敏限制。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3. 其他民族餐填写具体要求。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4. 人工完成餐次、菜品、配方和辅料编制并保存。</w:t>
      </w:r>
    </w:p>
    <w:p>
      <w:pPr>
        <w:spacing w:after="120" w:line="312" w:lineRule="auto"/>
      </w:pPr>
      <w:r>
        <w:rPr>
          <w:rFonts w:ascii="Noto Sans CJK SC" w:hAnsi="Noto Sans CJK SC" w:eastAsia="Noto Sans CJK SC" w:cs="Noto Sans CJK SC"/>
          <w:color w:val="000000"/>
          <w:sz w:val="22"/>
        </w:rPr>
        <w:t>无适用规则时仍可保存待核验草稿，但不能提交审核或发布。民族餐、其他民族餐和过敏限制可以同时存在；系统要求每项要求均有且只有一条当前有效规则。</w:t>
      </w:r>
    </w:p>
    <w:p>
      <w:pPr>
        <w:pStyle w:val="1"/>
      </w:pPr>
      <w:r>
        <w:t>记录核验结论</w:t>
      </w:r>
    </w:p>
    <w:p>
      <w:pPr>
        <w:spacing w:after="120" w:line="312" w:lineRule="auto"/>
      </w:pPr>
      <w:r>
        <w:rPr>
          <w:rFonts w:ascii="Noto Sans CJK SC" w:hAnsi="Noto Sans CJK SC" w:eastAsia="Noto Sans CJK SC" w:cs="Noto Sans CJK SC"/>
          <w:color w:val="000000"/>
          <w:sz w:val="22"/>
        </w:rPr>
        <w:t>在食谱右侧“特殊供餐核验”区域点击“记录核验结论”。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12080" cy="3619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18-special-verification-item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61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Noto Sans CJK SC" w:hAnsi="Noto Sans CJK SC" w:eastAsia="Noto Sans CJK SC" w:cs="Noto Sans CJK SC"/>
          <w:color w:val="666666"/>
          <w:sz w:val="18"/>
        </w:rPr>
        <w:t>图 2  民族餐与过敏限制同时存在时的逐项核验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1. 核对顶部显示的全部供餐要求和适用规则版本。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2. 对每个检查项选择“通过”或“不通过”。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3. 对每个检查项填写实际核验依据。</w:t>
      </w:r>
    </w:p>
    <w:p>
      <w:pPr>
        <w:spacing w:after="60"/>
      </w:pPr>
      <w:r>
        <w:rPr>
          <w:rFonts w:ascii="Noto Sans CJK SC" w:hAnsi="Noto Sans CJK SC" w:eastAsia="Noto Sans CJK SC" w:cs="Noto Sans CJK SC"/>
          <w:color w:val="000000"/>
          <w:sz w:val="22"/>
        </w:rPr>
        <w:t>4. 点击“保存核验记录”。</w:t>
      </w:r>
    </w:p>
    <w:p>
      <w:pPr>
        <w:spacing w:after="120" w:line="312" w:lineRule="auto"/>
      </w:pPr>
      <w:r>
        <w:rPr>
          <w:rFonts w:ascii="Noto Sans CJK SC" w:hAnsi="Noto Sans CJK SC" w:eastAsia="Noto Sans CJK SC" w:cs="Noto Sans CJK SC"/>
          <w:color w:val="000000"/>
          <w:sz w:val="22"/>
        </w:rPr>
        <w:t>必需项未通过或任何检查项依据为空时，不能形成通过结论。系统会保留核验人、时间、食谱版本、规则版本、检查项结果和依据快照。</w:t>
      </w:r>
    </w:p>
    <w:p>
      <w:pPr>
        <w:pStyle w:val="1"/>
      </w:pPr>
      <w:r>
        <w:t>无规则或规则失效</w:t>
      </w:r>
    </w:p>
    <w:p>
      <w:pPr>
        <w:keepNext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212080" cy="3619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19-special-no-rule-block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61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Noto Sans CJK SC" w:hAnsi="Noto Sans CJK SC" w:eastAsia="Noto Sans CJK SC" w:cs="Noto Sans CJK SC"/>
          <w:color w:val="666666"/>
          <w:sz w:val="18"/>
        </w:rPr>
        <w:t>图 3  无适用规则时的阻断原因与配置入口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无规则、规则过期、规则冲突或检查项缺失时，“记录核验结论”不可用，并显示具体原因。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有规则维护权限的人员可点击“前往配置核验规则”；无维护权限人员应联系供餐或食安责任人、系统授权人。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已核验后换菜、修改配方或辅料、调整人数或供餐条件，原结论自动失效，需要重新核验。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提交审核和审核发布时，服务端会再次检查当前规则、有效期、核验记录和版本一致性。</w:t>
      </w:r>
    </w:p>
    <w:p>
      <w:pPr>
        <w:pStyle w:val="1"/>
      </w:pPr>
      <w:r>
        <w:t>普通餐说明</w:t>
      </w:r>
    </w:p>
    <w:p>
      <w:pPr>
        <w:spacing w:after="120" w:line="312" w:lineRule="auto"/>
      </w:pPr>
      <w:r>
        <w:rPr>
          <w:rFonts w:ascii="Noto Sans CJK SC" w:hAnsi="Noto Sans CJK SC" w:eastAsia="Noto Sans CJK SC" w:cs="Noto Sans CJK SC"/>
          <w:color w:val="000000"/>
          <w:sz w:val="22"/>
        </w:rPr>
        <w:t>普通餐且没有明确过敏限制时，不进入特殊供餐核验流程。普通餐一旦填写明确过敏限制，仍需匹配过敏规则并完成人工核验。</w:t>
      </w:r>
    </w:p>
    <w:p>
      <w:pPr>
        <w:pStyle w:val="1"/>
      </w:pPr>
      <w:r>
        <w:t>权限与合规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规则维护、专业确认、核验记录、提交审核和审核发布分别授权，不新增审批层级。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研发人员不代签专业确认，不编造检查项、通过条件或正式依据。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测试环境可使用明确标记的模拟规则，生产环境不得初始化默认通过数据。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已发布食谱、核验依据和规则快照不会因后续规则修改而被重写。</w:t>
      </w:r>
    </w:p>
    <w:p>
      <w:pPr>
        <w:pStyle w:val="1"/>
      </w:pPr>
      <w:r>
        <w:t>当前限制与待补资料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首个开通学校、实际供餐档口和供餐场景尚待业务确认。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正式规则包和专业确认人名单尚待客户供餐或食安负责人提供。</w:t>
      </w:r>
    </w:p>
    <w:p>
      <w:pPr>
        <w:spacing w:after="60"/>
        <w:ind w:left="331" w:hanging="230"/>
      </w:pPr>
      <w:r>
        <w:rPr>
          <w:rFonts w:ascii="Noto Sans CJK SC" w:hAnsi="Noto Sans CJK SC" w:eastAsia="Noto Sans CJK SC" w:cs="Noto Sans CJK SC"/>
          <w:color w:val="000000"/>
          <w:sz w:val="22"/>
        </w:rPr>
        <w:t>• 本手册不代表真实特殊供餐已经可上线；正式资料、权限和测试环境真实验收完成后才能进入生产发布。</w:t>
      </w:r>
    </w:p>
    <w:p>
      <w:pPr>
        <w:spacing w:before="200" w:after="0"/>
      </w:pPr>
      <w:r>
        <w:rPr>
          <w:rFonts w:ascii="Noto Sans CJK SC" w:hAnsi="Noto Sans CJK SC" w:eastAsia="Noto Sans CJK SC" w:cs="Noto Sans CJK SC"/>
          <w:color w:val="666666"/>
          <w:sz w:val="18"/>
        </w:rPr>
        <w:t>最后验证：2026-09-24，store 本地开发环境，PHP 7.3 Docker。页面截图由真实 Vue 组件和本地模拟接口数据生成，未访问或修改生产数据。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spacing w:before="0" w:after="120" w:line="300" w:lineRule="auto"/>
      <w:jc w:val="both"/>
    </w:pPr>
    <w:rPr>
      <w:rFonts w:asciiTheme="minorHAnsi" w:eastAsiaTheme="minorEastAsia" w:hAnsiTheme="minorHAnsi" w:cstheme="minorBidi" w:ascii="Noto Sans CJK SC" w:hAnsi="Noto Sans CJK SC" w:eastAsia="Noto Sans CJK SC" w:cs="Noto Sans CJK SC"/>
      <w:b w:val="0"/>
      <w:color w:val="000000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80" w:after="140" w:line="300" w:lineRule="auto"/>
      <w:outlineLvl w:val="0"/>
    </w:pPr>
    <w:rPr>
      <w:rFonts w:ascii="Noto Sans CJK SC" w:hAnsi="Noto Sans CJK SC" w:eastAsia="Noto Sans CJK SC" w:cs="Noto Sans CJK SC"/>
      <w:b/>
      <w:bCs/>
      <w:color w:val="000000"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100" w:line="300" w:lineRule="auto"/>
      <w:outlineLvl w:val="1"/>
    </w:pPr>
    <w:rPr>
      <w:rFonts w:asciiTheme="majorHAnsi" w:eastAsiaTheme="majorEastAsia" w:hAnsiTheme="majorHAnsi" w:cstheme="majorBidi" w:ascii="Noto Sans CJK SC" w:hAnsi="Noto Sans CJK SC" w:eastAsia="Noto Sans CJK SC" w:cs="Noto Sans CJK SC"/>
      <w:b/>
      <w:bCs/>
      <w:color w:val="000000"/>
      <w:sz w:val="26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pPr>
      <w:spacing w:before="0" w:after="280" w:line="300" w:lineRule="auto"/>
    </w:pPr>
    <w:rPr>
      <w:rFonts w:ascii="Noto Sans CJK SC" w:hAnsi="Noto Sans CJK SC" w:eastAsia="Noto Sans CJK SC" w:cs="Noto Sans CJK SC"/>
      <w:b/>
      <w:color w:val="00000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康比特数字体育科技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  <dc:title>特殊供餐核验操作手册</dc:title>
  <dc:subject>VWCG-1366 特殊供餐核验规则维护与人工核验操作说明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