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spacing w:line="324" w:lineRule="auto" w:after="280"/>
        <w:jc w:val="center"/>
      </w:pPr>
      <w:r>
        <w:rPr>
          <w:rFonts w:ascii="Noto Sans CJK SC" w:hAnsi="Noto Sans CJK SC" w:eastAsia="Noto Sans CJK SC"/>
          <w:b/>
          <w:sz w:val="40"/>
        </w:rPr>
        <w:t>食材用量与采购单核对操作说明</w:t>
      </w:r>
    </w:p>
    <w:p>
      <w:pPr>
        <w:spacing w:line="324" w:lineRule="auto" w:after="240"/>
      </w:pPr>
      <w:r>
        <w:rPr>
          <w:rFonts w:ascii="Noto Sans CJK SC" w:hAnsi="Noto Sans CJK SC" w:eastAsia="Noto Sans CJK SC"/>
          <w:b w:val="0"/>
          <w:sz w:val="22"/>
        </w:rPr>
        <w:t>页面已优化数量显示和人工改量反馈，但采购计算、确认接口、数据库精度和 Excel 导出数据保持不变。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/>
          <w:sz w:val="30"/>
        </w:rPr>
        <w:t>入口与前提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 w:val="0"/>
          <w:sz w:val="22"/>
        </w:rPr>
        <w:t>入口：膳食营养 → 食材用量与采购单。食谱审核发布并生成采购需求后，具有学校和档口权限的采购人员可以核对。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/>
          <w:sz w:val="30"/>
        </w:rPr>
        <w:t>数量显示规则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69"/>
        <w:gridCol w:w="2769"/>
        <w:gridCol w:w="2769"/>
      </w:tblGrid>
      <w:tr>
        <w:tc>
          <w:tcPr>
            <w:tcW w:type="dxa" w:w="2769"/>
            <w:shd w:fill="D9EAF7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20"/>
              </w:rPr>
              <w:t>接口原值</w:t>
            </w:r>
          </w:p>
        </w:tc>
        <w:tc>
          <w:tcPr>
            <w:tcW w:type="dxa" w:w="2769"/>
            <w:shd w:fill="D9EAF7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20"/>
              </w:rPr>
              <w:t>页面显示</w:t>
            </w:r>
          </w:p>
        </w:tc>
        <w:tc>
          <w:tcPr>
            <w:tcW w:type="dxa" w:w="2769"/>
            <w:shd w:fill="D9EAF7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20"/>
              </w:rPr>
              <w:t>说明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9.000000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9.00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普通数量保留2位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18.600000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18.60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删除无意义尾随0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2549.900000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2,549.90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大数增加千位分隔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0.002000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0.002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微量非零需求保留有效精度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空值或无效值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—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不伪造为0</w:t>
            </w:r>
          </w:p>
        </w:tc>
      </w:tr>
    </w:tbl>
    <w:p>
      <w:pPr>
        <w:spacing w:line="324" w:lineRule="auto" w:after="120"/>
      </w:pPr>
      <w:r>
        <w:rPr>
          <w:rFonts w:ascii="Noto Sans CJK SC" w:hAnsi="Noto Sans CJK SC" w:eastAsia="Noto Sans CJK SC"/>
          <w:b/>
          <w:sz w:val="30"/>
        </w:rPr>
        <w:t>来源信息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 w:val="0"/>
          <w:sz w:val="22"/>
        </w:rPr>
        <w:t>采购需求选择项同时显示食谱名称、版本、状态和冻结供餐范围。食谱名称是历史业务文本，采购计算以冻结供餐范围为准。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/>
          <w:sz w:val="30"/>
        </w:rPr>
        <w:t>改量与确认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 w:val="0"/>
          <w:sz w:val="22"/>
        </w:rPr>
        <w:t>确认采购量偏离建议值时，对应说明框显示红色必填提示，表格上方汇总缺少说明的数量。页面显示“当前修改未保存”时，数据尚未写入系统；点击“保存并确认”后，系统校验全部行，定位第一条缺失说明，并在校验通过后一次性保存并进入已确认状态。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/>
          <w:sz w:val="30"/>
        </w:rPr>
        <w:t>操作边界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 w:val="0"/>
          <w:sz w:val="22"/>
        </w:rPr>
        <w:t>调整确认量后必须填写说明；交接只保存记录，不向进销存传输；只有已确认或已交接需求可以导出和打印。页面不会自动保存未确认的改量。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/>
          <w:sz w:val="30"/>
        </w:rPr>
        <w:t>验证</w:t>
      </w:r>
    </w:p>
    <w:p>
      <w:pPr>
        <w:spacing w:line="324" w:lineRule="auto" w:after="120"/>
      </w:pPr>
      <w:r>
        <w:rPr>
          <w:rFonts w:ascii="Noto Sans CJK SC" w:hAnsi="Noto Sans CJK SC" w:eastAsia="Noto Sans CJK SC"/>
          <w:b w:val="0"/>
          <w:sz w:val="22"/>
        </w:rPr>
        <w:t>2026-09-22：前端9项定向单测、采购服务6 tests / 38 assertions、目标 lint 与 PC 生产构建均通过。登录后截图因默认测试账号无效尚未补录。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