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ns1="http://schemas.openxmlformats.org/markup-compatibility/2006" xmlns:r="http://schemas.openxmlformats.org/officeDocument/2006/relationships" xmlns:w="http://schemas.openxmlformats.org/wordprocessingml/2006/main" ns1:Ignorable="w14 w15 w16se w16cid w16 w16cex w16sdtdh wp14">
  <w:body>
    <w:p>
      <w:pPr>
        <w:spacing w:before="1700" w:after="360"/>
        <w:jc w:val="center"/>
      </w:pPr>
      <w:r>
        <w:rPr>
          <w:rFonts w:ascii="Noto Sans CJK SC" w:hAnsi="Noto Sans CJK SC" w:eastAsia="Noto Sans CJK SC" w:cs="Noto Sans CJK SC"/>
          <w:b/>
          <w:color w:val="000000"/>
          <w:sz w:val="54"/>
        </w:rPr>
        <w:t>校园智慧食堂管理系统</w:t>
      </w:r>
    </w:p>
    <w:p>
      <w:pPr>
        <w:spacing w:after="840"/>
        <w:jc w:val="center"/>
      </w:pPr>
      <w:r>
        <w:rPr>
          <w:rFonts w:ascii="Noto Sans CJK SC" w:hAnsi="Noto Sans CJK SC" w:eastAsia="Noto Sans CJK SC" w:cs="Noto Sans CJK SC"/>
          <w:b/>
          <w:color w:val="000000"/>
          <w:sz w:val="46"/>
        </w:rPr>
        <w:t>学校端操作手册</w:t>
      </w:r>
    </w:p>
    <w:p>
      <w:pPr>
        <w:spacing w:after="200"/>
        <w:jc w:val="center"/>
      </w:pPr>
      <w:r>
        <w:rPr>
          <w:rFonts w:ascii="Noto Sans CJK SC" w:hAnsi="Noto Sans CJK SC" w:eastAsia="Noto Sans CJK SC" w:cs="Noto Sans CJK SC"/>
          <w:b/>
          <w:color w:val="F26B21"/>
          <w:sz w:val="30"/>
        </w:rPr>
        <w:t>V1.0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space="0" w:color="D9D9D9"/>
          <w:left w:val="single" w:sz="6" w:space="0" w:color="D9D9D9"/>
          <w:bottom w:val="single" w:sz="6" w:space="0" w:color="D9D9D9"/>
          <w:right w:val="single" w:sz="6" w:space="0" w:color="D9D9D9"/>
          <w:insideH w:val="single" w:sz="6" w:space="0" w:color="D9D9D9"/>
          <w:insideV w:val="single" w:sz="6" w:space="0" w:color="D9D9D9"/>
        </w:tblBorders>
      </w:tblPr>
      <w:tblGrid>
        <w:gridCol w:w="1928"/>
        <w:gridCol w:w="5839"/>
      </w:tblGrid>
      <w:tr>
        <w:tc>
          <w:tcPr>
            <w:tcW w:type="dxa" w:w="1928"/>
            <w:vAlign w:val="center"/>
            <w:shd w:fill="EAF2F8"/>
            <w:tcMar>
              <w:top w:w="120" w:type="dxa"/>
              <w:start w:w="150" w:type="dxa"/>
              <w:bottom w:w="120" w:type="dxa"/>
              <w:end w:w="150" w:type="dxa"/>
            </w:tcMar>
          </w:tcPr>
          <w:p>
            <w:pPr>
              <w:jc w:val="center"/>
            </w:pPr>
            <w:r>
              <w:rPr>
                <w:rFonts w:ascii="Noto Sans CJK SC" w:hAnsi="Noto Sans CJK SC" w:eastAsia="Noto Sans CJK SC" w:cs="Noto Sans CJK SC"/>
                <w:b/>
                <w:color w:val="000000"/>
                <w:sz w:val="20"/>
              </w:rPr>
              <w:t>适用对象</w:t>
            </w:r>
          </w:p>
        </w:tc>
        <w:tc>
          <w:tcPr>
            <w:tcW w:type="dxa" w:w="5839"/>
            <w:vAlign w:val="center"/>
            <w:tcMar>
              <w:top w:w="120" w:type="dxa"/>
              <w:start w:w="150" w:type="dxa"/>
              <w:bottom w:w="120" w:type="dxa"/>
              <w:end w:w="150" w:type="dxa"/>
            </w:tcMar>
          </w:tcPr>
          <w:p>
            <w:r>
              <w:rPr>
                <w:rFonts w:ascii="Noto Sans CJK SC" w:hAnsi="Noto Sans CJK SC" w:eastAsia="Noto Sans CJK SC" w:cs="Noto Sans CJK SC"/>
                <w:color w:val="000000"/>
                <w:sz w:val="20"/>
              </w:rPr>
              <w:t>学校管理员、食堂管理员、营养师、账单管理员、系统管理员</w:t>
            </w:r>
          </w:p>
        </w:tc>
      </w:tr>
      <w:tr>
        <w:tc>
          <w:tcPr>
            <w:tcW w:type="dxa" w:w="1928"/>
            <w:vAlign w:val="center"/>
            <w:shd w:fill="EAF2F8"/>
            <w:tcMar>
              <w:top w:w="120" w:type="dxa"/>
              <w:start w:w="150" w:type="dxa"/>
              <w:bottom w:w="120" w:type="dxa"/>
              <w:end w:w="150" w:type="dxa"/>
            </w:tcMar>
          </w:tcPr>
          <w:p>
            <w:pPr>
              <w:jc w:val="center"/>
            </w:pPr>
            <w:r>
              <w:rPr>
                <w:rFonts w:ascii="Noto Sans CJK SC" w:hAnsi="Noto Sans CJK SC" w:eastAsia="Noto Sans CJK SC" w:cs="Noto Sans CJK SC"/>
                <w:b/>
                <w:color w:val="000000"/>
                <w:sz w:val="20"/>
              </w:rPr>
              <w:t>事实依据</w:t>
            </w:r>
          </w:p>
        </w:tc>
        <w:tc>
          <w:tcPr>
            <w:tcW w:type="dxa" w:w="5839"/>
            <w:vAlign w:val="center"/>
            <w:tcMar>
              <w:top w:w="120" w:type="dxa"/>
              <w:start w:w="150" w:type="dxa"/>
              <w:bottom w:w="120" w:type="dxa"/>
              <w:end w:w="150" w:type="dxa"/>
            </w:tcMar>
          </w:tcPr>
          <w:p>
            <w:r>
              <w:rPr>
                <w:rFonts w:ascii="Noto Sans CJK SC" w:hAnsi="Noto Sans CJK SC" w:eastAsia="Noto Sans CJK SC" w:cs="Noto Sans CJK SC"/>
                <w:color w:val="000000"/>
                <w:sz w:val="20"/>
              </w:rPr>
              <w:t>学校端线上页面与既有后台端操作手册</w:t>
            </w:r>
          </w:p>
        </w:tc>
      </w:tr>
      <w:tr>
        <w:tc>
          <w:tcPr>
            <w:tcW w:type="dxa" w:w="1928"/>
            <w:vAlign w:val="center"/>
            <w:shd w:fill="EAF2F8"/>
            <w:tcMar>
              <w:top w:w="120" w:type="dxa"/>
              <w:start w:w="150" w:type="dxa"/>
              <w:bottom w:w="120" w:type="dxa"/>
              <w:end w:w="150" w:type="dxa"/>
            </w:tcMar>
          </w:tcPr>
          <w:p>
            <w:pPr>
              <w:jc w:val="center"/>
            </w:pPr>
            <w:r>
              <w:rPr>
                <w:rFonts w:ascii="Noto Sans CJK SC" w:hAnsi="Noto Sans CJK SC" w:eastAsia="Noto Sans CJK SC" w:cs="Noto Sans CJK SC"/>
                <w:b/>
                <w:color w:val="000000"/>
                <w:sz w:val="20"/>
              </w:rPr>
              <w:t>页面核验日期</w:t>
            </w:r>
          </w:p>
        </w:tc>
        <w:tc>
          <w:tcPr>
            <w:tcW w:type="dxa" w:w="5839"/>
            <w:vAlign w:val="center"/>
            <w:tcMar>
              <w:top w:w="120" w:type="dxa"/>
              <w:start w:w="150" w:type="dxa"/>
              <w:bottom w:w="120" w:type="dxa"/>
              <w:end w:w="150" w:type="dxa"/>
            </w:tcMar>
          </w:tcPr>
          <w:p>
            <w:r>
              <w:rPr>
                <w:rFonts w:ascii="Noto Sans CJK SC" w:hAnsi="Noto Sans CJK SC" w:eastAsia="Noto Sans CJK SC" w:cs="Noto Sans CJK SC"/>
                <w:color w:val="000000"/>
                <w:sz w:val="20"/>
              </w:rPr>
              <w:t>2026年9月30日</w:t>
            </w:r>
          </w:p>
        </w:tc>
      </w:tr>
      <w:tr>
        <w:tc>
          <w:tcPr>
            <w:tcW w:type="dxa" w:w="1928"/>
            <w:vAlign w:val="center"/>
            <w:shd w:fill="EAF2F8"/>
            <w:tcMar>
              <w:top w:w="120" w:type="dxa"/>
              <w:start w:w="150" w:type="dxa"/>
              <w:bottom w:w="120" w:type="dxa"/>
              <w:end w:w="150" w:type="dxa"/>
            </w:tcMar>
          </w:tcPr>
          <w:p>
            <w:pPr>
              <w:jc w:val="center"/>
            </w:pPr>
            <w:r>
              <w:rPr>
                <w:rFonts w:ascii="Noto Sans CJK SC" w:hAnsi="Noto Sans CJK SC" w:eastAsia="Noto Sans CJK SC" w:cs="Noto Sans CJK SC"/>
                <w:b/>
                <w:color w:val="000000"/>
                <w:sz w:val="20"/>
              </w:rPr>
              <w:t>编制单位</w:t>
            </w:r>
          </w:p>
        </w:tc>
        <w:tc>
          <w:tcPr>
            <w:tcW w:type="dxa" w:w="5839"/>
            <w:vAlign w:val="center"/>
            <w:tcMar>
              <w:top w:w="120" w:type="dxa"/>
              <w:start w:w="150" w:type="dxa"/>
              <w:bottom w:w="120" w:type="dxa"/>
              <w:end w:w="150" w:type="dxa"/>
            </w:tcMar>
          </w:tcPr>
          <w:p>
            <w:r>
              <w:rPr>
                <w:rFonts w:ascii="Noto Sans CJK SC" w:hAnsi="Noto Sans CJK SC" w:eastAsia="Noto Sans CJK SC" w:cs="Noto Sans CJK SC"/>
                <w:color w:val="000000"/>
                <w:sz w:val="20"/>
              </w:rPr>
              <w:t>康比特数字体育科技</w:t>
            </w:r>
          </w:p>
        </w:tc>
      </w:tr>
    </w:tbl>
    <w:p>
      <w:pPr>
        <w:spacing w:before="560"/>
        <w:jc w:val="center"/>
      </w:pPr>
      <w:r>
        <w:rPr>
          <w:rFonts w:ascii="Noto Sans CJK SC" w:hAnsi="Noto Sans CJK SC" w:eastAsia="Noto Sans CJK SC" w:cs="Noto Sans CJK SC"/>
          <w:color w:val="555555"/>
          <w:sz w:val="19"/>
        </w:rPr>
        <w:t>本手册不包含登录密码，截图中的人员、账号与账单数据已做脱敏处理。</w:t>
      </w:r>
      <w:r>
        <w:br w:type="page"/>
      </w:r>
    </w:p>
    <w:p>
      <w:pPr>
        <w:pStyle w:val="1"/>
      </w:pPr>
      <w:r>
        <w:t>1 使用说明</w:t>
      </w:r>
    </w:p>
    <w:p>
      <w:pPr>
        <w:widowControl/>
        <w:spacing w:after="100" w:line="324" w:lineRule="auto"/>
      </w:pPr>
      <w:r>
        <w:rPr>
          <w:rFonts w:ascii="Noto Sans CJK SC" w:hAnsi="Noto Sans CJK SC" w:eastAsia="Noto Sans CJK SC" w:cs="Noto Sans CJK SC"/>
          <w:color w:val="000000"/>
          <w:sz w:val="21"/>
        </w:rPr>
        <w:t>本手册依据学校端线上页面编写，用于完成从基础资料维护、菜品与餐厅配置、月度账单核对，到食谱编制、营养分析、审核发布和采购单导出的日常工作。不同角色看到的菜单可能不同，请以本账号被授予的权限为准。</w:t>
      </w:r>
    </w:p>
    <w:p>
      <w:pPr>
        <w:widowControl/>
        <w:spacing w:after="100" w:line="324" w:lineRule="auto"/>
      </w:pPr>
      <w:r>
        <w:rPr>
          <w:rFonts w:ascii="Noto Sans CJK SC" w:hAnsi="Noto Sans CJK SC" w:eastAsia="Noto Sans CJK SC" w:cs="Noto Sans CJK SC"/>
          <w:color w:val="000000"/>
          <w:sz w:val="21"/>
        </w:rPr>
        <w:t>本手册只覆盖当前账号实际可见的功能。参考文档中的卡务、现金充值、现金退款、传统订单与报表、消费策略和消费限制等历史模块未出现在当前菜单中，不作为本系统现行操作说明。食品安全会打开独立系统，本手册只说明入口，不包含该独立系统的内部操作。</w:t>
      </w:r>
    </w:p>
    <w:p>
      <w:pPr>
        <w:widowControl/>
        <w:spacing w:after="100" w:line="324" w:lineRule="auto"/>
      </w:pPr>
      <w:r>
        <w:rPr>
          <w:rFonts w:ascii="Noto Sans CJK SC" w:hAnsi="Noto Sans CJK SC" w:eastAsia="Noto Sans CJK SC" w:cs="Noto Sans CJK SC"/>
          <w:color w:val="000000"/>
          <w:sz w:val="21"/>
        </w:rPr>
        <w:t>截图来自真实页面。涉及人员、账单、角色和账号的数据行已模糊处理，文中的示例名称、日期和金额仅用于识别页面位置，不代表实际业务要求。</w:t>
      </w:r>
    </w:p>
    <w:p>
      <w:pPr>
        <w:pStyle w:val="1"/>
      </w:pPr>
      <w:r>
        <w:t>2 完整操作顺序</w:t>
      </w:r>
    </w:p>
    <w:p>
      <w:pPr>
        <w:widowControl/>
        <w:spacing w:after="100" w:line="324" w:lineRule="auto"/>
      </w:pPr>
      <w:r>
        <w:rPr>
          <w:rFonts w:ascii="Noto Sans CJK SC" w:hAnsi="Noto Sans CJK SC" w:eastAsia="Noto Sans CJK SC" w:cs="Noto Sans CJK SC"/>
          <w:color w:val="000000"/>
          <w:sz w:val="21"/>
        </w:rPr>
        <w:t>建议按照以下顺序完成首次配置和日常运营：</w:t>
      </w:r>
    </w:p>
    <w:p>
      <w:pPr>
        <w:pStyle w:val="aa"/>
        <w:widowControl/>
        <w:spacing w:after="100" w:line="324" w:lineRule="auto"/>
        <w:ind w:left="397" w:hanging="255"/>
      </w:pPr>
      <w:r>
        <w:rPr>
          <w:rFonts w:ascii="Noto Sans CJK SC" w:hAnsi="Noto Sans CJK SC" w:eastAsia="Noto Sans CJK SC" w:cs="Noto Sans CJK SC"/>
          <w:color w:val="000000"/>
          <w:sz w:val="21"/>
        </w:rPr>
        <w:t>1. 登录系统，确认当前账号、学校和首页数据范围。</w:t>
      </w:r>
    </w:p>
    <w:p>
      <w:pPr>
        <w:pStyle w:val="aa"/>
        <w:widowControl/>
        <w:spacing w:after="100" w:line="324" w:lineRule="auto"/>
        <w:ind w:left="397" w:hanging="255"/>
      </w:pPr>
      <w:r>
        <w:rPr>
          <w:rFonts w:ascii="Noto Sans CJK SC" w:hAnsi="Noto Sans CJK SC" w:eastAsia="Noto Sans CJK SC" w:cs="Noto Sans CJK SC"/>
          <w:color w:val="000000"/>
          <w:sz w:val="21"/>
        </w:rPr>
        <w:t>2. 在人员管理中维护部门，再新增或导入人员。</w:t>
      </w:r>
    </w:p>
    <w:p>
      <w:pPr>
        <w:pStyle w:val="aa"/>
        <w:widowControl/>
        <w:spacing w:after="100" w:line="324" w:lineRule="auto"/>
        <w:ind w:left="397" w:hanging="255"/>
      </w:pPr>
      <w:r>
        <w:rPr>
          <w:rFonts w:ascii="Noto Sans CJK SC" w:hAnsi="Noto Sans CJK SC" w:eastAsia="Noto Sans CJK SC" w:cs="Noto Sans CJK SC"/>
          <w:color w:val="000000"/>
          <w:sz w:val="21"/>
        </w:rPr>
        <w:t>3. 在食堂管理中维护区域、餐厅和档口，随后维护菜品分类、菜品及食物成分。</w:t>
      </w:r>
    </w:p>
    <w:p>
      <w:pPr>
        <w:pStyle w:val="aa"/>
        <w:widowControl/>
        <w:spacing w:after="100" w:line="324" w:lineRule="auto"/>
        <w:ind w:left="397" w:hanging="255"/>
      </w:pPr>
      <w:r>
        <w:rPr>
          <w:rFonts w:ascii="Noto Sans CJK SC" w:hAnsi="Noto Sans CJK SC" w:eastAsia="Noto Sans CJK SC" w:cs="Noto Sans CJK SC"/>
          <w:color w:val="000000"/>
          <w:sz w:val="21"/>
        </w:rPr>
        <w:t>4. 在膳食营养基础设置中确认供餐对象、搭配模板和特殊供餐核验规则。</w:t>
      </w:r>
    </w:p>
    <w:p>
      <w:pPr>
        <w:pStyle w:val="aa"/>
        <w:widowControl/>
        <w:spacing w:after="100" w:line="324" w:lineRule="auto"/>
        <w:ind w:left="397" w:hanging="255"/>
      </w:pPr>
      <w:r>
        <w:rPr>
          <w:rFonts w:ascii="Noto Sans CJK SC" w:hAnsi="Noto Sans CJK SC" w:eastAsia="Noto Sans CJK SC" w:cs="Noto Sans CJK SC"/>
          <w:color w:val="000000"/>
          <w:sz w:val="21"/>
        </w:rPr>
        <w:t>5. 新建周食谱，选择学校档口、供餐对象和供餐周，编排各餐次菜品。</w:t>
      </w:r>
    </w:p>
    <w:p>
      <w:pPr>
        <w:pStyle w:val="aa"/>
        <w:widowControl/>
        <w:spacing w:after="100" w:line="324" w:lineRule="auto"/>
        <w:ind w:left="397" w:hanging="255"/>
      </w:pPr>
      <w:r>
        <w:rPr>
          <w:rFonts w:ascii="Noto Sans CJK SC" w:hAnsi="Noto Sans CJK SC" w:eastAsia="Noto Sans CJK SC" w:cs="Noto Sans CJK SC"/>
          <w:color w:val="000000"/>
          <w:sz w:val="21"/>
        </w:rPr>
        <w:t>6. 查看本周营养分析，处理缺失成分、超标或不足提示。</w:t>
      </w:r>
    </w:p>
    <w:p>
      <w:pPr>
        <w:pStyle w:val="aa"/>
        <w:widowControl/>
        <w:spacing w:after="100" w:line="324" w:lineRule="auto"/>
        <w:ind w:left="397" w:hanging="255"/>
      </w:pPr>
      <w:r>
        <w:rPr>
          <w:rFonts w:ascii="Noto Sans CJK SC" w:hAnsi="Noto Sans CJK SC" w:eastAsia="Noto Sans CJK SC" w:cs="Noto Sans CJK SC"/>
          <w:color w:val="000000"/>
          <w:sz w:val="21"/>
        </w:rPr>
        <w:t>7. 在审核发布页提交审核；审核通过并发布后，生成食材用量与采购单。</w:t>
      </w:r>
    </w:p>
    <w:p>
      <w:pPr>
        <w:pStyle w:val="aa"/>
        <w:widowControl/>
        <w:spacing w:after="100" w:line="324" w:lineRule="auto"/>
        <w:ind w:left="397" w:hanging="255"/>
      </w:pPr>
      <w:r>
        <w:rPr>
          <w:rFonts w:ascii="Noto Sans CJK SC" w:hAnsi="Noto Sans CJK SC" w:eastAsia="Noto Sans CJK SC" w:cs="Noto Sans CJK SC"/>
          <w:color w:val="000000"/>
          <w:sz w:val="21"/>
        </w:rPr>
        <w:t>8. 每月在阳光消费中核对上月账单，确认金额后再发起缴费。</w:t>
      </w:r>
    </w:p>
    <w:p>
      <w:pPr>
        <w:pStyle w:val="aa"/>
        <w:widowControl/>
        <w:spacing w:after="100" w:line="324" w:lineRule="auto"/>
        <w:ind w:left="397" w:hanging="255"/>
      </w:pPr>
      <w:r>
        <w:rPr>
          <w:rFonts w:ascii="Noto Sans CJK SC" w:hAnsi="Noto Sans CJK SC" w:eastAsia="Noto Sans CJK SC" w:cs="Noto Sans CJK SC"/>
          <w:color w:val="000000"/>
          <w:sz w:val="21"/>
        </w:rPr>
        <w:t>9. 在系统管理中按职责配置角色、账号和数据权限，按需维护设备与人脸数据。</w:t>
      </w:r>
    </w:p>
    <w:p>
      <w:pPr>
        <w:pStyle w:val="1"/>
        <w:pageBreakBefore/>
      </w:pPr>
      <w:r>
        <w:t>3 登录与首页</w:t>
      </w:r>
    </w:p>
    <w:p>
      <w:pPr>
        <w:pStyle w:val="2"/>
      </w:pPr>
      <w:r>
        <w:t>3.1 登录系统</w:t>
      </w:r>
    </w:p>
    <w:p>
      <w:pPr>
        <w:widowControl/>
        <w:spacing w:after="100" w:line="324" w:lineRule="auto"/>
      </w:pPr>
      <w:r>
        <w:rPr>
          <w:rFonts w:ascii="Noto Sans CJK SC" w:hAnsi="Noto Sans CJK SC" w:eastAsia="Noto Sans CJK SC" w:cs="Noto Sans CJK SC"/>
          <w:b/>
          <w:color w:val="000000"/>
          <w:sz w:val="21"/>
        </w:rPr>
        <w:t>入口</w:t>
      </w:r>
    </w:p>
    <w:p>
      <w:pPr>
        <w:widowControl/>
        <w:spacing w:after="100" w:line="324" w:lineRule="auto"/>
      </w:pPr>
      <w:r>
        <w:rPr>
          <w:rFonts w:ascii="Noto Sans CJK SC" w:hAnsi="Noto Sans CJK SC" w:eastAsia="Noto Sans CJK SC" w:cs="Noto Sans CJK SC"/>
          <w:color w:val="000000"/>
          <w:sz w:val="21"/>
        </w:rPr>
        <w:t>在浏览器打开系统登录页。</w:t>
      </w:r>
    </w:p>
    <w:p>
      <w:pPr>
        <w:widowControl/>
        <w:spacing w:after="100" w:line="324" w:lineRule="auto"/>
      </w:pPr>
      <w:r>
        <w:rPr>
          <w:rFonts w:ascii="Noto Sans CJK SC" w:hAnsi="Noto Sans CJK SC" w:eastAsia="Noto Sans CJK SC" w:cs="Noto Sans CJK SC"/>
          <w:b/>
          <w:color w:val="000000"/>
          <w:sz w:val="21"/>
        </w:rPr>
        <w:t>操作</w:t>
      </w:r>
    </w:p>
    <w:p>
      <w:pPr>
        <w:pStyle w:val="aa"/>
        <w:widowControl/>
        <w:spacing w:after="100" w:line="324" w:lineRule="auto"/>
        <w:ind w:left="397" w:hanging="255"/>
      </w:pPr>
      <w:r>
        <w:rPr>
          <w:rFonts w:ascii="Noto Sans CJK SC" w:hAnsi="Noto Sans CJK SC" w:eastAsia="Noto Sans CJK SC" w:cs="Noto Sans CJK SC"/>
          <w:color w:val="000000"/>
          <w:sz w:val="21"/>
        </w:rPr>
        <w:t>1. 在“请输入用户名”中填写分配的账号。</w:t>
      </w:r>
    </w:p>
    <w:p>
      <w:pPr>
        <w:pStyle w:val="aa"/>
        <w:widowControl/>
        <w:spacing w:after="100" w:line="324" w:lineRule="auto"/>
        <w:ind w:left="397" w:hanging="255"/>
      </w:pPr>
      <w:r>
        <w:rPr>
          <w:rFonts w:ascii="Noto Sans CJK SC" w:hAnsi="Noto Sans CJK SC" w:eastAsia="Noto Sans CJK SC" w:cs="Noto Sans CJK SC"/>
          <w:color w:val="000000"/>
          <w:sz w:val="21"/>
        </w:rPr>
        <w:t>2. 在“请输入密码”中填写密码。</w:t>
      </w:r>
    </w:p>
    <w:p>
      <w:pPr>
        <w:pStyle w:val="aa"/>
        <w:widowControl/>
        <w:spacing w:after="100" w:line="324" w:lineRule="auto"/>
        <w:ind w:left="397" w:hanging="255"/>
      </w:pPr>
      <w:r>
        <w:rPr>
          <w:rFonts w:ascii="Noto Sans CJK SC" w:hAnsi="Noto Sans CJK SC" w:eastAsia="Noto Sans CJK SC" w:cs="Noto Sans CJK SC"/>
          <w:color w:val="000000"/>
          <w:sz w:val="21"/>
        </w:rPr>
        <w:t>3. 点击“登录”。</w:t>
      </w:r>
    </w:p>
    <w:p>
      <w:pPr>
        <w:widowControl/>
        <w:spacing w:after="100" w:line="324" w:lineRule="auto"/>
      </w:pPr>
      <w:r>
        <w:rPr>
          <w:rFonts w:ascii="Noto Sans CJK SC" w:hAnsi="Noto Sans CJK SC" w:eastAsia="Noto Sans CJK SC" w:cs="Noto Sans CJK SC"/>
          <w:b/>
          <w:color w:val="000000"/>
          <w:sz w:val="21"/>
        </w:rPr>
        <w:t>保存后检查</w:t>
      </w:r>
    </w:p>
    <w:p>
      <w:pPr>
        <w:widowControl/>
        <w:spacing w:after="100" w:line="324" w:lineRule="auto"/>
      </w:pPr>
      <w:r>
        <w:rPr>
          <w:rFonts w:ascii="Noto Sans CJK SC" w:hAnsi="Noto Sans CJK SC" w:eastAsia="Noto Sans CJK SC" w:cs="Noto Sans CJK SC"/>
          <w:color w:val="000000"/>
          <w:sz w:val="21"/>
        </w:rPr>
        <w:t>成功后应进入首页，右上角显示当前用户名称，左侧显示本人有权访问的菜单。</w:t>
      </w:r>
    </w:p>
    <w:p>
      <w:pPr>
        <w:widowControl/>
        <w:spacing w:after="100" w:line="324" w:lineRule="auto"/>
      </w:pPr>
      <w:r>
        <w:rPr>
          <w:rFonts w:ascii="Noto Sans CJK SC" w:hAnsi="Noto Sans CJK SC" w:eastAsia="Noto Sans CJK SC" w:cs="Noto Sans CJK SC"/>
          <w:b/>
          <w:color w:val="000000"/>
          <w:sz w:val="21"/>
        </w:rPr>
        <w:t>风险提示</w:t>
      </w:r>
    </w:p>
    <w:p>
      <w:pPr>
        <w:widowControl/>
        <w:spacing w:after="100" w:line="324" w:lineRule="auto"/>
      </w:pPr>
      <w:r>
        <w:rPr>
          <w:rFonts w:ascii="Noto Sans CJK SC" w:hAnsi="Noto Sans CJK SC" w:eastAsia="Noto Sans CJK SC" w:cs="Noto Sans CJK SC"/>
          <w:color w:val="000000"/>
          <w:sz w:val="21"/>
        </w:rPr>
        <w:t>不要在共享电脑保存密码；离开电脑前退出账号。连续登录失败时先核对账号状态和密码，不要反复尝试。</w:t>
      </w:r>
    </w:p>
    <w:p>
      <w:pPr>
        <w:keepNext/>
        <w:spacing w:before="100" w:after="40"/>
        <w:jc w:val="center"/>
      </w:pPr>
      <w:r>
        <w:drawing>
          <wp:inline xmlns:wp="http://schemas.openxmlformats.org/drawingml/2006/wordprocessingDrawing" xmlns:a="http://schemas.openxmlformats.org/drawingml/2006/main" xmlns:pic="http://schemas.openxmlformats.org/drawingml/2006/picture">
            <wp:extent cx="5257800" cy="2957512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1-login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257800" cy="295751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FigureCaption"/>
        <w:jc w:val="center"/>
      </w:pPr>
      <w:r>
        <w:t>图  登录页</w:t>
      </w:r>
    </w:p>
    <w:p>
      <w:pPr>
        <w:pStyle w:val="2"/>
      </w:pPr>
      <w:r>
        <w:t>3.2 查看首页</w:t>
      </w:r>
    </w:p>
    <w:p>
      <w:pPr>
        <w:widowControl/>
        <w:spacing w:after="100" w:line="324" w:lineRule="auto"/>
      </w:pPr>
      <w:r>
        <w:rPr>
          <w:rFonts w:ascii="Noto Sans CJK SC" w:hAnsi="Noto Sans CJK SC" w:eastAsia="Noto Sans CJK SC" w:cs="Noto Sans CJK SC"/>
          <w:b/>
          <w:color w:val="000000"/>
          <w:sz w:val="21"/>
        </w:rPr>
        <w:t>入口</w:t>
      </w:r>
    </w:p>
    <w:p>
      <w:pPr>
        <w:widowControl/>
        <w:spacing w:after="100" w:line="324" w:lineRule="auto"/>
      </w:pPr>
      <w:r>
        <w:rPr>
          <w:rFonts w:ascii="Noto Sans CJK SC" w:hAnsi="Noto Sans CJK SC" w:eastAsia="Noto Sans CJK SC" w:cs="Noto Sans CJK SC"/>
          <w:color w:val="000000"/>
          <w:sz w:val="21"/>
        </w:rPr>
        <w:t>左侧菜单选择“首页”。</w:t>
      </w:r>
    </w:p>
    <w:p>
      <w:pPr>
        <w:widowControl/>
        <w:spacing w:after="100" w:line="324" w:lineRule="auto"/>
      </w:pPr>
      <w:r>
        <w:rPr>
          <w:rFonts w:ascii="Noto Sans CJK SC" w:hAnsi="Noto Sans CJK SC" w:eastAsia="Noto Sans CJK SC" w:cs="Noto Sans CJK SC"/>
          <w:b/>
          <w:color w:val="000000"/>
          <w:sz w:val="21"/>
        </w:rPr>
        <w:t>操作</w:t>
      </w:r>
    </w:p>
    <w:p>
      <w:pPr>
        <w:widowControl/>
        <w:spacing w:after="100" w:line="324" w:lineRule="auto"/>
      </w:pPr>
      <w:r>
        <w:rPr>
          <w:rFonts w:ascii="Noto Sans CJK SC" w:hAnsi="Noto Sans CJK SC" w:eastAsia="Noto Sans CJK SC" w:cs="Noto Sans CJK SC"/>
          <w:color w:val="000000"/>
          <w:sz w:val="21"/>
        </w:rPr>
        <w:t>确认当前餐厅后，查看菜品数量、当日上架菜品、食材统计、就餐人数、部门就餐情况和受欢迎菜品等指标。</w:t>
      </w:r>
    </w:p>
    <w:p>
      <w:pPr>
        <w:widowControl/>
        <w:spacing w:after="100" w:line="324" w:lineRule="auto"/>
      </w:pPr>
      <w:r>
        <w:rPr>
          <w:rFonts w:ascii="Noto Sans CJK SC" w:hAnsi="Noto Sans CJK SC" w:eastAsia="Noto Sans CJK SC" w:cs="Noto Sans CJK SC"/>
          <w:b/>
          <w:color w:val="000000"/>
          <w:sz w:val="21"/>
        </w:rPr>
        <w:t>保存后检查</w:t>
      </w:r>
    </w:p>
    <w:p>
      <w:pPr>
        <w:widowControl/>
        <w:spacing w:after="100" w:line="324" w:lineRule="auto"/>
      </w:pPr>
      <w:r>
        <w:rPr>
          <w:rFonts w:ascii="Noto Sans CJK SC" w:hAnsi="Noto Sans CJK SC" w:eastAsia="Noto Sans CJK SC" w:cs="Noto Sans CJK SC"/>
          <w:color w:val="000000"/>
          <w:sz w:val="21"/>
        </w:rPr>
        <w:t>首页为汇总页面，不产生保存操作。切换餐厅后，应确认全部卡片和图表同步刷新。</w:t>
      </w:r>
    </w:p>
    <w:p>
      <w:pPr>
        <w:widowControl/>
        <w:spacing w:after="100" w:line="324" w:lineRule="auto"/>
      </w:pPr>
      <w:r>
        <w:rPr>
          <w:rFonts w:ascii="Noto Sans CJK SC" w:hAnsi="Noto Sans CJK SC" w:eastAsia="Noto Sans CJK SC" w:cs="Noto Sans CJK SC"/>
          <w:b/>
          <w:color w:val="000000"/>
          <w:sz w:val="21"/>
        </w:rPr>
        <w:t>风险提示</w:t>
      </w:r>
    </w:p>
    <w:p>
      <w:pPr>
        <w:widowControl/>
        <w:spacing w:after="100" w:line="324" w:lineRule="auto"/>
      </w:pPr>
      <w:r>
        <w:rPr>
          <w:rFonts w:ascii="Noto Sans CJK SC" w:hAnsi="Noto Sans CJK SC" w:eastAsia="Noto Sans CJK SC" w:cs="Noto Sans CJK SC"/>
          <w:color w:val="000000"/>
          <w:sz w:val="21"/>
        </w:rPr>
        <w:t>首页指标受餐厅、日期和数据上报影响。出现空值时先检查筛选范围和基础数据，不要直接判断为业务异常。</w:t>
      </w:r>
    </w:p>
    <w:p>
      <w:pPr>
        <w:keepNext/>
        <w:spacing w:before="100" w:after="40"/>
        <w:jc w:val="center"/>
      </w:pPr>
      <w:r>
        <w:drawing>
          <wp:inline xmlns:wp="http://schemas.openxmlformats.org/drawingml/2006/wordprocessingDrawing" xmlns:a="http://schemas.openxmlformats.org/drawingml/2006/main" xmlns:pic="http://schemas.openxmlformats.org/drawingml/2006/picture">
            <wp:extent cx="5257800" cy="3129643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2-home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257800" cy="312964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FigureCaption"/>
        <w:jc w:val="center"/>
      </w:pPr>
      <w:r>
        <w:t>图  首页</w:t>
      </w:r>
    </w:p>
    <w:p>
      <w:pPr>
        <w:pStyle w:val="1"/>
        <w:pageBreakBefore/>
      </w:pPr>
      <w:r>
        <w:t>4 人员管理</w:t>
      </w:r>
    </w:p>
    <w:p>
      <w:pPr>
        <w:pStyle w:val="2"/>
      </w:pPr>
      <w:r>
        <w:t>4.1 维护机构人员</w:t>
      </w:r>
    </w:p>
    <w:p>
      <w:pPr>
        <w:widowControl/>
        <w:spacing w:after="100" w:line="324" w:lineRule="auto"/>
      </w:pPr>
      <w:r>
        <w:rPr>
          <w:rFonts w:ascii="Noto Sans CJK SC" w:hAnsi="Noto Sans CJK SC" w:eastAsia="Noto Sans CJK SC" w:cs="Noto Sans CJK SC"/>
          <w:b/>
          <w:color w:val="000000"/>
          <w:sz w:val="21"/>
        </w:rPr>
        <w:t>入口</w:t>
      </w:r>
    </w:p>
    <w:p>
      <w:pPr>
        <w:widowControl/>
        <w:spacing w:after="100" w:line="324" w:lineRule="auto"/>
      </w:pPr>
      <w:r>
        <w:rPr>
          <w:rFonts w:ascii="Noto Sans CJK SC" w:hAnsi="Noto Sans CJK SC" w:eastAsia="Noto Sans CJK SC" w:cs="Noto Sans CJK SC"/>
          <w:color w:val="000000"/>
          <w:sz w:val="21"/>
        </w:rPr>
        <w:t>左侧“人员管理”进入“机构人员”，在左侧组织树选择学校或部门。</w:t>
      </w:r>
    </w:p>
    <w:p>
      <w:pPr>
        <w:widowControl/>
        <w:spacing w:after="100" w:line="324" w:lineRule="auto"/>
      </w:pPr>
      <w:r>
        <w:rPr>
          <w:rFonts w:ascii="Noto Sans CJK SC" w:hAnsi="Noto Sans CJK SC" w:eastAsia="Noto Sans CJK SC" w:cs="Noto Sans CJK SC"/>
          <w:b/>
          <w:color w:val="000000"/>
          <w:sz w:val="21"/>
        </w:rPr>
        <w:t>操作</w:t>
      </w:r>
    </w:p>
    <w:p>
      <w:pPr>
        <w:pStyle w:val="aa"/>
        <w:widowControl/>
        <w:spacing w:after="100" w:line="324" w:lineRule="auto"/>
        <w:ind w:left="397" w:hanging="255"/>
      </w:pPr>
      <w:r>
        <w:rPr>
          <w:rFonts w:ascii="Noto Sans CJK SC" w:hAnsi="Noto Sans CJK SC" w:eastAsia="Noto Sans CJK SC" w:cs="Noto Sans CJK SC"/>
          <w:color w:val="000000"/>
          <w:sz w:val="21"/>
        </w:rPr>
        <w:t>1. 可按性别、工作状态、姓名等条件筛选人员。</w:t>
      </w:r>
    </w:p>
    <w:p>
      <w:pPr>
        <w:pStyle w:val="aa"/>
        <w:widowControl/>
        <w:spacing w:after="100" w:line="324" w:lineRule="auto"/>
        <w:ind w:left="397" w:hanging="255"/>
      </w:pPr>
      <w:r>
        <w:rPr>
          <w:rFonts w:ascii="Noto Sans CJK SC" w:hAnsi="Noto Sans CJK SC" w:eastAsia="Noto Sans CJK SC" w:cs="Noto Sans CJK SC"/>
          <w:color w:val="000000"/>
          <w:sz w:val="21"/>
        </w:rPr>
        <w:t>2. 单个新增时点击“新建”，填写页面要求的人员基础信息并保存。</w:t>
      </w:r>
    </w:p>
    <w:p>
      <w:pPr>
        <w:pStyle w:val="aa"/>
        <w:widowControl/>
        <w:spacing w:after="100" w:line="324" w:lineRule="auto"/>
        <w:ind w:left="397" w:hanging="255"/>
      </w:pPr>
      <w:r>
        <w:rPr>
          <w:rFonts w:ascii="Noto Sans CJK SC" w:hAnsi="Noto Sans CJK SC" w:eastAsia="Noto Sans CJK SC" w:cs="Noto Sans CJK SC"/>
          <w:color w:val="000000"/>
          <w:sz w:val="21"/>
        </w:rPr>
        <w:t>3. 批量导入时先点击“下载模板”，按模板填写后通过“导入”上传。</w:t>
      </w:r>
    </w:p>
    <w:p>
      <w:pPr>
        <w:pStyle w:val="aa"/>
        <w:widowControl/>
        <w:spacing w:after="100" w:line="324" w:lineRule="auto"/>
        <w:ind w:left="397" w:hanging="255"/>
      </w:pPr>
      <w:r>
        <w:rPr>
          <w:rFonts w:ascii="Noto Sans CJK SC" w:hAnsi="Noto Sans CJK SC" w:eastAsia="Noto Sans CJK SC" w:cs="Noto Sans CJK SC"/>
          <w:color w:val="000000"/>
          <w:sz w:val="21"/>
        </w:rPr>
        <w:t>4. 已有人员可使用“编辑”修改资料，使用“查看”核对详情；需要留档时点击“导出”。</w:t>
      </w:r>
    </w:p>
    <w:p>
      <w:pPr>
        <w:widowControl/>
        <w:spacing w:after="100" w:line="324" w:lineRule="auto"/>
      </w:pPr>
      <w:r>
        <w:rPr>
          <w:rFonts w:ascii="Noto Sans CJK SC" w:hAnsi="Noto Sans CJK SC" w:eastAsia="Noto Sans CJK SC" w:cs="Noto Sans CJK SC"/>
          <w:b/>
          <w:color w:val="000000"/>
          <w:sz w:val="21"/>
        </w:rPr>
        <w:t>保存后检查</w:t>
      </w:r>
    </w:p>
    <w:p>
      <w:pPr>
        <w:widowControl/>
        <w:spacing w:after="100" w:line="324" w:lineRule="auto"/>
      </w:pPr>
      <w:r>
        <w:rPr>
          <w:rFonts w:ascii="Noto Sans CJK SC" w:hAnsi="Noto Sans CJK SC" w:eastAsia="Noto Sans CJK SC" w:cs="Noto Sans CJK SC"/>
          <w:color w:val="000000"/>
          <w:sz w:val="21"/>
        </w:rPr>
        <w:t>返回列表，按姓名或人员编号查询，确认人员所属部门、手机号脱敏展示、状态及创建时间正确。</w:t>
      </w:r>
    </w:p>
    <w:p>
      <w:pPr>
        <w:widowControl/>
        <w:spacing w:after="100" w:line="324" w:lineRule="auto"/>
      </w:pPr>
      <w:r>
        <w:rPr>
          <w:rFonts w:ascii="Noto Sans CJK SC" w:hAnsi="Noto Sans CJK SC" w:eastAsia="Noto Sans CJK SC" w:cs="Noto Sans CJK SC"/>
          <w:b/>
          <w:color w:val="000000"/>
          <w:sz w:val="21"/>
        </w:rPr>
        <w:t>风险提示</w:t>
      </w:r>
    </w:p>
    <w:p>
      <w:pPr>
        <w:widowControl/>
        <w:spacing w:after="100" w:line="324" w:lineRule="auto"/>
      </w:pPr>
      <w:r>
        <w:rPr>
          <w:rFonts w:ascii="Noto Sans CJK SC" w:hAnsi="Noto Sans CJK SC" w:eastAsia="Noto Sans CJK SC" w:cs="Noto Sans CJK SC"/>
          <w:color w:val="000000"/>
          <w:sz w:val="21"/>
        </w:rPr>
        <w:t>导入前先维护部门；不要改变模板列名和结构。人员编号、手机号等可能用于身份匹配，保存前应重点复核。停用或调整人员可能影响账单、权限和历史记录查询。</w:t>
      </w:r>
    </w:p>
    <w:p>
      <w:pPr>
        <w:keepNext/>
        <w:spacing w:before="100" w:after="40"/>
        <w:jc w:val="center"/>
      </w:pPr>
      <w:r>
        <w:drawing>
          <wp:inline xmlns:wp="http://schemas.openxmlformats.org/drawingml/2006/wordprocessingDrawing" xmlns:a="http://schemas.openxmlformats.org/drawingml/2006/main" xmlns:pic="http://schemas.openxmlformats.org/drawingml/2006/picture">
            <wp:extent cx="5257800" cy="3129643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3-personnel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257800" cy="312964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FigureCaption"/>
        <w:jc w:val="center"/>
      </w:pPr>
      <w:r>
        <w:t>图  机构人员</w:t>
      </w:r>
    </w:p>
    <w:p>
      <w:pPr>
        <w:pStyle w:val="2"/>
      </w:pPr>
      <w:r>
        <w:t>4.2 维护部门</w:t>
      </w:r>
    </w:p>
    <w:p>
      <w:pPr>
        <w:widowControl/>
        <w:spacing w:after="100" w:line="324" w:lineRule="auto"/>
      </w:pPr>
      <w:r>
        <w:rPr>
          <w:rFonts w:ascii="Noto Sans CJK SC" w:hAnsi="Noto Sans CJK SC" w:eastAsia="Noto Sans CJK SC" w:cs="Noto Sans CJK SC"/>
          <w:b/>
          <w:color w:val="000000"/>
          <w:sz w:val="21"/>
        </w:rPr>
        <w:t>入口</w:t>
      </w:r>
    </w:p>
    <w:p>
      <w:pPr>
        <w:widowControl/>
        <w:spacing w:after="100" w:line="324" w:lineRule="auto"/>
      </w:pPr>
      <w:r>
        <w:rPr>
          <w:rFonts w:ascii="Noto Sans CJK SC" w:hAnsi="Noto Sans CJK SC" w:eastAsia="Noto Sans CJK SC" w:cs="Noto Sans CJK SC"/>
          <w:color w:val="000000"/>
          <w:sz w:val="21"/>
        </w:rPr>
        <w:t>“人员管理”进入“部门设置”。</w:t>
      </w:r>
    </w:p>
    <w:p>
      <w:pPr>
        <w:widowControl/>
        <w:spacing w:after="100" w:line="324" w:lineRule="auto"/>
      </w:pPr>
      <w:r>
        <w:rPr>
          <w:rFonts w:ascii="Noto Sans CJK SC" w:hAnsi="Noto Sans CJK SC" w:eastAsia="Noto Sans CJK SC" w:cs="Noto Sans CJK SC"/>
          <w:b/>
          <w:color w:val="000000"/>
          <w:sz w:val="21"/>
        </w:rPr>
        <w:t>操作</w:t>
      </w:r>
    </w:p>
    <w:p>
      <w:pPr>
        <w:pStyle w:val="aa"/>
        <w:widowControl/>
        <w:spacing w:after="100" w:line="324" w:lineRule="auto"/>
        <w:ind w:left="397" w:hanging="255"/>
      </w:pPr>
      <w:r>
        <w:rPr>
          <w:rFonts w:ascii="Noto Sans CJK SC" w:hAnsi="Noto Sans CJK SC" w:eastAsia="Noto Sans CJK SC" w:cs="Noto Sans CJK SC"/>
          <w:color w:val="000000"/>
          <w:sz w:val="21"/>
        </w:rPr>
        <w:t>1. 点击“新建”创建一级部门。</w:t>
      </w:r>
    </w:p>
    <w:p>
      <w:pPr>
        <w:pStyle w:val="aa"/>
        <w:widowControl/>
        <w:spacing w:after="100" w:line="324" w:lineRule="auto"/>
        <w:ind w:left="397" w:hanging="255"/>
      </w:pPr>
      <w:r>
        <w:rPr>
          <w:rFonts w:ascii="Noto Sans CJK SC" w:hAnsi="Noto Sans CJK SC" w:eastAsia="Noto Sans CJK SC" w:cs="Noto Sans CJK SC"/>
          <w:color w:val="000000"/>
          <w:sz w:val="21"/>
        </w:rPr>
        <w:t>2. 在允许的部门行点击“新建子类”创建下级部门。</w:t>
      </w:r>
    </w:p>
    <w:p>
      <w:pPr>
        <w:pStyle w:val="aa"/>
        <w:widowControl/>
        <w:spacing w:after="100" w:line="324" w:lineRule="auto"/>
        <w:ind w:left="397" w:hanging="255"/>
      </w:pPr>
      <w:r>
        <w:rPr>
          <w:rFonts w:ascii="Noto Sans CJK SC" w:hAnsi="Noto Sans CJK SC" w:eastAsia="Noto Sans CJK SC" w:cs="Noto Sans CJK SC"/>
          <w:color w:val="000000"/>
          <w:sz w:val="21"/>
        </w:rPr>
        <w:t>3. 通过“编辑”修改名称或编号；确认无人员和业务引用后再考虑删除。</w:t>
      </w:r>
    </w:p>
    <w:p>
      <w:pPr>
        <w:widowControl/>
        <w:spacing w:after="100" w:line="324" w:lineRule="auto"/>
      </w:pPr>
      <w:r>
        <w:rPr>
          <w:rFonts w:ascii="Noto Sans CJK SC" w:hAnsi="Noto Sans CJK SC" w:eastAsia="Noto Sans CJK SC" w:cs="Noto Sans CJK SC"/>
          <w:b/>
          <w:color w:val="000000"/>
          <w:sz w:val="21"/>
        </w:rPr>
        <w:t>保存后检查</w:t>
      </w:r>
    </w:p>
    <w:p>
      <w:pPr>
        <w:widowControl/>
        <w:spacing w:after="100" w:line="324" w:lineRule="auto"/>
      </w:pPr>
      <w:r>
        <w:rPr>
          <w:rFonts w:ascii="Noto Sans CJK SC" w:hAnsi="Noto Sans CJK SC" w:eastAsia="Noto Sans CJK SC" w:cs="Noto Sans CJK SC"/>
          <w:color w:val="000000"/>
          <w:sz w:val="21"/>
        </w:rPr>
        <w:t>使用名称或编号搜索新部门，并在机构人员页面确认组织树已同步显示。</w:t>
      </w:r>
    </w:p>
    <w:p>
      <w:pPr>
        <w:widowControl/>
        <w:spacing w:after="100" w:line="324" w:lineRule="auto"/>
      </w:pPr>
      <w:r>
        <w:rPr>
          <w:rFonts w:ascii="Noto Sans CJK SC" w:hAnsi="Noto Sans CJK SC" w:eastAsia="Noto Sans CJK SC" w:cs="Noto Sans CJK SC"/>
          <w:b/>
          <w:color w:val="000000"/>
          <w:sz w:val="21"/>
        </w:rPr>
        <w:t>风险提示</w:t>
      </w:r>
    </w:p>
    <w:p>
      <w:pPr>
        <w:widowControl/>
        <w:spacing w:after="100" w:line="324" w:lineRule="auto"/>
      </w:pPr>
      <w:r>
        <w:rPr>
          <w:rFonts w:ascii="Noto Sans CJK SC" w:hAnsi="Noto Sans CJK SC" w:eastAsia="Noto Sans CJK SC" w:cs="Noto Sans CJK SC"/>
          <w:color w:val="000000"/>
          <w:sz w:val="21"/>
        </w:rPr>
        <w:t>部门是人员、账单和数据权限的重要基础。已被人员或历史业务使用的部门不要直接删除；名称调整前应与账单和统计负责人确认。</w:t>
      </w:r>
    </w:p>
    <w:p>
      <w:pPr>
        <w:keepNext/>
        <w:spacing w:before="100" w:after="40"/>
        <w:jc w:val="center"/>
      </w:pPr>
      <w:r>
        <w:drawing>
          <wp:inline xmlns:wp="http://schemas.openxmlformats.org/drawingml/2006/wordprocessingDrawing" xmlns:a="http://schemas.openxmlformats.org/drawingml/2006/main" xmlns:pic="http://schemas.openxmlformats.org/drawingml/2006/picture">
            <wp:extent cx="5257800" cy="3129643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4-departments.pn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257800" cy="312964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FigureCaption"/>
        <w:jc w:val="center"/>
      </w:pPr>
      <w:r>
        <w:t>图  部门设置</w:t>
      </w:r>
    </w:p>
    <w:p>
      <w:pPr>
        <w:pStyle w:val="1"/>
        <w:pageBreakBefore/>
      </w:pPr>
      <w:r>
        <w:t>5 食堂管理</w:t>
      </w:r>
    </w:p>
    <w:p>
      <w:pPr>
        <w:pStyle w:val="2"/>
      </w:pPr>
      <w:r>
        <w:t>5.1 维护菜品</w:t>
      </w:r>
    </w:p>
    <w:p>
      <w:pPr>
        <w:widowControl/>
        <w:spacing w:after="100" w:line="324" w:lineRule="auto"/>
      </w:pPr>
      <w:r>
        <w:rPr>
          <w:rFonts w:ascii="Noto Sans CJK SC" w:hAnsi="Noto Sans CJK SC" w:eastAsia="Noto Sans CJK SC" w:cs="Noto Sans CJK SC"/>
          <w:b/>
          <w:color w:val="000000"/>
          <w:sz w:val="21"/>
        </w:rPr>
        <w:t>入口</w:t>
      </w:r>
    </w:p>
    <w:p>
      <w:pPr>
        <w:widowControl/>
        <w:spacing w:after="100" w:line="324" w:lineRule="auto"/>
      </w:pPr>
      <w:r>
        <w:rPr>
          <w:rFonts w:ascii="Noto Sans CJK SC" w:hAnsi="Noto Sans CJK SC" w:eastAsia="Noto Sans CJK SC" w:cs="Noto Sans CJK SC"/>
          <w:color w:val="000000"/>
          <w:sz w:val="21"/>
        </w:rPr>
        <w:t>“食堂管理”进入“菜品管理”。</w:t>
      </w:r>
    </w:p>
    <w:p>
      <w:pPr>
        <w:widowControl/>
        <w:spacing w:after="100" w:line="324" w:lineRule="auto"/>
      </w:pPr>
      <w:r>
        <w:rPr>
          <w:rFonts w:ascii="Noto Sans CJK SC" w:hAnsi="Noto Sans CJK SC" w:eastAsia="Noto Sans CJK SC" w:cs="Noto Sans CJK SC"/>
          <w:b/>
          <w:color w:val="000000"/>
          <w:sz w:val="21"/>
        </w:rPr>
        <w:t>操作</w:t>
      </w:r>
    </w:p>
    <w:p>
      <w:pPr>
        <w:pStyle w:val="aa"/>
        <w:widowControl/>
        <w:spacing w:after="100" w:line="324" w:lineRule="auto"/>
        <w:ind w:left="397" w:hanging="255"/>
      </w:pPr>
      <w:r>
        <w:rPr>
          <w:rFonts w:ascii="Noto Sans CJK SC" w:hAnsi="Noto Sans CJK SC" w:eastAsia="Noto Sans CJK SC" w:cs="Noto Sans CJK SC"/>
          <w:color w:val="000000"/>
          <w:sz w:val="21"/>
        </w:rPr>
        <w:t>1. 可按菜品分类、自定义分类、状态、菜品名称或食材筛选。</w:t>
      </w:r>
    </w:p>
    <w:p>
      <w:pPr>
        <w:pStyle w:val="aa"/>
        <w:widowControl/>
        <w:spacing w:after="100" w:line="324" w:lineRule="auto"/>
        <w:ind w:left="397" w:hanging="255"/>
      </w:pPr>
      <w:r>
        <w:rPr>
          <w:rFonts w:ascii="Noto Sans CJK SC" w:hAnsi="Noto Sans CJK SC" w:eastAsia="Noto Sans CJK SC" w:cs="Noto Sans CJK SC"/>
          <w:color w:val="000000"/>
          <w:sz w:val="21"/>
        </w:rPr>
        <w:t>2. 点击“新建”录入菜品；批量处理时可使用“AI 菜品导入”。</w:t>
      </w:r>
    </w:p>
    <w:p>
      <w:pPr>
        <w:pStyle w:val="aa"/>
        <w:widowControl/>
        <w:spacing w:after="100" w:line="324" w:lineRule="auto"/>
        <w:ind w:left="397" w:hanging="255"/>
      </w:pPr>
      <w:r>
        <w:rPr>
          <w:rFonts w:ascii="Noto Sans CJK SC" w:hAnsi="Noto Sans CJK SC" w:eastAsia="Noto Sans CJK SC" w:cs="Noto Sans CJK SC"/>
          <w:color w:val="000000"/>
          <w:sz w:val="21"/>
        </w:rPr>
        <w:t>3. 维护菜品名称、分类、属性、计量方式、重量、单位重量价格和状态等必要信息。</w:t>
      </w:r>
    </w:p>
    <w:p>
      <w:pPr>
        <w:pStyle w:val="aa"/>
        <w:widowControl/>
        <w:spacing w:after="100" w:line="324" w:lineRule="auto"/>
        <w:ind w:left="397" w:hanging="255"/>
      </w:pPr>
      <w:r>
        <w:rPr>
          <w:rFonts w:ascii="Noto Sans CJK SC" w:hAnsi="Noto Sans CJK SC" w:eastAsia="Noto Sans CJK SC" w:cs="Noto Sans CJK SC"/>
          <w:color w:val="000000"/>
          <w:sz w:val="21"/>
        </w:rPr>
        <w:t>4. 已有菜品可“查看”详情或“复制”后调整；列表中的状态开关和价格字段应由授权人员操作。</w:t>
      </w:r>
    </w:p>
    <w:p>
      <w:pPr>
        <w:widowControl/>
        <w:spacing w:after="100" w:line="324" w:lineRule="auto"/>
      </w:pPr>
      <w:r>
        <w:rPr>
          <w:rFonts w:ascii="Noto Sans CJK SC" w:hAnsi="Noto Sans CJK SC" w:eastAsia="Noto Sans CJK SC" w:cs="Noto Sans CJK SC"/>
          <w:b/>
          <w:color w:val="000000"/>
          <w:sz w:val="21"/>
        </w:rPr>
        <w:t>保存后检查</w:t>
      </w:r>
    </w:p>
    <w:p>
      <w:pPr>
        <w:widowControl/>
        <w:spacing w:after="100" w:line="324" w:lineRule="auto"/>
      </w:pPr>
      <w:r>
        <w:rPr>
          <w:rFonts w:ascii="Noto Sans CJK SC" w:hAnsi="Noto Sans CJK SC" w:eastAsia="Noto Sans CJK SC" w:cs="Noto Sans CJK SC"/>
          <w:color w:val="000000"/>
          <w:sz w:val="21"/>
        </w:rPr>
        <w:t>用菜品名称搜索，确认分类、重量、价格和启用状态正确；再到食谱管理中确认该菜品可被选择。</w:t>
      </w:r>
    </w:p>
    <w:p>
      <w:pPr>
        <w:widowControl/>
        <w:spacing w:after="100" w:line="324" w:lineRule="auto"/>
      </w:pPr>
      <w:r>
        <w:rPr>
          <w:rFonts w:ascii="Noto Sans CJK SC" w:hAnsi="Noto Sans CJK SC" w:eastAsia="Noto Sans CJK SC" w:cs="Noto Sans CJK SC"/>
          <w:b/>
          <w:color w:val="000000"/>
          <w:sz w:val="21"/>
        </w:rPr>
        <w:t>风险提示</w:t>
      </w:r>
    </w:p>
    <w:p>
      <w:pPr>
        <w:widowControl/>
        <w:spacing w:after="100" w:line="324" w:lineRule="auto"/>
      </w:pPr>
      <w:r>
        <w:rPr>
          <w:rFonts w:ascii="Noto Sans CJK SC" w:hAnsi="Noto Sans CJK SC" w:eastAsia="Noto Sans CJK SC" w:cs="Noto Sans CJK SC"/>
          <w:color w:val="000000"/>
          <w:sz w:val="21"/>
        </w:rPr>
        <w:t>菜品重量和食物成分会直接影响营养分析，价格会影响结算。复制菜品后必须重新核对名称、配方、重量和价格，避免把旧数据带入新菜品。</w:t>
      </w:r>
    </w:p>
    <w:p>
      <w:pPr>
        <w:keepNext/>
        <w:spacing w:before="100" w:after="40"/>
        <w:jc w:val="center"/>
      </w:pPr>
      <w:r>
        <w:drawing>
          <wp:inline xmlns:wp="http://schemas.openxmlformats.org/drawingml/2006/wordprocessingDrawing" xmlns:a="http://schemas.openxmlformats.org/drawingml/2006/main" xmlns:pic="http://schemas.openxmlformats.org/drawingml/2006/picture">
            <wp:extent cx="5257800" cy="3129643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5-dishes.pn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257800" cy="312964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FigureCaption"/>
        <w:jc w:val="center"/>
      </w:pPr>
      <w:r>
        <w:t>图  菜品管理</w:t>
      </w:r>
    </w:p>
    <w:p>
      <w:pPr>
        <w:pStyle w:val="2"/>
      </w:pPr>
      <w:r>
        <w:t>5.2 维护菜品分类和食物成分</w:t>
      </w:r>
    </w:p>
    <w:p>
      <w:pPr>
        <w:widowControl/>
        <w:spacing w:after="100" w:line="324" w:lineRule="auto"/>
      </w:pPr>
      <w:r>
        <w:rPr>
          <w:rFonts w:ascii="Noto Sans CJK SC" w:hAnsi="Noto Sans CJK SC" w:eastAsia="Noto Sans CJK SC" w:cs="Noto Sans CJK SC"/>
          <w:b/>
          <w:color w:val="000000"/>
          <w:sz w:val="21"/>
        </w:rPr>
        <w:t>入口</w:t>
      </w:r>
    </w:p>
    <w:p>
      <w:pPr>
        <w:widowControl/>
        <w:spacing w:after="100" w:line="324" w:lineRule="auto"/>
      </w:pPr>
      <w:r>
        <w:rPr>
          <w:rFonts w:ascii="Noto Sans CJK SC" w:hAnsi="Noto Sans CJK SC" w:eastAsia="Noto Sans CJK SC" w:cs="Noto Sans CJK SC"/>
          <w:color w:val="000000"/>
          <w:sz w:val="21"/>
        </w:rPr>
        <w:t>“食堂管理”进入“菜品自定义分类”或“食物成分”。</w:t>
      </w:r>
    </w:p>
    <w:p>
      <w:pPr>
        <w:widowControl/>
        <w:spacing w:after="100" w:line="324" w:lineRule="auto"/>
      </w:pPr>
      <w:r>
        <w:rPr>
          <w:rFonts w:ascii="Noto Sans CJK SC" w:hAnsi="Noto Sans CJK SC" w:eastAsia="Noto Sans CJK SC" w:cs="Noto Sans CJK SC"/>
          <w:b/>
          <w:color w:val="000000"/>
          <w:sz w:val="21"/>
        </w:rPr>
        <w:t>操作</w:t>
      </w:r>
    </w:p>
    <w:p>
      <w:pPr>
        <w:widowControl/>
        <w:spacing w:after="100" w:line="324" w:lineRule="auto"/>
      </w:pPr>
      <w:r>
        <w:rPr>
          <w:rFonts w:ascii="Noto Sans CJK SC" w:hAnsi="Noto Sans CJK SC" w:eastAsia="Noto Sans CJK SC" w:cs="Noto Sans CJK SC"/>
          <w:color w:val="000000"/>
          <w:sz w:val="21"/>
        </w:rPr>
        <w:t>分类用于业务检索和展示；食物成分用于菜品配方和营养计算。新增或编辑时只填写页面要求的名称、分类、单位、营养成分等必要字段。</w:t>
      </w:r>
    </w:p>
    <w:p>
      <w:pPr>
        <w:widowControl/>
        <w:spacing w:after="100" w:line="324" w:lineRule="auto"/>
      </w:pPr>
      <w:r>
        <w:rPr>
          <w:rFonts w:ascii="Noto Sans CJK SC" w:hAnsi="Noto Sans CJK SC" w:eastAsia="Noto Sans CJK SC" w:cs="Noto Sans CJK SC"/>
          <w:b/>
          <w:color w:val="000000"/>
          <w:sz w:val="21"/>
        </w:rPr>
        <w:t>保存后检查</w:t>
      </w:r>
    </w:p>
    <w:p>
      <w:pPr>
        <w:widowControl/>
        <w:spacing w:after="100" w:line="324" w:lineRule="auto"/>
      </w:pPr>
      <w:r>
        <w:rPr>
          <w:rFonts w:ascii="Noto Sans CJK SC" w:hAnsi="Noto Sans CJK SC" w:eastAsia="Noto Sans CJK SC" w:cs="Noto Sans CJK SC"/>
          <w:color w:val="000000"/>
          <w:sz w:val="21"/>
        </w:rPr>
        <w:t>在菜品详情中确认分类和食物成分可被选择；在膳食营养分析中确认相关菜品不再提示成分缺失。</w:t>
      </w:r>
    </w:p>
    <w:p>
      <w:pPr>
        <w:widowControl/>
        <w:spacing w:after="100" w:line="324" w:lineRule="auto"/>
      </w:pPr>
      <w:r>
        <w:rPr>
          <w:rFonts w:ascii="Noto Sans CJK SC" w:hAnsi="Noto Sans CJK SC" w:eastAsia="Noto Sans CJK SC" w:cs="Noto Sans CJK SC"/>
          <w:b/>
          <w:color w:val="000000"/>
          <w:sz w:val="21"/>
        </w:rPr>
        <w:t>风险提示</w:t>
      </w:r>
    </w:p>
    <w:p>
      <w:pPr>
        <w:widowControl/>
        <w:spacing w:after="100" w:line="324" w:lineRule="auto"/>
      </w:pPr>
      <w:r>
        <w:rPr>
          <w:rFonts w:ascii="Noto Sans CJK SC" w:hAnsi="Noto Sans CJK SC" w:eastAsia="Noto Sans CJK SC" w:cs="Noto Sans CJK SC"/>
          <w:color w:val="000000"/>
          <w:sz w:val="21"/>
        </w:rPr>
        <w:t>不要随意合并或删除已被菜品引用的成分。营养数据应来自经过确认的专业来源，不能用估算值代替正式数据。</w:t>
      </w:r>
    </w:p>
    <w:p>
      <w:pPr>
        <w:pStyle w:val="2"/>
      </w:pPr>
      <w:r>
        <w:t>5.3 维护区域餐厅和档口</w:t>
      </w:r>
    </w:p>
    <w:p>
      <w:pPr>
        <w:widowControl/>
        <w:spacing w:after="100" w:line="324" w:lineRule="auto"/>
      </w:pPr>
      <w:r>
        <w:rPr>
          <w:rFonts w:ascii="Noto Sans CJK SC" w:hAnsi="Noto Sans CJK SC" w:eastAsia="Noto Sans CJK SC" w:cs="Noto Sans CJK SC"/>
          <w:b/>
          <w:color w:val="000000"/>
          <w:sz w:val="21"/>
        </w:rPr>
        <w:t>入口</w:t>
      </w:r>
    </w:p>
    <w:p>
      <w:pPr>
        <w:widowControl/>
        <w:spacing w:after="100" w:line="324" w:lineRule="auto"/>
      </w:pPr>
      <w:r>
        <w:rPr>
          <w:rFonts w:ascii="Noto Sans CJK SC" w:hAnsi="Noto Sans CJK SC" w:eastAsia="Noto Sans CJK SC" w:cs="Noto Sans CJK SC"/>
          <w:color w:val="000000"/>
          <w:sz w:val="21"/>
        </w:rPr>
        <w:t>“食堂管理”进入“餐厅设置”，在页面上方切换“区域设置”“餐厅设置”“档口设置”。</w:t>
      </w:r>
    </w:p>
    <w:p>
      <w:pPr>
        <w:widowControl/>
        <w:spacing w:after="100" w:line="324" w:lineRule="auto"/>
      </w:pPr>
      <w:r>
        <w:rPr>
          <w:rFonts w:ascii="Noto Sans CJK SC" w:hAnsi="Noto Sans CJK SC" w:eastAsia="Noto Sans CJK SC" w:cs="Noto Sans CJK SC"/>
          <w:b/>
          <w:color w:val="000000"/>
          <w:sz w:val="21"/>
        </w:rPr>
        <w:t>操作</w:t>
      </w:r>
    </w:p>
    <w:p>
      <w:pPr>
        <w:pStyle w:val="aa"/>
        <w:widowControl/>
        <w:spacing w:after="100" w:line="324" w:lineRule="auto"/>
        <w:ind w:left="397" w:hanging="255"/>
      </w:pPr>
      <w:r>
        <w:rPr>
          <w:rFonts w:ascii="Noto Sans CJK SC" w:hAnsi="Noto Sans CJK SC" w:eastAsia="Noto Sans CJK SC" w:cs="Noto Sans CJK SC"/>
          <w:color w:val="000000"/>
          <w:sz w:val="21"/>
        </w:rPr>
        <w:t>1. 先新增区域，再在区域下维护餐厅，最后维护档口。</w:t>
      </w:r>
    </w:p>
    <w:p>
      <w:pPr>
        <w:pStyle w:val="aa"/>
        <w:widowControl/>
        <w:spacing w:after="100" w:line="324" w:lineRule="auto"/>
        <w:ind w:left="397" w:hanging="255"/>
      </w:pPr>
      <w:r>
        <w:rPr>
          <w:rFonts w:ascii="Noto Sans CJK SC" w:hAnsi="Noto Sans CJK SC" w:eastAsia="Noto Sans CJK SC" w:cs="Noto Sans CJK SC"/>
          <w:color w:val="000000"/>
          <w:sz w:val="21"/>
        </w:rPr>
        <w:t>2. 按页面要求填写名称、管理员、排序和状态等必要字段。</w:t>
      </w:r>
    </w:p>
    <w:p>
      <w:pPr>
        <w:pStyle w:val="aa"/>
        <w:widowControl/>
        <w:spacing w:after="100" w:line="324" w:lineRule="auto"/>
        <w:ind w:left="397" w:hanging="255"/>
      </w:pPr>
      <w:r>
        <w:rPr>
          <w:rFonts w:ascii="Noto Sans CJK SC" w:hAnsi="Noto Sans CJK SC" w:eastAsia="Noto Sans CJK SC" w:cs="Noto Sans CJK SC"/>
          <w:color w:val="000000"/>
          <w:sz w:val="21"/>
        </w:rPr>
        <w:t>3. 已有记录可编辑或启停；只有在确认没有业务引用时才删除。</w:t>
      </w:r>
    </w:p>
    <w:p>
      <w:pPr>
        <w:widowControl/>
        <w:spacing w:after="100" w:line="324" w:lineRule="auto"/>
      </w:pPr>
      <w:r>
        <w:rPr>
          <w:rFonts w:ascii="Noto Sans CJK SC" w:hAnsi="Noto Sans CJK SC" w:eastAsia="Noto Sans CJK SC" w:cs="Noto Sans CJK SC"/>
          <w:b/>
          <w:color w:val="000000"/>
          <w:sz w:val="21"/>
        </w:rPr>
        <w:t>保存后检查</w:t>
      </w:r>
    </w:p>
    <w:p>
      <w:pPr>
        <w:widowControl/>
        <w:spacing w:after="100" w:line="324" w:lineRule="auto"/>
      </w:pPr>
      <w:r>
        <w:rPr>
          <w:rFonts w:ascii="Noto Sans CJK SC" w:hAnsi="Noto Sans CJK SC" w:eastAsia="Noto Sans CJK SC" w:cs="Noto Sans CJK SC"/>
          <w:color w:val="000000"/>
          <w:sz w:val="21"/>
        </w:rPr>
        <w:t>按“区域—餐厅—档口”逐层查询，确认归属、状态和排序正确；返回首页或食谱管理，确认相应餐厅和档口可选。</w:t>
      </w:r>
    </w:p>
    <w:p>
      <w:pPr>
        <w:widowControl/>
        <w:spacing w:after="100" w:line="324" w:lineRule="auto"/>
      </w:pPr>
      <w:r>
        <w:rPr>
          <w:rFonts w:ascii="Noto Sans CJK SC" w:hAnsi="Noto Sans CJK SC" w:eastAsia="Noto Sans CJK SC" w:cs="Noto Sans CJK SC"/>
          <w:b/>
          <w:color w:val="000000"/>
          <w:sz w:val="21"/>
        </w:rPr>
        <w:t>风险提示</w:t>
      </w:r>
    </w:p>
    <w:p>
      <w:pPr>
        <w:widowControl/>
        <w:spacing w:after="100" w:line="324" w:lineRule="auto"/>
      </w:pPr>
      <w:r>
        <w:rPr>
          <w:rFonts w:ascii="Noto Sans CJK SC" w:hAnsi="Noto Sans CJK SC" w:eastAsia="Noto Sans CJK SC" w:cs="Noto Sans CJK SC"/>
          <w:color w:val="000000"/>
          <w:sz w:val="21"/>
        </w:rPr>
        <w:t>餐厅和档口被菜品、食谱、设备及账单等业务引用。停用或调整前应确认影响范围，避免正在使用的档口从业务页面消失。</w:t>
      </w:r>
    </w:p>
    <w:p>
      <w:pPr>
        <w:keepNext/>
        <w:spacing w:before="100" w:after="40"/>
        <w:jc w:val="center"/>
      </w:pPr>
      <w:r>
        <w:drawing>
          <wp:inline xmlns:wp="http://schemas.openxmlformats.org/drawingml/2006/wordprocessingDrawing" xmlns:a="http://schemas.openxmlformats.org/drawingml/2006/main" xmlns:pic="http://schemas.openxmlformats.org/drawingml/2006/picture">
            <wp:extent cx="5257800" cy="3129643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6-restaurant-settings.png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257800" cy="312964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FigureCaption"/>
        <w:jc w:val="center"/>
      </w:pPr>
      <w:r>
        <w:t>图  餐厅设置</w:t>
      </w:r>
    </w:p>
    <w:p>
      <w:pPr>
        <w:pStyle w:val="2"/>
      </w:pPr>
      <w:r>
        <w:t>5.4 其他设置和电子菜牌</w:t>
      </w:r>
    </w:p>
    <w:p>
      <w:pPr>
        <w:widowControl/>
        <w:spacing w:after="100" w:line="324" w:lineRule="auto"/>
      </w:pPr>
      <w:r>
        <w:rPr>
          <w:rFonts w:ascii="Noto Sans CJK SC" w:hAnsi="Noto Sans CJK SC" w:eastAsia="Noto Sans CJK SC" w:cs="Noto Sans CJK SC"/>
          <w:b/>
          <w:color w:val="000000"/>
          <w:sz w:val="21"/>
        </w:rPr>
        <w:t>入口</w:t>
      </w:r>
    </w:p>
    <w:p>
      <w:pPr>
        <w:widowControl/>
        <w:spacing w:after="100" w:line="324" w:lineRule="auto"/>
      </w:pPr>
      <w:r>
        <w:rPr>
          <w:rFonts w:ascii="Noto Sans CJK SC" w:hAnsi="Noto Sans CJK SC" w:eastAsia="Noto Sans CJK SC" w:cs="Noto Sans CJK SC"/>
          <w:color w:val="000000"/>
          <w:sz w:val="21"/>
        </w:rPr>
        <w:t>“食堂管理”进入“其他设置”或“电子菜牌配置”。</w:t>
      </w:r>
    </w:p>
    <w:p>
      <w:pPr>
        <w:widowControl/>
        <w:spacing w:after="100" w:line="324" w:lineRule="auto"/>
      </w:pPr>
      <w:r>
        <w:rPr>
          <w:rFonts w:ascii="Noto Sans CJK SC" w:hAnsi="Noto Sans CJK SC" w:eastAsia="Noto Sans CJK SC" w:cs="Noto Sans CJK SC"/>
          <w:b/>
          <w:color w:val="000000"/>
          <w:sz w:val="21"/>
        </w:rPr>
        <w:t>操作</w:t>
      </w:r>
    </w:p>
    <w:p>
      <w:pPr>
        <w:widowControl/>
        <w:spacing w:after="100" w:line="324" w:lineRule="auto"/>
      </w:pPr>
      <w:r>
        <w:rPr>
          <w:rFonts w:ascii="Noto Sans CJK SC" w:hAnsi="Noto Sans CJK SC" w:eastAsia="Noto Sans CJK SC" w:cs="Noto Sans CJK SC"/>
          <w:color w:val="000000"/>
          <w:sz w:val="21"/>
        </w:rPr>
        <w:t>其他设置用于系统级配置项查询和维护；电子菜牌配置用于菜牌展示规则。普通运营人员以查看为主，需要修改时应由明确授权的管理员按变更单执行。</w:t>
      </w:r>
    </w:p>
    <w:p>
      <w:pPr>
        <w:widowControl/>
        <w:spacing w:after="100" w:line="324" w:lineRule="auto"/>
      </w:pPr>
      <w:r>
        <w:rPr>
          <w:rFonts w:ascii="Noto Sans CJK SC" w:hAnsi="Noto Sans CJK SC" w:eastAsia="Noto Sans CJK SC" w:cs="Noto Sans CJK SC"/>
          <w:b/>
          <w:color w:val="000000"/>
          <w:sz w:val="21"/>
        </w:rPr>
        <w:t>保存后检查</w:t>
      </w:r>
    </w:p>
    <w:p>
      <w:pPr>
        <w:widowControl/>
        <w:spacing w:after="100" w:line="324" w:lineRule="auto"/>
      </w:pPr>
      <w:r>
        <w:rPr>
          <w:rFonts w:ascii="Noto Sans CJK SC" w:hAnsi="Noto Sans CJK SC" w:eastAsia="Noto Sans CJK SC" w:cs="Noto Sans CJK SC"/>
          <w:color w:val="000000"/>
          <w:sz w:val="21"/>
        </w:rPr>
        <w:t>修改后重新查询对应配置，确认配置值、修改人和修改时间已更新；电子菜牌应在目标设备或预览页面复核显示结果。</w:t>
      </w:r>
    </w:p>
    <w:p>
      <w:pPr>
        <w:widowControl/>
        <w:spacing w:after="100" w:line="324" w:lineRule="auto"/>
      </w:pPr>
      <w:r>
        <w:rPr>
          <w:rFonts w:ascii="Noto Sans CJK SC" w:hAnsi="Noto Sans CJK SC" w:eastAsia="Noto Sans CJK SC" w:cs="Noto Sans CJK SC"/>
          <w:b/>
          <w:color w:val="000000"/>
          <w:sz w:val="21"/>
        </w:rPr>
        <w:t>风险提示</w:t>
      </w:r>
    </w:p>
    <w:p>
      <w:pPr>
        <w:widowControl/>
        <w:spacing w:after="100" w:line="324" w:lineRule="auto"/>
      </w:pPr>
      <w:r>
        <w:rPr>
          <w:rFonts w:ascii="Noto Sans CJK SC" w:hAnsi="Noto Sans CJK SC" w:eastAsia="Noto Sans CJK SC" w:cs="Noto Sans CJK SC"/>
          <w:color w:val="000000"/>
          <w:sz w:val="21"/>
        </w:rPr>
        <w:t>系统配置可能同时影响多个终端和业务流程。没有明确业务依据时不要新建或修改配置键，不要把测试值带入正式环境。</w:t>
      </w:r>
    </w:p>
    <w:p>
      <w:pPr>
        <w:keepNext/>
        <w:spacing w:before="100" w:after="40"/>
        <w:jc w:val="center"/>
      </w:pPr>
      <w:r>
        <w:drawing>
          <wp:inline xmlns:wp="http://schemas.openxmlformats.org/drawingml/2006/wordprocessingDrawing" xmlns:a="http://schemas.openxmlformats.org/drawingml/2006/main" xmlns:pic="http://schemas.openxmlformats.org/drawingml/2006/picture">
            <wp:extent cx="5257800" cy="3129643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7-other-settings.png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257800" cy="312964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FigureCaption"/>
        <w:jc w:val="center"/>
      </w:pPr>
      <w:r>
        <w:t>图  其他设置</w:t>
      </w:r>
    </w:p>
    <w:p>
      <w:pPr>
        <w:pStyle w:val="1"/>
        <w:pageBreakBefore/>
      </w:pPr>
      <w:r>
        <w:t>6 阳光消费</w:t>
      </w:r>
    </w:p>
    <w:p>
      <w:pPr>
        <w:pStyle w:val="2"/>
      </w:pPr>
      <w:r>
        <w:t>6.1 核对并发起月度账单</w:t>
      </w:r>
    </w:p>
    <w:p>
      <w:pPr>
        <w:widowControl/>
        <w:spacing w:after="100" w:line="324" w:lineRule="auto"/>
      </w:pPr>
      <w:r>
        <w:rPr>
          <w:rFonts w:ascii="Noto Sans CJK SC" w:hAnsi="Noto Sans CJK SC" w:eastAsia="Noto Sans CJK SC" w:cs="Noto Sans CJK SC"/>
          <w:b/>
          <w:color w:val="000000"/>
          <w:sz w:val="21"/>
        </w:rPr>
        <w:t>入口</w:t>
      </w:r>
    </w:p>
    <w:p>
      <w:pPr>
        <w:widowControl/>
        <w:spacing w:after="100" w:line="324" w:lineRule="auto"/>
      </w:pPr>
      <w:r>
        <w:rPr>
          <w:rFonts w:ascii="Noto Sans CJK SC" w:hAnsi="Noto Sans CJK SC" w:eastAsia="Noto Sans CJK SC" w:cs="Noto Sans CJK SC"/>
          <w:color w:val="000000"/>
          <w:sz w:val="21"/>
        </w:rPr>
        <w:t>“阳光消费”进入“账单记录”。</w:t>
      </w:r>
    </w:p>
    <w:p>
      <w:pPr>
        <w:widowControl/>
        <w:spacing w:after="100" w:line="324" w:lineRule="auto"/>
      </w:pPr>
      <w:r>
        <w:rPr>
          <w:rFonts w:ascii="Noto Sans CJK SC" w:hAnsi="Noto Sans CJK SC" w:eastAsia="Noto Sans CJK SC" w:cs="Noto Sans CJK SC"/>
          <w:b/>
          <w:color w:val="000000"/>
          <w:sz w:val="21"/>
        </w:rPr>
        <w:t>操作</w:t>
      </w:r>
    </w:p>
    <w:p>
      <w:pPr>
        <w:pStyle w:val="aa"/>
        <w:widowControl/>
        <w:spacing w:after="100" w:line="324" w:lineRule="auto"/>
        <w:ind w:left="397" w:hanging="255"/>
      </w:pPr>
      <w:r>
        <w:rPr>
          <w:rFonts w:ascii="Noto Sans CJK SC" w:hAnsi="Noto Sans CJK SC" w:eastAsia="Noto Sans CJK SC" w:cs="Noto Sans CJK SC"/>
          <w:color w:val="000000"/>
          <w:sz w:val="21"/>
        </w:rPr>
        <w:t>1. 选择账单月份，可再按部门或班级、学生姓名或编号、缴费状态筛选。</w:t>
      </w:r>
    </w:p>
    <w:p>
      <w:pPr>
        <w:pStyle w:val="aa"/>
        <w:widowControl/>
        <w:spacing w:after="100" w:line="324" w:lineRule="auto"/>
        <w:ind w:left="397" w:hanging="255"/>
      </w:pPr>
      <w:r>
        <w:rPr>
          <w:rFonts w:ascii="Noto Sans CJK SC" w:hAnsi="Noto Sans CJK SC" w:eastAsia="Noto Sans CJK SC" w:cs="Noto Sans CJK SC"/>
          <w:color w:val="000000"/>
          <w:sz w:val="21"/>
        </w:rPr>
        <w:t>2. 查看“待核对”“应缴”“已缴”人数和金额汇总。</w:t>
      </w:r>
    </w:p>
    <w:p>
      <w:pPr>
        <w:pStyle w:val="aa"/>
        <w:widowControl/>
        <w:spacing w:after="100" w:line="324" w:lineRule="auto"/>
        <w:ind w:left="397" w:hanging="255"/>
      </w:pPr>
      <w:r>
        <w:rPr>
          <w:rFonts w:ascii="Noto Sans CJK SC" w:hAnsi="Noto Sans CJK SC" w:eastAsia="Noto Sans CJK SC" w:cs="Noto Sans CJK SC"/>
          <w:color w:val="000000"/>
          <w:sz w:val="21"/>
        </w:rPr>
        <w:t>3. 对单条账单使用“详情”和“日志”核对来源；确有依据时使用“修改金额”。</w:t>
      </w:r>
    </w:p>
    <w:p>
      <w:pPr>
        <w:pStyle w:val="aa"/>
        <w:widowControl/>
        <w:spacing w:after="100" w:line="324" w:lineRule="auto"/>
        <w:ind w:left="397" w:hanging="255"/>
      </w:pPr>
      <w:r>
        <w:rPr>
          <w:rFonts w:ascii="Noto Sans CJK SC" w:hAnsi="Noto Sans CJK SC" w:eastAsia="Noto Sans CJK SC" w:cs="Noto Sans CJK SC"/>
          <w:color w:val="000000"/>
          <w:sz w:val="21"/>
        </w:rPr>
        <w:t>4. 核对完成后，可对单条账单点击“发起缴费”，或勾选多条后点击“批量发起缴费”。</w:t>
      </w:r>
    </w:p>
    <w:p>
      <w:pPr>
        <w:pStyle w:val="aa"/>
        <w:widowControl/>
        <w:spacing w:after="100" w:line="324" w:lineRule="auto"/>
        <w:ind w:left="397" w:hanging="255"/>
      </w:pPr>
      <w:r>
        <w:rPr>
          <w:rFonts w:ascii="Noto Sans CJK SC" w:hAnsi="Noto Sans CJK SC" w:eastAsia="Noto Sans CJK SC" w:cs="Noto Sans CJK SC"/>
          <w:color w:val="000000"/>
          <w:sz w:val="21"/>
        </w:rPr>
        <w:t>5. 需要线下留档时点击“导出 Excel”。</w:t>
      </w:r>
    </w:p>
    <w:p>
      <w:pPr>
        <w:widowControl/>
        <w:spacing w:after="100" w:line="324" w:lineRule="auto"/>
      </w:pPr>
      <w:r>
        <w:rPr>
          <w:rFonts w:ascii="Noto Sans CJK SC" w:hAnsi="Noto Sans CJK SC" w:eastAsia="Noto Sans CJK SC" w:cs="Noto Sans CJK SC"/>
          <w:b/>
          <w:color w:val="000000"/>
          <w:sz w:val="21"/>
        </w:rPr>
        <w:t>保存后检查</w:t>
      </w:r>
    </w:p>
    <w:p>
      <w:pPr>
        <w:widowControl/>
        <w:spacing w:after="100" w:line="324" w:lineRule="auto"/>
      </w:pPr>
      <w:r>
        <w:rPr>
          <w:rFonts w:ascii="Noto Sans CJK SC" w:hAnsi="Noto Sans CJK SC" w:eastAsia="Noto Sans CJK SC" w:cs="Noto Sans CJK SC"/>
          <w:color w:val="000000"/>
          <w:sz w:val="21"/>
        </w:rPr>
        <w:t>发起后重新按月份和状态查询，确认发起时间、有效期和缴费状态更新；抽查账单详情和日志，确认金额与操作记录一致。</w:t>
      </w:r>
    </w:p>
    <w:p>
      <w:pPr>
        <w:widowControl/>
        <w:spacing w:after="100" w:line="324" w:lineRule="auto"/>
      </w:pPr>
      <w:r>
        <w:rPr>
          <w:rFonts w:ascii="Noto Sans CJK SC" w:hAnsi="Noto Sans CJK SC" w:eastAsia="Noto Sans CJK SC" w:cs="Noto Sans CJK SC"/>
          <w:b/>
          <w:color w:val="000000"/>
          <w:sz w:val="21"/>
        </w:rPr>
        <w:t>风险提示</w:t>
      </w:r>
    </w:p>
    <w:p>
      <w:pPr>
        <w:widowControl/>
        <w:spacing w:after="100" w:line="324" w:lineRule="auto"/>
      </w:pPr>
      <w:r>
        <w:rPr>
          <w:rFonts w:ascii="Noto Sans CJK SC" w:hAnsi="Noto Sans CJK SC" w:eastAsia="Noto Sans CJK SC" w:cs="Noto Sans CJK SC"/>
          <w:color w:val="000000"/>
          <w:sz w:val="21"/>
        </w:rPr>
        <w:t>账单通常按月生成上月数据。发起缴费前必须先核对金额、学生、班级和手机号，批量操作前尤其要确认勾选范围。金额调整和缴费发起属于敏感操作，应保留业务依据并遵守复核流程。</w:t>
      </w:r>
    </w:p>
    <w:p>
      <w:pPr>
        <w:keepNext/>
        <w:spacing w:before="100" w:after="40"/>
        <w:jc w:val="center"/>
      </w:pPr>
      <w:r>
        <w:drawing>
          <wp:inline xmlns:wp="http://schemas.openxmlformats.org/drawingml/2006/wordprocessingDrawing" xmlns:a="http://schemas.openxmlformats.org/drawingml/2006/main" xmlns:pic="http://schemas.openxmlformats.org/drawingml/2006/picture">
            <wp:extent cx="5257800" cy="3129643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8-billing.png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257800" cy="312964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FigureCaption"/>
        <w:jc w:val="center"/>
      </w:pPr>
      <w:r>
        <w:t>图  账单记录</w:t>
      </w:r>
    </w:p>
    <w:p>
      <w:pPr>
        <w:pStyle w:val="1"/>
        <w:pageBreakBefore/>
      </w:pPr>
      <w:r>
        <w:t>7 膳食营养</w:t>
      </w:r>
    </w:p>
    <w:p>
      <w:pPr>
        <w:pStyle w:val="2"/>
      </w:pPr>
      <w:r>
        <w:t>7.1 查看营养总览</w:t>
      </w:r>
    </w:p>
    <w:p>
      <w:pPr>
        <w:widowControl/>
        <w:spacing w:after="100" w:line="324" w:lineRule="auto"/>
      </w:pPr>
      <w:r>
        <w:rPr>
          <w:rFonts w:ascii="Noto Sans CJK SC" w:hAnsi="Noto Sans CJK SC" w:eastAsia="Noto Sans CJK SC" w:cs="Noto Sans CJK SC"/>
          <w:b/>
          <w:color w:val="000000"/>
          <w:sz w:val="21"/>
        </w:rPr>
        <w:t>入口</w:t>
      </w:r>
    </w:p>
    <w:p>
      <w:pPr>
        <w:widowControl/>
        <w:spacing w:after="100" w:line="324" w:lineRule="auto"/>
      </w:pPr>
      <w:r>
        <w:rPr>
          <w:rFonts w:ascii="Noto Sans CJK SC" w:hAnsi="Noto Sans CJK SC" w:eastAsia="Noto Sans CJK SC" w:cs="Noto Sans CJK SC"/>
          <w:color w:val="000000"/>
          <w:sz w:val="21"/>
        </w:rPr>
        <w:t>“膳食营养”进入“总览”。</w:t>
      </w:r>
    </w:p>
    <w:p>
      <w:pPr>
        <w:widowControl/>
        <w:spacing w:after="100" w:line="324" w:lineRule="auto"/>
      </w:pPr>
      <w:r>
        <w:rPr>
          <w:rFonts w:ascii="Noto Sans CJK SC" w:hAnsi="Noto Sans CJK SC" w:eastAsia="Noto Sans CJK SC" w:cs="Noto Sans CJK SC"/>
          <w:b/>
          <w:color w:val="000000"/>
          <w:sz w:val="21"/>
        </w:rPr>
        <w:t>操作</w:t>
      </w:r>
    </w:p>
    <w:p>
      <w:pPr>
        <w:widowControl/>
        <w:spacing w:after="100" w:line="324" w:lineRule="auto"/>
      </w:pPr>
      <w:r>
        <w:rPr>
          <w:rFonts w:ascii="Noto Sans CJK SC" w:hAnsi="Noto Sans CJK SC" w:eastAsia="Noto Sans CJK SC" w:cs="Noto Sans CJK SC"/>
          <w:color w:val="000000"/>
          <w:sz w:val="21"/>
        </w:rPr>
        <w:t>选择餐厅、供餐对象和统计周期，查看能量、蛋白质、脂肪、碳水化合物等指标卡、变化趋势和食谱列表。</w:t>
      </w:r>
    </w:p>
    <w:p>
      <w:pPr>
        <w:widowControl/>
        <w:spacing w:after="100" w:line="324" w:lineRule="auto"/>
      </w:pPr>
      <w:r>
        <w:rPr>
          <w:rFonts w:ascii="Noto Sans CJK SC" w:hAnsi="Noto Sans CJK SC" w:eastAsia="Noto Sans CJK SC" w:cs="Noto Sans CJK SC"/>
          <w:b/>
          <w:color w:val="000000"/>
          <w:sz w:val="21"/>
        </w:rPr>
        <w:t>保存后检查</w:t>
      </w:r>
    </w:p>
    <w:p>
      <w:pPr>
        <w:widowControl/>
        <w:spacing w:after="100" w:line="324" w:lineRule="auto"/>
      </w:pPr>
      <w:r>
        <w:rPr>
          <w:rFonts w:ascii="Noto Sans CJK SC" w:hAnsi="Noto Sans CJK SC" w:eastAsia="Noto Sans CJK SC" w:cs="Noto Sans CJK SC"/>
          <w:color w:val="000000"/>
          <w:sz w:val="21"/>
        </w:rPr>
        <w:t>总览不产生保存操作。切换筛选条件后，应确认指标卡、趋势图和食谱列表使用同一范围。</w:t>
      </w:r>
    </w:p>
    <w:p>
      <w:pPr>
        <w:widowControl/>
        <w:spacing w:after="100" w:line="324" w:lineRule="auto"/>
      </w:pPr>
      <w:r>
        <w:rPr>
          <w:rFonts w:ascii="Noto Sans CJK SC" w:hAnsi="Noto Sans CJK SC" w:eastAsia="Noto Sans CJK SC" w:cs="Noto Sans CJK SC"/>
          <w:b/>
          <w:color w:val="000000"/>
          <w:sz w:val="21"/>
        </w:rPr>
        <w:t>风险提示</w:t>
      </w:r>
    </w:p>
    <w:p>
      <w:pPr>
        <w:widowControl/>
        <w:spacing w:after="100" w:line="324" w:lineRule="auto"/>
      </w:pPr>
      <w:r>
        <w:rPr>
          <w:rFonts w:ascii="Noto Sans CJK SC" w:hAnsi="Noto Sans CJK SC" w:eastAsia="Noto Sans CJK SC" w:cs="Noto Sans CJK SC"/>
          <w:color w:val="000000"/>
          <w:sz w:val="21"/>
        </w:rPr>
        <w:t>总览依赖已维护的菜品配方、食物成分和已发布食谱。缺失数据时不要据此给出营养结论，应先补齐基础数据。</w:t>
      </w:r>
    </w:p>
    <w:p>
      <w:pPr>
        <w:keepNext/>
        <w:spacing w:before="100" w:after="40"/>
        <w:jc w:val="center"/>
      </w:pPr>
      <w:r>
        <w:drawing>
          <wp:inline xmlns:wp="http://schemas.openxmlformats.org/drawingml/2006/wordprocessingDrawing" xmlns:a="http://schemas.openxmlformats.org/drawingml/2006/main" xmlns:pic="http://schemas.openxmlformats.org/drawingml/2006/picture">
            <wp:extent cx="5257800" cy="3129643"/>
            <wp:docPr id="9" name="Picture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9-nutrition-overview.png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257800" cy="312964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FigureCaption"/>
        <w:jc w:val="center"/>
      </w:pPr>
      <w:r>
        <w:t>图  膳食营养总览</w:t>
      </w:r>
    </w:p>
    <w:p>
      <w:pPr>
        <w:pStyle w:val="2"/>
      </w:pPr>
      <w:r>
        <w:t>7.2 新建和编制周食谱</w:t>
      </w:r>
    </w:p>
    <w:p>
      <w:pPr>
        <w:widowControl/>
        <w:spacing w:after="100" w:line="324" w:lineRule="auto"/>
      </w:pPr>
      <w:r>
        <w:rPr>
          <w:rFonts w:ascii="Noto Sans CJK SC" w:hAnsi="Noto Sans CJK SC" w:eastAsia="Noto Sans CJK SC" w:cs="Noto Sans CJK SC"/>
          <w:b/>
          <w:color w:val="000000"/>
          <w:sz w:val="21"/>
        </w:rPr>
        <w:t>入口</w:t>
      </w:r>
    </w:p>
    <w:p>
      <w:pPr>
        <w:widowControl/>
        <w:spacing w:after="100" w:line="324" w:lineRule="auto"/>
      </w:pPr>
      <w:r>
        <w:rPr>
          <w:rFonts w:ascii="Noto Sans CJK SC" w:hAnsi="Noto Sans CJK SC" w:eastAsia="Noto Sans CJK SC" w:cs="Noto Sans CJK SC"/>
          <w:color w:val="000000"/>
          <w:sz w:val="21"/>
        </w:rPr>
        <w:t>“膳食营养”进入“食谱管理”，选择供餐周、就餐学校和档口、状态及当前食谱。</w:t>
      </w:r>
    </w:p>
    <w:p>
      <w:pPr>
        <w:widowControl/>
        <w:spacing w:after="100" w:line="324" w:lineRule="auto"/>
      </w:pPr>
      <w:r>
        <w:rPr>
          <w:rFonts w:ascii="Noto Sans CJK SC" w:hAnsi="Noto Sans CJK SC" w:eastAsia="Noto Sans CJK SC" w:cs="Noto Sans CJK SC"/>
          <w:b/>
          <w:color w:val="000000"/>
          <w:sz w:val="21"/>
        </w:rPr>
        <w:t>操作</w:t>
      </w:r>
    </w:p>
    <w:p>
      <w:pPr>
        <w:pStyle w:val="aa"/>
        <w:widowControl/>
        <w:spacing w:after="100" w:line="324" w:lineRule="auto"/>
        <w:ind w:left="397" w:hanging="255"/>
      </w:pPr>
      <w:r>
        <w:rPr>
          <w:rFonts w:ascii="Noto Sans CJK SC" w:hAnsi="Noto Sans CJK SC" w:eastAsia="Noto Sans CJK SC" w:cs="Noto Sans CJK SC"/>
          <w:color w:val="000000"/>
          <w:sz w:val="21"/>
        </w:rPr>
        <w:t>1. 点击“新建食谱”，选择供餐周、学校档口、供餐对象和搭配模板。</w:t>
      </w:r>
    </w:p>
    <w:p>
      <w:pPr>
        <w:pStyle w:val="aa"/>
        <w:widowControl/>
        <w:spacing w:after="100" w:line="324" w:lineRule="auto"/>
        <w:ind w:left="397" w:hanging="255"/>
      </w:pPr>
      <w:r>
        <w:rPr>
          <w:rFonts w:ascii="Noto Sans CJK SC" w:hAnsi="Noto Sans CJK SC" w:eastAsia="Noto Sans CJK SC" w:cs="Noto Sans CJK SC"/>
          <w:color w:val="000000"/>
          <w:sz w:val="21"/>
        </w:rPr>
        <w:t>2. 在“食谱编制”页选择“周概览”或“按天编辑”。</w:t>
      </w:r>
    </w:p>
    <w:p>
      <w:pPr>
        <w:pStyle w:val="aa"/>
        <w:widowControl/>
        <w:spacing w:after="100" w:line="324" w:lineRule="auto"/>
        <w:ind w:left="397" w:hanging="255"/>
      </w:pPr>
      <w:r>
        <w:rPr>
          <w:rFonts w:ascii="Noto Sans CJK SC" w:hAnsi="Noto Sans CJK SC" w:eastAsia="Noto Sans CJK SC" w:cs="Noto Sans CJK SC"/>
          <w:color w:val="000000"/>
          <w:sz w:val="21"/>
        </w:rPr>
        <w:t>3. 为早餐、午餐、晚餐设置就餐人数并添加菜品；需要自动生成时可使用“AI 推荐本周食谱”。</w:t>
      </w:r>
    </w:p>
    <w:p>
      <w:pPr>
        <w:pStyle w:val="aa"/>
        <w:widowControl/>
        <w:spacing w:after="100" w:line="324" w:lineRule="auto"/>
        <w:ind w:left="397" w:hanging="255"/>
      </w:pPr>
      <w:r>
        <w:rPr>
          <w:rFonts w:ascii="Noto Sans CJK SC" w:hAnsi="Noto Sans CJK SC" w:eastAsia="Noto Sans CJK SC" w:cs="Noto Sans CJK SC"/>
          <w:color w:val="000000"/>
          <w:sz w:val="21"/>
        </w:rPr>
        <w:t>4. 批量导入时先下载 Excel 模板，再导入；需要留档时可导出食谱。</w:t>
      </w:r>
    </w:p>
    <w:p>
      <w:pPr>
        <w:pStyle w:val="aa"/>
        <w:widowControl/>
        <w:spacing w:after="100" w:line="324" w:lineRule="auto"/>
        <w:ind w:left="397" w:hanging="255"/>
      </w:pPr>
      <w:r>
        <w:rPr>
          <w:rFonts w:ascii="Noto Sans CJK SC" w:hAnsi="Noto Sans CJK SC" w:eastAsia="Noto Sans CJK SC" w:cs="Noto Sans CJK SC"/>
          <w:color w:val="000000"/>
          <w:sz w:val="21"/>
        </w:rPr>
        <w:t>5. 如供餐人数、模板或营养条件有变化，点击“设置供餐与营养条件”调整。</w:t>
      </w:r>
    </w:p>
    <w:p>
      <w:pPr>
        <w:pStyle w:val="aa"/>
        <w:widowControl/>
        <w:spacing w:after="100" w:line="324" w:lineRule="auto"/>
        <w:ind w:left="397" w:hanging="255"/>
      </w:pPr>
      <w:r>
        <w:rPr>
          <w:rFonts w:ascii="Noto Sans CJK SC" w:hAnsi="Noto Sans CJK SC" w:eastAsia="Noto Sans CJK SC" w:cs="Noto Sans CJK SC"/>
          <w:color w:val="000000"/>
          <w:sz w:val="21"/>
        </w:rPr>
        <w:t>6. 页面提示“草稿已保存”后，再进入营养分析。</w:t>
      </w:r>
    </w:p>
    <w:p>
      <w:pPr>
        <w:widowControl/>
        <w:spacing w:after="100" w:line="324" w:lineRule="auto"/>
      </w:pPr>
      <w:r>
        <w:rPr>
          <w:rFonts w:ascii="Noto Sans CJK SC" w:hAnsi="Noto Sans CJK SC" w:eastAsia="Noto Sans CJK SC" w:cs="Noto Sans CJK SC"/>
          <w:b/>
          <w:color w:val="000000"/>
          <w:sz w:val="21"/>
        </w:rPr>
        <w:t>保存后检查</w:t>
      </w:r>
    </w:p>
    <w:p>
      <w:pPr>
        <w:widowControl/>
        <w:spacing w:after="100" w:line="324" w:lineRule="auto"/>
      </w:pPr>
      <w:r>
        <w:rPr>
          <w:rFonts w:ascii="Noto Sans CJK SC" w:hAnsi="Noto Sans CJK SC" w:eastAsia="Noto Sans CJK SC" w:cs="Noto Sans CJK SC"/>
          <w:color w:val="000000"/>
          <w:sz w:val="21"/>
        </w:rPr>
        <w:t>确认周一至周日的餐次均完整，餐次人数、菜品道数和日期范围正确；刷新页面后草稿仍可加载。</w:t>
      </w:r>
    </w:p>
    <w:p>
      <w:pPr>
        <w:widowControl/>
        <w:spacing w:after="100" w:line="324" w:lineRule="auto"/>
      </w:pPr>
      <w:r>
        <w:rPr>
          <w:rFonts w:ascii="Noto Sans CJK SC" w:hAnsi="Noto Sans CJK SC" w:eastAsia="Noto Sans CJK SC" w:cs="Noto Sans CJK SC"/>
          <w:b/>
          <w:color w:val="000000"/>
          <w:sz w:val="21"/>
        </w:rPr>
        <w:t>风险提示</w:t>
      </w:r>
    </w:p>
    <w:p>
      <w:pPr>
        <w:widowControl/>
        <w:spacing w:after="100" w:line="324" w:lineRule="auto"/>
      </w:pPr>
      <w:r>
        <w:rPr>
          <w:rFonts w:ascii="Noto Sans CJK SC" w:hAnsi="Noto Sans CJK SC" w:eastAsia="Noto Sans CJK SC" w:cs="Noto Sans CJK SC"/>
          <w:color w:val="000000"/>
          <w:sz w:val="21"/>
        </w:rPr>
        <w:t>AI 推荐是辅助结果，不等同于专业审核。食谱提交前必须核对过敏、民族餐、特殊供餐要求、菜品重复、食材可用性和实际产能。不要通过修改网址参数切换学校、餐厅或食谱。</w:t>
      </w:r>
    </w:p>
    <w:p>
      <w:pPr>
        <w:keepNext/>
        <w:spacing w:before="100" w:after="40"/>
        <w:jc w:val="center"/>
      </w:pPr>
      <w:r>
        <w:drawing>
          <wp:inline xmlns:wp="http://schemas.openxmlformats.org/drawingml/2006/wordprocessingDrawing" xmlns:a="http://schemas.openxmlformats.org/drawingml/2006/main" xmlns:pic="http://schemas.openxmlformats.org/drawingml/2006/picture">
            <wp:extent cx="5257800" cy="3129643"/>
            <wp:docPr id="10" name="Picture 1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10-nutrition-recipe.png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257800" cy="312964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FigureCaption"/>
        <w:jc w:val="center"/>
      </w:pPr>
      <w:r>
        <w:t>图  食谱编制</w:t>
      </w:r>
    </w:p>
    <w:p>
      <w:pPr>
        <w:pStyle w:val="2"/>
      </w:pPr>
      <w:r>
        <w:t>7.3 查看本周营养分析并提交审核</w:t>
      </w:r>
    </w:p>
    <w:p>
      <w:pPr>
        <w:widowControl/>
        <w:spacing w:after="100" w:line="324" w:lineRule="auto"/>
      </w:pPr>
      <w:r>
        <w:rPr>
          <w:rFonts w:ascii="Noto Sans CJK SC" w:hAnsi="Noto Sans CJK SC" w:eastAsia="Noto Sans CJK SC" w:cs="Noto Sans CJK SC"/>
          <w:b/>
          <w:color w:val="000000"/>
          <w:sz w:val="21"/>
        </w:rPr>
        <w:t>入口</w:t>
      </w:r>
    </w:p>
    <w:p>
      <w:pPr>
        <w:widowControl/>
        <w:spacing w:after="100" w:line="324" w:lineRule="auto"/>
      </w:pPr>
      <w:r>
        <w:rPr>
          <w:rFonts w:ascii="Noto Sans CJK SC" w:hAnsi="Noto Sans CJK SC" w:eastAsia="Noto Sans CJK SC" w:cs="Noto Sans CJK SC"/>
          <w:color w:val="000000"/>
          <w:sz w:val="21"/>
        </w:rPr>
        <w:t>在食谱详情切换到“本周营养分析”，处理完成后进入“审核发布”。</w:t>
      </w:r>
    </w:p>
    <w:p>
      <w:pPr>
        <w:widowControl/>
        <w:spacing w:after="100" w:line="324" w:lineRule="auto"/>
      </w:pPr>
      <w:r>
        <w:rPr>
          <w:rFonts w:ascii="Noto Sans CJK SC" w:hAnsi="Noto Sans CJK SC" w:eastAsia="Noto Sans CJK SC" w:cs="Noto Sans CJK SC"/>
          <w:b/>
          <w:color w:val="000000"/>
          <w:sz w:val="21"/>
        </w:rPr>
        <w:t>操作</w:t>
      </w:r>
    </w:p>
    <w:p>
      <w:pPr>
        <w:pStyle w:val="aa"/>
        <w:widowControl/>
        <w:spacing w:after="100" w:line="324" w:lineRule="auto"/>
        <w:ind w:left="397" w:hanging="255"/>
      </w:pPr>
      <w:r>
        <w:rPr>
          <w:rFonts w:ascii="Noto Sans CJK SC" w:hAnsi="Noto Sans CJK SC" w:eastAsia="Noto Sans CJK SC" w:cs="Noto Sans CJK SC"/>
          <w:color w:val="000000"/>
          <w:sz w:val="21"/>
        </w:rPr>
        <w:t>1. 查看本周及分餐次营养指标、达标情况和缺失数据提示。</w:t>
      </w:r>
    </w:p>
    <w:p>
      <w:pPr>
        <w:pStyle w:val="aa"/>
        <w:widowControl/>
        <w:spacing w:after="100" w:line="324" w:lineRule="auto"/>
        <w:ind w:left="397" w:hanging="255"/>
      </w:pPr>
      <w:r>
        <w:rPr>
          <w:rFonts w:ascii="Noto Sans CJK SC" w:hAnsi="Noto Sans CJK SC" w:eastAsia="Noto Sans CJK SC" w:cs="Noto Sans CJK SC"/>
          <w:color w:val="000000"/>
          <w:sz w:val="21"/>
        </w:rPr>
        <w:t>2. 对异常指标返回食谱编制调整菜品或份量；对成分缺失返回菜品或食物成分维护。</w:t>
      </w:r>
    </w:p>
    <w:p>
      <w:pPr>
        <w:pStyle w:val="aa"/>
        <w:widowControl/>
        <w:spacing w:after="100" w:line="324" w:lineRule="auto"/>
        <w:ind w:left="397" w:hanging="255"/>
      </w:pPr>
      <w:r>
        <w:rPr>
          <w:rFonts w:ascii="Noto Sans CJK SC" w:hAnsi="Noto Sans CJK SC" w:eastAsia="Noto Sans CJK SC" w:cs="Noto Sans CJK SC"/>
          <w:color w:val="000000"/>
          <w:sz w:val="21"/>
        </w:rPr>
        <w:t>3. 再次进入营养分析，确认问题已处理。</w:t>
      </w:r>
    </w:p>
    <w:p>
      <w:pPr>
        <w:pStyle w:val="aa"/>
        <w:widowControl/>
        <w:spacing w:after="100" w:line="324" w:lineRule="auto"/>
        <w:ind w:left="397" w:hanging="255"/>
      </w:pPr>
      <w:r>
        <w:rPr>
          <w:rFonts w:ascii="Noto Sans CJK SC" w:hAnsi="Noto Sans CJK SC" w:eastAsia="Noto Sans CJK SC" w:cs="Noto Sans CJK SC"/>
          <w:color w:val="000000"/>
          <w:sz w:val="21"/>
        </w:rPr>
        <w:t>4. 在“审核发布”页检查版本和审核信息，点击“提交审核”。具备审核权限的人员按流程审核并发布。</w:t>
      </w:r>
    </w:p>
    <w:p>
      <w:pPr>
        <w:widowControl/>
        <w:spacing w:after="100" w:line="324" w:lineRule="auto"/>
      </w:pPr>
      <w:r>
        <w:rPr>
          <w:rFonts w:ascii="Noto Sans CJK SC" w:hAnsi="Noto Sans CJK SC" w:eastAsia="Noto Sans CJK SC" w:cs="Noto Sans CJK SC"/>
          <w:b/>
          <w:color w:val="000000"/>
          <w:sz w:val="21"/>
        </w:rPr>
        <w:t>保存后检查</w:t>
      </w:r>
    </w:p>
    <w:p>
      <w:pPr>
        <w:widowControl/>
        <w:spacing w:after="100" w:line="324" w:lineRule="auto"/>
      </w:pPr>
      <w:r>
        <w:rPr>
          <w:rFonts w:ascii="Noto Sans CJK SC" w:hAnsi="Noto Sans CJK SC" w:eastAsia="Noto Sans CJK SC" w:cs="Noto Sans CJK SC"/>
          <w:color w:val="000000"/>
          <w:sz w:val="21"/>
        </w:rPr>
        <w:t>提交后确认食谱状态由草稿变为待审核；审核通过后确认已发布版本、版本号和发布范围正确。</w:t>
      </w:r>
    </w:p>
    <w:p>
      <w:pPr>
        <w:widowControl/>
        <w:spacing w:after="100" w:line="324" w:lineRule="auto"/>
      </w:pPr>
      <w:r>
        <w:rPr>
          <w:rFonts w:ascii="Noto Sans CJK SC" w:hAnsi="Noto Sans CJK SC" w:eastAsia="Noto Sans CJK SC" w:cs="Noto Sans CJK SC"/>
          <w:b/>
          <w:color w:val="000000"/>
          <w:sz w:val="21"/>
        </w:rPr>
        <w:t>风险提示</w:t>
      </w:r>
    </w:p>
    <w:p>
      <w:pPr>
        <w:widowControl/>
        <w:spacing w:after="100" w:line="324" w:lineRule="auto"/>
      </w:pPr>
      <w:r>
        <w:rPr>
          <w:rFonts w:ascii="Noto Sans CJK SC" w:hAnsi="Noto Sans CJK SC" w:eastAsia="Noto Sans CJK SC" w:cs="Noto Sans CJK SC"/>
          <w:color w:val="000000"/>
          <w:sz w:val="21"/>
        </w:rPr>
        <w:t>营养分析只对已有有效数据计算，缺失数据不能视为零。发布会影响采购和后续执行，审核人应独立复核，已发布食谱的变更应走新版本流程。</w:t>
      </w:r>
    </w:p>
    <w:p>
      <w:pPr>
        <w:keepNext/>
        <w:spacing w:before="100" w:after="40"/>
        <w:jc w:val="center"/>
      </w:pPr>
      <w:r>
        <w:drawing>
          <wp:inline xmlns:wp="http://schemas.openxmlformats.org/drawingml/2006/wordprocessingDrawing" xmlns:a="http://schemas.openxmlformats.org/drawingml/2006/main" xmlns:pic="http://schemas.openxmlformats.org/drawingml/2006/picture">
            <wp:extent cx="5257800" cy="3129643"/>
            <wp:docPr id="11" name="Picture 1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11-nutrition-analysis.png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257800" cy="312964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FigureCaption"/>
        <w:jc w:val="center"/>
      </w:pPr>
      <w:r>
        <w:t>图  本周营养分析</w:t>
      </w:r>
    </w:p>
    <w:p>
      <w:pPr>
        <w:pStyle w:val="2"/>
      </w:pPr>
      <w:r>
        <w:t>7.4 生成食材用量与采购单</w:t>
      </w:r>
    </w:p>
    <w:p>
      <w:pPr>
        <w:widowControl/>
        <w:spacing w:after="100" w:line="324" w:lineRule="auto"/>
      </w:pPr>
      <w:r>
        <w:rPr>
          <w:rFonts w:ascii="Noto Sans CJK SC" w:hAnsi="Noto Sans CJK SC" w:eastAsia="Noto Sans CJK SC" w:cs="Noto Sans CJK SC"/>
          <w:b/>
          <w:color w:val="000000"/>
          <w:sz w:val="21"/>
        </w:rPr>
        <w:t>入口</w:t>
      </w:r>
    </w:p>
    <w:p>
      <w:pPr>
        <w:widowControl/>
        <w:spacing w:after="100" w:line="324" w:lineRule="auto"/>
      </w:pPr>
      <w:r>
        <w:rPr>
          <w:rFonts w:ascii="Noto Sans CJK SC" w:hAnsi="Noto Sans CJK SC" w:eastAsia="Noto Sans CJK SC" w:cs="Noto Sans CJK SC"/>
          <w:color w:val="000000"/>
          <w:sz w:val="21"/>
        </w:rPr>
        <w:t>“膳食营养”进入“食材用量与采购单”。</w:t>
      </w:r>
    </w:p>
    <w:p>
      <w:pPr>
        <w:widowControl/>
        <w:spacing w:after="100" w:line="324" w:lineRule="auto"/>
      </w:pPr>
      <w:r>
        <w:rPr>
          <w:rFonts w:ascii="Noto Sans CJK SC" w:hAnsi="Noto Sans CJK SC" w:eastAsia="Noto Sans CJK SC" w:cs="Noto Sans CJK SC"/>
          <w:b/>
          <w:color w:val="000000"/>
          <w:sz w:val="21"/>
        </w:rPr>
        <w:t>操作</w:t>
      </w:r>
    </w:p>
    <w:p>
      <w:pPr>
        <w:pStyle w:val="aa"/>
        <w:widowControl/>
        <w:spacing w:after="100" w:line="324" w:lineRule="auto"/>
        <w:ind w:left="397" w:hanging="255"/>
      </w:pPr>
      <w:r>
        <w:rPr>
          <w:rFonts w:ascii="Noto Sans CJK SC" w:hAnsi="Noto Sans CJK SC" w:eastAsia="Noto Sans CJK SC" w:cs="Noto Sans CJK SC"/>
          <w:color w:val="000000"/>
          <w:sz w:val="21"/>
        </w:rPr>
        <w:t>1. 选择由已发布食谱生成的采购需求。</w:t>
      </w:r>
    </w:p>
    <w:p>
      <w:pPr>
        <w:pStyle w:val="aa"/>
        <w:widowControl/>
        <w:spacing w:after="100" w:line="324" w:lineRule="auto"/>
        <w:ind w:left="397" w:hanging="255"/>
      </w:pPr>
      <w:r>
        <w:rPr>
          <w:rFonts w:ascii="Noto Sans CJK SC" w:hAnsi="Noto Sans CJK SC" w:eastAsia="Noto Sans CJK SC" w:cs="Noto Sans CJK SC"/>
          <w:color w:val="000000"/>
          <w:sz w:val="21"/>
        </w:rPr>
        <w:t>2. 核对来源食谱、餐厅档口、供餐对象和日期范围。</w:t>
      </w:r>
    </w:p>
    <w:p>
      <w:pPr>
        <w:pStyle w:val="aa"/>
        <w:widowControl/>
        <w:spacing w:after="100" w:line="324" w:lineRule="auto"/>
        <w:ind w:left="397" w:hanging="255"/>
      </w:pPr>
      <w:r>
        <w:rPr>
          <w:rFonts w:ascii="Noto Sans CJK SC" w:hAnsi="Noto Sans CJK SC" w:eastAsia="Noto Sans CJK SC" w:cs="Noto Sans CJK SC"/>
          <w:color w:val="000000"/>
          <w:sz w:val="21"/>
        </w:rPr>
        <w:t>3. 查看食谱净用量与采购数量；确需调整时填写采购数量和调整说明。</w:t>
      </w:r>
    </w:p>
    <w:p>
      <w:pPr>
        <w:pStyle w:val="aa"/>
        <w:widowControl/>
        <w:spacing w:after="100" w:line="324" w:lineRule="auto"/>
        <w:ind w:left="397" w:hanging="255"/>
      </w:pPr>
      <w:r>
        <w:rPr>
          <w:rFonts w:ascii="Noto Sans CJK SC" w:hAnsi="Noto Sans CJK SC" w:eastAsia="Noto Sans CJK SC" w:cs="Noto Sans CJK SC"/>
          <w:color w:val="000000"/>
          <w:sz w:val="21"/>
        </w:rPr>
        <w:t>4. 点击“导出采购单”或“打印”形成交付文件；实际交付后再点击“标记已交采购”。</w:t>
      </w:r>
    </w:p>
    <w:p>
      <w:pPr>
        <w:widowControl/>
        <w:spacing w:after="100" w:line="324" w:lineRule="auto"/>
      </w:pPr>
      <w:r>
        <w:rPr>
          <w:rFonts w:ascii="Noto Sans CJK SC" w:hAnsi="Noto Sans CJK SC" w:eastAsia="Noto Sans CJK SC" w:cs="Noto Sans CJK SC"/>
          <w:b/>
          <w:color w:val="000000"/>
          <w:sz w:val="21"/>
        </w:rPr>
        <w:t>保存后检查</w:t>
      </w:r>
    </w:p>
    <w:p>
      <w:pPr>
        <w:widowControl/>
        <w:spacing w:after="100" w:line="324" w:lineRule="auto"/>
      </w:pPr>
      <w:r>
        <w:rPr>
          <w:rFonts w:ascii="Noto Sans CJK SC" w:hAnsi="Noto Sans CJK SC" w:eastAsia="Noto Sans CJK SC" w:cs="Noto Sans CJK SC"/>
          <w:color w:val="000000"/>
          <w:sz w:val="21"/>
        </w:rPr>
        <w:t>确认采购需求状态、调整说明和交付状态正确；抽查“用量明细”，确认采购数量可追溯到具体食谱和菜品。</w:t>
      </w:r>
    </w:p>
    <w:p>
      <w:pPr>
        <w:widowControl/>
        <w:spacing w:after="100" w:line="324" w:lineRule="auto"/>
      </w:pPr>
      <w:r>
        <w:rPr>
          <w:rFonts w:ascii="Noto Sans CJK SC" w:hAnsi="Noto Sans CJK SC" w:eastAsia="Noto Sans CJK SC" w:cs="Noto Sans CJK SC"/>
          <w:b/>
          <w:color w:val="000000"/>
          <w:sz w:val="21"/>
        </w:rPr>
        <w:t>风险提示</w:t>
      </w:r>
    </w:p>
    <w:p>
      <w:pPr>
        <w:widowControl/>
        <w:spacing w:after="100" w:line="324" w:lineRule="auto"/>
      </w:pPr>
      <w:r>
        <w:rPr>
          <w:rFonts w:ascii="Noto Sans CJK SC" w:hAnsi="Noto Sans CJK SC" w:eastAsia="Noto Sans CJK SC" w:cs="Noto Sans CJK SC"/>
          <w:color w:val="000000"/>
          <w:sz w:val="21"/>
        </w:rPr>
        <w:t>页面提示的食谱用量为净用量，可能未计加工损耗。采购量调整应有依据，不能直接用净用量替代实际采购量；标记已交采购前应确认文件已交给责任人。</w:t>
      </w:r>
    </w:p>
    <w:p>
      <w:pPr>
        <w:keepNext/>
        <w:spacing w:before="100" w:after="40"/>
        <w:jc w:val="center"/>
      </w:pPr>
      <w:r>
        <w:drawing>
          <wp:inline xmlns:wp="http://schemas.openxmlformats.org/drawingml/2006/wordprocessingDrawing" xmlns:a="http://schemas.openxmlformats.org/drawingml/2006/main" xmlns:pic="http://schemas.openxmlformats.org/drawingml/2006/picture">
            <wp:extent cx="5257800" cy="3129643"/>
            <wp:docPr id="12" name="Picture 1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12-purchase-demand.png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257800" cy="312964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FigureCaption"/>
        <w:jc w:val="center"/>
      </w:pPr>
      <w:r>
        <w:t>图  食材用量与采购单</w:t>
      </w:r>
    </w:p>
    <w:p>
      <w:pPr>
        <w:pStyle w:val="2"/>
      </w:pPr>
      <w:r>
        <w:t>7.5 维护供餐基础设置</w:t>
      </w:r>
    </w:p>
    <w:p>
      <w:pPr>
        <w:widowControl/>
        <w:spacing w:after="100" w:line="324" w:lineRule="auto"/>
      </w:pPr>
      <w:r>
        <w:rPr>
          <w:rFonts w:ascii="Noto Sans CJK SC" w:hAnsi="Noto Sans CJK SC" w:eastAsia="Noto Sans CJK SC" w:cs="Noto Sans CJK SC"/>
          <w:b/>
          <w:color w:val="000000"/>
          <w:sz w:val="21"/>
        </w:rPr>
        <w:t>入口</w:t>
      </w:r>
    </w:p>
    <w:p>
      <w:pPr>
        <w:widowControl/>
        <w:spacing w:after="100" w:line="324" w:lineRule="auto"/>
      </w:pPr>
      <w:r>
        <w:rPr>
          <w:rFonts w:ascii="Noto Sans CJK SC" w:hAnsi="Noto Sans CJK SC" w:eastAsia="Noto Sans CJK SC" w:cs="Noto Sans CJK SC"/>
          <w:color w:val="000000"/>
          <w:sz w:val="21"/>
        </w:rPr>
        <w:t>“膳食营养”进入“基础设置”。</w:t>
      </w:r>
    </w:p>
    <w:p>
      <w:pPr>
        <w:widowControl/>
        <w:spacing w:after="100" w:line="324" w:lineRule="auto"/>
      </w:pPr>
      <w:r>
        <w:rPr>
          <w:rFonts w:ascii="Noto Sans CJK SC" w:hAnsi="Noto Sans CJK SC" w:eastAsia="Noto Sans CJK SC" w:cs="Noto Sans CJK SC"/>
          <w:b/>
          <w:color w:val="000000"/>
          <w:sz w:val="21"/>
        </w:rPr>
        <w:t>操作</w:t>
      </w:r>
    </w:p>
    <w:p>
      <w:pPr>
        <w:pStyle w:val="aa"/>
        <w:widowControl/>
        <w:spacing w:after="100" w:line="324" w:lineRule="auto"/>
        <w:ind w:left="397" w:hanging="255"/>
      </w:pPr>
      <w:r>
        <w:rPr>
          <w:rFonts w:ascii="Noto Sans CJK SC" w:hAnsi="Noto Sans CJK SC" w:eastAsia="Noto Sans CJK SC" w:cs="Noto Sans CJK SC"/>
          <w:color w:val="000000"/>
          <w:sz w:val="21"/>
        </w:rPr>
        <w:t>1. 在“供餐对象”中新增或编辑年龄段等对象信息。</w:t>
      </w:r>
    </w:p>
    <w:p>
      <w:pPr>
        <w:pStyle w:val="aa"/>
        <w:widowControl/>
        <w:spacing w:after="100" w:line="324" w:lineRule="auto"/>
        <w:ind w:left="397" w:hanging="255"/>
      </w:pPr>
      <w:r>
        <w:rPr>
          <w:rFonts w:ascii="Noto Sans CJK SC" w:hAnsi="Noto Sans CJK SC" w:eastAsia="Noto Sans CJK SC" w:cs="Noto Sans CJK SC"/>
          <w:color w:val="000000"/>
          <w:sz w:val="21"/>
        </w:rPr>
        <w:t>2. 在“供餐搭配模板”中查看内置模板；需要差异化配置时新增自定义模板。</w:t>
      </w:r>
    </w:p>
    <w:p>
      <w:pPr>
        <w:pStyle w:val="aa"/>
        <w:widowControl/>
        <w:spacing w:after="100" w:line="324" w:lineRule="auto"/>
        <w:ind w:left="397" w:hanging="255"/>
      </w:pPr>
      <w:r>
        <w:rPr>
          <w:rFonts w:ascii="Noto Sans CJK SC" w:hAnsi="Noto Sans CJK SC" w:eastAsia="Noto Sans CJK SC" w:cs="Noto Sans CJK SC"/>
          <w:color w:val="000000"/>
          <w:sz w:val="21"/>
        </w:rPr>
        <w:t>3. 特殊供餐需求由客户供餐或食安负责人组织专业人员确认后，新增核验规则或规则草稿。</w:t>
      </w:r>
    </w:p>
    <w:p>
      <w:pPr>
        <w:pStyle w:val="aa"/>
        <w:widowControl/>
        <w:spacing w:after="100" w:line="324" w:lineRule="auto"/>
        <w:ind w:left="397" w:hanging="255"/>
      </w:pPr>
      <w:r>
        <w:rPr>
          <w:rFonts w:ascii="Noto Sans CJK SC" w:hAnsi="Noto Sans CJK SC" w:eastAsia="Noto Sans CJK SC" w:cs="Noto Sans CJK SC"/>
          <w:color w:val="000000"/>
          <w:sz w:val="21"/>
        </w:rPr>
        <w:t>4. 生效规则只读；调整时新建版本，不直接覆盖历史依据。</w:t>
      </w:r>
    </w:p>
    <w:p>
      <w:pPr>
        <w:widowControl/>
        <w:spacing w:after="100" w:line="324" w:lineRule="auto"/>
      </w:pPr>
      <w:r>
        <w:rPr>
          <w:rFonts w:ascii="Noto Sans CJK SC" w:hAnsi="Noto Sans CJK SC" w:eastAsia="Noto Sans CJK SC" w:cs="Noto Sans CJK SC"/>
          <w:b/>
          <w:color w:val="000000"/>
          <w:sz w:val="21"/>
        </w:rPr>
        <w:t>保存后检查</w:t>
      </w:r>
    </w:p>
    <w:p>
      <w:pPr>
        <w:widowControl/>
        <w:spacing w:after="100" w:line="324" w:lineRule="auto"/>
      </w:pPr>
      <w:r>
        <w:rPr>
          <w:rFonts w:ascii="Noto Sans CJK SC" w:hAnsi="Noto Sans CJK SC" w:eastAsia="Noto Sans CJK SC" w:cs="Noto Sans CJK SC"/>
          <w:color w:val="000000"/>
          <w:sz w:val="21"/>
        </w:rPr>
        <w:t>确认供餐对象为启用状态、自定义模板道数设置正确，规则的学校、档口、对象、要求、有效期和确认人完整；新建食谱时应能选择已启用对象和模板。</w:t>
      </w:r>
    </w:p>
    <w:p>
      <w:pPr>
        <w:widowControl/>
        <w:spacing w:after="100" w:line="324" w:lineRule="auto"/>
      </w:pPr>
      <w:r>
        <w:rPr>
          <w:rFonts w:ascii="Noto Sans CJK SC" w:hAnsi="Noto Sans CJK SC" w:eastAsia="Noto Sans CJK SC" w:cs="Noto Sans CJK SC"/>
          <w:b/>
          <w:color w:val="000000"/>
          <w:sz w:val="21"/>
        </w:rPr>
        <w:t>风险提示</w:t>
      </w:r>
    </w:p>
    <w:p>
      <w:pPr>
        <w:widowControl/>
        <w:spacing w:after="100" w:line="324" w:lineRule="auto"/>
      </w:pPr>
      <w:r>
        <w:rPr>
          <w:rFonts w:ascii="Noto Sans CJK SC" w:hAnsi="Noto Sans CJK SC" w:eastAsia="Noto Sans CJK SC" w:cs="Noto Sans CJK SC"/>
          <w:color w:val="000000"/>
          <w:sz w:val="21"/>
        </w:rPr>
        <w:t>技术管理员不自动具备专业确认资格。内置模板只读，模板变更不会自动更新历史食谱；特殊供餐规则不得默认通过或凭经验补录。</w:t>
      </w:r>
    </w:p>
    <w:p>
      <w:pPr>
        <w:keepNext/>
        <w:spacing w:before="100" w:after="40"/>
        <w:jc w:val="center"/>
      </w:pPr>
      <w:r>
        <w:drawing>
          <wp:inline xmlns:wp="http://schemas.openxmlformats.org/drawingml/2006/wordprocessingDrawing" xmlns:a="http://schemas.openxmlformats.org/drawingml/2006/main" xmlns:pic="http://schemas.openxmlformats.org/drawingml/2006/picture">
            <wp:extent cx="5257800" cy="3129643"/>
            <wp:docPr id="13" name="Picture 1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13-nutrition-settings.png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5257800" cy="312964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FigureCaption"/>
        <w:jc w:val="center"/>
      </w:pPr>
      <w:r>
        <w:t>图  膳食营养基础设置</w:t>
      </w:r>
    </w:p>
    <w:p>
      <w:pPr>
        <w:pStyle w:val="1"/>
        <w:pageBreakBefore/>
      </w:pPr>
      <w:r>
        <w:t>8 食品安全入口</w:t>
      </w:r>
    </w:p>
    <w:p>
      <w:pPr>
        <w:widowControl/>
        <w:spacing w:after="100" w:line="324" w:lineRule="auto"/>
      </w:pPr>
      <w:r>
        <w:rPr>
          <w:rFonts w:ascii="Noto Sans CJK SC" w:hAnsi="Noto Sans CJK SC" w:eastAsia="Noto Sans CJK SC" w:cs="Noto Sans CJK SC"/>
          <w:b/>
          <w:color w:val="000000"/>
          <w:sz w:val="21"/>
        </w:rPr>
        <w:t>入口</w:t>
      </w:r>
    </w:p>
    <w:p>
      <w:pPr>
        <w:widowControl/>
        <w:spacing w:after="100" w:line="324" w:lineRule="auto"/>
      </w:pPr>
      <w:r>
        <w:rPr>
          <w:rFonts w:ascii="Noto Sans CJK SC" w:hAnsi="Noto Sans CJK SC" w:eastAsia="Noto Sans CJK SC" w:cs="Noto Sans CJK SC"/>
          <w:color w:val="000000"/>
          <w:sz w:val="21"/>
        </w:rPr>
        <w:t>点击左侧“食品安全”，系统会打开独立的智慧食安登录页。</w:t>
      </w:r>
    </w:p>
    <w:p>
      <w:pPr>
        <w:widowControl/>
        <w:spacing w:after="100" w:line="324" w:lineRule="auto"/>
      </w:pPr>
      <w:r>
        <w:rPr>
          <w:rFonts w:ascii="Noto Sans CJK SC" w:hAnsi="Noto Sans CJK SC" w:eastAsia="Noto Sans CJK SC" w:cs="Noto Sans CJK SC"/>
          <w:b/>
          <w:color w:val="000000"/>
          <w:sz w:val="21"/>
        </w:rPr>
        <w:t>操作</w:t>
      </w:r>
    </w:p>
    <w:p>
      <w:pPr>
        <w:widowControl/>
        <w:spacing w:after="100" w:line="324" w:lineRule="auto"/>
      </w:pPr>
      <w:r>
        <w:rPr>
          <w:rFonts w:ascii="Noto Sans CJK SC" w:hAnsi="Noto Sans CJK SC" w:eastAsia="Noto Sans CJK SC" w:cs="Noto Sans CJK SC"/>
          <w:color w:val="000000"/>
          <w:sz w:val="21"/>
        </w:rPr>
        <w:t>使用智慧食安系统单独分配的账号登录。学校端账号是否可用取决于两套系统的账号配置。</w:t>
      </w:r>
    </w:p>
    <w:p>
      <w:pPr>
        <w:widowControl/>
        <w:spacing w:after="100" w:line="324" w:lineRule="auto"/>
      </w:pPr>
      <w:r>
        <w:rPr>
          <w:rFonts w:ascii="Noto Sans CJK SC" w:hAnsi="Noto Sans CJK SC" w:eastAsia="Noto Sans CJK SC" w:cs="Noto Sans CJK SC"/>
          <w:b/>
          <w:color w:val="000000"/>
          <w:sz w:val="21"/>
        </w:rPr>
        <w:t>保存后检查</w:t>
      </w:r>
    </w:p>
    <w:p>
      <w:pPr>
        <w:widowControl/>
        <w:spacing w:after="100" w:line="324" w:lineRule="auto"/>
      </w:pPr>
      <w:r>
        <w:rPr>
          <w:rFonts w:ascii="Noto Sans CJK SC" w:hAnsi="Noto Sans CJK SC" w:eastAsia="Noto Sans CJK SC" w:cs="Noto Sans CJK SC"/>
          <w:color w:val="000000"/>
          <w:sz w:val="21"/>
        </w:rPr>
        <w:t>本入口不在学校端保存数据。成功进入独立系统后，应确认单位和权限范围正确。</w:t>
      </w:r>
    </w:p>
    <w:p>
      <w:pPr>
        <w:widowControl/>
        <w:spacing w:after="100" w:line="324" w:lineRule="auto"/>
      </w:pPr>
      <w:r>
        <w:rPr>
          <w:rFonts w:ascii="Noto Sans CJK SC" w:hAnsi="Noto Sans CJK SC" w:eastAsia="Noto Sans CJK SC" w:cs="Noto Sans CJK SC"/>
          <w:b/>
          <w:color w:val="000000"/>
          <w:sz w:val="21"/>
        </w:rPr>
        <w:t>风险提示</w:t>
      </w:r>
    </w:p>
    <w:p>
      <w:pPr>
        <w:widowControl/>
        <w:spacing w:after="100" w:line="324" w:lineRule="auto"/>
      </w:pPr>
      <w:r>
        <w:rPr>
          <w:rFonts w:ascii="Noto Sans CJK SC" w:hAnsi="Noto Sans CJK SC" w:eastAsia="Noto Sans CJK SC" w:cs="Noto Sans CJK SC"/>
          <w:color w:val="000000"/>
          <w:sz w:val="21"/>
        </w:rPr>
        <w:t>不要把学校端账号密码默认视为食品安全系统凭据。本手册未对该独立系统执行登录和功能验证。</w:t>
      </w:r>
    </w:p>
    <w:p>
      <w:pPr>
        <w:pStyle w:val="1"/>
        <w:pageBreakBefore/>
      </w:pPr>
      <w:r>
        <w:t>9 系统管理</w:t>
      </w:r>
    </w:p>
    <w:p>
      <w:pPr>
        <w:pStyle w:val="2"/>
      </w:pPr>
      <w:r>
        <w:t>9.1 人脸管理</w:t>
      </w:r>
    </w:p>
    <w:p>
      <w:pPr>
        <w:widowControl/>
        <w:spacing w:after="100" w:line="324" w:lineRule="auto"/>
      </w:pPr>
      <w:r>
        <w:rPr>
          <w:rFonts w:ascii="Noto Sans CJK SC" w:hAnsi="Noto Sans CJK SC" w:eastAsia="Noto Sans CJK SC" w:cs="Noto Sans CJK SC"/>
          <w:b/>
          <w:color w:val="000000"/>
          <w:sz w:val="21"/>
        </w:rPr>
        <w:t>入口</w:t>
      </w:r>
    </w:p>
    <w:p>
      <w:pPr>
        <w:widowControl/>
        <w:spacing w:after="100" w:line="324" w:lineRule="auto"/>
      </w:pPr>
      <w:r>
        <w:rPr>
          <w:rFonts w:ascii="Noto Sans CJK SC" w:hAnsi="Noto Sans CJK SC" w:eastAsia="Noto Sans CJK SC" w:cs="Noto Sans CJK SC"/>
          <w:color w:val="000000"/>
          <w:sz w:val="21"/>
        </w:rPr>
        <w:t>“系统管理”进入“人脸管理”，切换“人脸识别记录”或“人脸库管理”。</w:t>
      </w:r>
    </w:p>
    <w:p>
      <w:pPr>
        <w:widowControl/>
        <w:spacing w:after="100" w:line="324" w:lineRule="auto"/>
      </w:pPr>
      <w:r>
        <w:rPr>
          <w:rFonts w:ascii="Noto Sans CJK SC" w:hAnsi="Noto Sans CJK SC" w:eastAsia="Noto Sans CJK SC" w:cs="Noto Sans CJK SC"/>
          <w:b/>
          <w:color w:val="000000"/>
          <w:sz w:val="21"/>
        </w:rPr>
        <w:t>操作</w:t>
      </w:r>
    </w:p>
    <w:p>
      <w:pPr>
        <w:widowControl/>
        <w:spacing w:after="100" w:line="324" w:lineRule="auto"/>
      </w:pPr>
      <w:r>
        <w:rPr>
          <w:rFonts w:ascii="Noto Sans CJK SC" w:hAnsi="Noto Sans CJK SC" w:eastAsia="Noto Sans CJK SC" w:cs="Noto Sans CJK SC"/>
          <w:color w:val="000000"/>
          <w:sz w:val="21"/>
        </w:rPr>
        <w:t>按日期和姓名查询识别记录；在人脸库管理中按权限维护人员人脸数据。</w:t>
      </w:r>
    </w:p>
    <w:p>
      <w:pPr>
        <w:widowControl/>
        <w:spacing w:after="100" w:line="324" w:lineRule="auto"/>
      </w:pPr>
      <w:r>
        <w:rPr>
          <w:rFonts w:ascii="Noto Sans CJK SC" w:hAnsi="Noto Sans CJK SC" w:eastAsia="Noto Sans CJK SC" w:cs="Noto Sans CJK SC"/>
          <w:b/>
          <w:color w:val="000000"/>
          <w:sz w:val="21"/>
        </w:rPr>
        <w:t>保存后检查</w:t>
      </w:r>
    </w:p>
    <w:p>
      <w:pPr>
        <w:widowControl/>
        <w:spacing w:after="100" w:line="324" w:lineRule="auto"/>
      </w:pPr>
      <w:r>
        <w:rPr>
          <w:rFonts w:ascii="Noto Sans CJK SC" w:hAnsi="Noto Sans CJK SC" w:eastAsia="Noto Sans CJK SC" w:cs="Noto Sans CJK SC"/>
          <w:color w:val="000000"/>
          <w:sz w:val="21"/>
        </w:rPr>
        <w:t>确认记录的识别时间、终端和相似度符合预期；维护人脸后，在对应人员和设备范围内验证同步状态。</w:t>
      </w:r>
    </w:p>
    <w:p>
      <w:pPr>
        <w:widowControl/>
        <w:spacing w:after="100" w:line="324" w:lineRule="auto"/>
      </w:pPr>
      <w:r>
        <w:rPr>
          <w:rFonts w:ascii="Noto Sans CJK SC" w:hAnsi="Noto Sans CJK SC" w:eastAsia="Noto Sans CJK SC" w:cs="Noto Sans CJK SC"/>
          <w:b/>
          <w:color w:val="000000"/>
          <w:sz w:val="21"/>
        </w:rPr>
        <w:t>风险提示</w:t>
      </w:r>
    </w:p>
    <w:p>
      <w:pPr>
        <w:widowControl/>
        <w:spacing w:after="100" w:line="324" w:lineRule="auto"/>
      </w:pPr>
      <w:r>
        <w:rPr>
          <w:rFonts w:ascii="Noto Sans CJK SC" w:hAnsi="Noto Sans CJK SC" w:eastAsia="Noto Sans CJK SC" w:cs="Noto Sans CJK SC"/>
          <w:color w:val="000000"/>
          <w:sz w:val="21"/>
        </w:rPr>
        <w:t>人脸属于敏感个人信息。只允许授权人员在合法、必要的范围内处理，禁止截图外传或批量导出后另行保存。</w:t>
      </w:r>
    </w:p>
    <w:p>
      <w:pPr>
        <w:keepNext/>
        <w:spacing w:before="100" w:after="40"/>
        <w:jc w:val="center"/>
      </w:pPr>
      <w:r>
        <w:drawing>
          <wp:inline xmlns:wp="http://schemas.openxmlformats.org/drawingml/2006/wordprocessingDrawing" xmlns:a="http://schemas.openxmlformats.org/drawingml/2006/main" xmlns:pic="http://schemas.openxmlformats.org/drawingml/2006/picture">
            <wp:extent cx="5257800" cy="3129643"/>
            <wp:docPr id="14" name="Picture 1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14-system-face.png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5257800" cy="312964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FigureCaption"/>
        <w:jc w:val="center"/>
      </w:pPr>
      <w:r>
        <w:t>图  人脸管理</w:t>
      </w:r>
    </w:p>
    <w:p>
      <w:pPr>
        <w:pStyle w:val="2"/>
      </w:pPr>
      <w:r>
        <w:t>9.2 设备管理</w:t>
      </w:r>
    </w:p>
    <w:p>
      <w:pPr>
        <w:widowControl/>
        <w:spacing w:after="100" w:line="324" w:lineRule="auto"/>
      </w:pPr>
      <w:r>
        <w:rPr>
          <w:rFonts w:ascii="Noto Sans CJK SC" w:hAnsi="Noto Sans CJK SC" w:eastAsia="Noto Sans CJK SC" w:cs="Noto Sans CJK SC"/>
          <w:b/>
          <w:color w:val="000000"/>
          <w:sz w:val="21"/>
        </w:rPr>
        <w:t>入口</w:t>
      </w:r>
    </w:p>
    <w:p>
      <w:pPr>
        <w:widowControl/>
        <w:spacing w:after="100" w:line="324" w:lineRule="auto"/>
      </w:pPr>
      <w:r>
        <w:rPr>
          <w:rFonts w:ascii="Noto Sans CJK SC" w:hAnsi="Noto Sans CJK SC" w:eastAsia="Noto Sans CJK SC" w:cs="Noto Sans CJK SC"/>
          <w:color w:val="000000"/>
          <w:sz w:val="21"/>
        </w:rPr>
        <w:t>“系统管理”进入“设备管理”。</w:t>
      </w:r>
    </w:p>
    <w:p>
      <w:pPr>
        <w:widowControl/>
        <w:spacing w:after="100" w:line="324" w:lineRule="auto"/>
      </w:pPr>
      <w:r>
        <w:rPr>
          <w:rFonts w:ascii="Noto Sans CJK SC" w:hAnsi="Noto Sans CJK SC" w:eastAsia="Noto Sans CJK SC" w:cs="Noto Sans CJK SC"/>
          <w:b/>
          <w:color w:val="000000"/>
          <w:sz w:val="21"/>
        </w:rPr>
        <w:t>操作</w:t>
      </w:r>
    </w:p>
    <w:p>
      <w:pPr>
        <w:widowControl/>
        <w:spacing w:after="100" w:line="324" w:lineRule="auto"/>
      </w:pPr>
      <w:r>
        <w:rPr>
          <w:rFonts w:ascii="Noto Sans CJK SC" w:hAnsi="Noto Sans CJK SC" w:eastAsia="Noto Sans CJK SC" w:cs="Noto Sans CJK SC"/>
          <w:color w:val="000000"/>
          <w:sz w:val="21"/>
        </w:rPr>
        <w:t>按设备名称、编号、类型或状态筛选；新增设备时填写页面要求的设备标识、归属、版本和状态等必要信息；已有设备可编辑或按授权处理删除。</w:t>
      </w:r>
    </w:p>
    <w:p>
      <w:pPr>
        <w:widowControl/>
        <w:spacing w:after="100" w:line="324" w:lineRule="auto"/>
      </w:pPr>
      <w:r>
        <w:rPr>
          <w:rFonts w:ascii="Noto Sans CJK SC" w:hAnsi="Noto Sans CJK SC" w:eastAsia="Noto Sans CJK SC" w:cs="Noto Sans CJK SC"/>
          <w:b/>
          <w:color w:val="000000"/>
          <w:sz w:val="21"/>
        </w:rPr>
        <w:t>保存后检查</w:t>
      </w:r>
    </w:p>
    <w:p>
      <w:pPr>
        <w:widowControl/>
        <w:spacing w:after="100" w:line="324" w:lineRule="auto"/>
      </w:pPr>
      <w:r>
        <w:rPr>
          <w:rFonts w:ascii="Noto Sans CJK SC" w:hAnsi="Noto Sans CJK SC" w:eastAsia="Noto Sans CJK SC" w:cs="Noto Sans CJK SC"/>
          <w:color w:val="000000"/>
          <w:sz w:val="21"/>
        </w:rPr>
        <w:t>回到列表确认设备名称、编号、归属、在线或启用状态和版本信息正确，并在实际终端检查心跳或业务连接。</w:t>
      </w:r>
    </w:p>
    <w:p>
      <w:pPr>
        <w:widowControl/>
        <w:spacing w:after="100" w:line="324" w:lineRule="auto"/>
      </w:pPr>
      <w:r>
        <w:rPr>
          <w:rFonts w:ascii="Noto Sans CJK SC" w:hAnsi="Noto Sans CJK SC" w:eastAsia="Noto Sans CJK SC" w:cs="Noto Sans CJK SC"/>
          <w:b/>
          <w:color w:val="000000"/>
          <w:sz w:val="21"/>
        </w:rPr>
        <w:t>风险提示</w:t>
      </w:r>
    </w:p>
    <w:p>
      <w:pPr>
        <w:widowControl/>
        <w:spacing w:after="100" w:line="324" w:lineRule="auto"/>
      </w:pPr>
      <w:r>
        <w:rPr>
          <w:rFonts w:ascii="Noto Sans CJK SC" w:hAnsi="Noto Sans CJK SC" w:eastAsia="Noto Sans CJK SC" w:cs="Noto Sans CJK SC"/>
          <w:color w:val="000000"/>
          <w:sz w:val="21"/>
        </w:rPr>
        <w:t>设备编号通常是系统识别终端的关键字段，不要重复使用。删除或停用设备可能中断就餐、支付、人脸识别或菜牌展示，应先确认业务窗口和回退方案。</w:t>
      </w:r>
    </w:p>
    <w:p>
      <w:pPr>
        <w:keepNext/>
        <w:spacing w:before="100" w:after="40"/>
        <w:jc w:val="center"/>
      </w:pPr>
      <w:r>
        <w:drawing>
          <wp:inline xmlns:wp="http://schemas.openxmlformats.org/drawingml/2006/wordprocessingDrawing" xmlns:a="http://schemas.openxmlformats.org/drawingml/2006/main" xmlns:pic="http://schemas.openxmlformats.org/drawingml/2006/picture">
            <wp:extent cx="5257800" cy="3129643"/>
            <wp:docPr id="15" name="Picture 1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15-system-device.png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5257800" cy="312964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FigureCaption"/>
        <w:jc w:val="center"/>
      </w:pPr>
      <w:r>
        <w:t>图  设备管理</w:t>
      </w:r>
    </w:p>
    <w:p>
      <w:pPr>
        <w:pStyle w:val="2"/>
      </w:pPr>
      <w:r>
        <w:t>9.3 角色和账号</w:t>
      </w:r>
    </w:p>
    <w:p>
      <w:pPr>
        <w:widowControl/>
        <w:spacing w:after="100" w:line="324" w:lineRule="auto"/>
      </w:pPr>
      <w:r>
        <w:rPr>
          <w:rFonts w:ascii="Noto Sans CJK SC" w:hAnsi="Noto Sans CJK SC" w:eastAsia="Noto Sans CJK SC" w:cs="Noto Sans CJK SC"/>
          <w:b/>
          <w:color w:val="000000"/>
          <w:sz w:val="21"/>
        </w:rPr>
        <w:t>入口</w:t>
      </w:r>
    </w:p>
    <w:p>
      <w:pPr>
        <w:widowControl/>
        <w:spacing w:after="100" w:line="324" w:lineRule="auto"/>
      </w:pPr>
      <w:r>
        <w:rPr>
          <w:rFonts w:ascii="Noto Sans CJK SC" w:hAnsi="Noto Sans CJK SC" w:eastAsia="Noto Sans CJK SC" w:cs="Noto Sans CJK SC"/>
          <w:color w:val="000000"/>
          <w:sz w:val="21"/>
        </w:rPr>
        <w:t>“系统管理”进入“角色设置”或“账号设置”。</w:t>
      </w:r>
    </w:p>
    <w:p>
      <w:pPr>
        <w:widowControl/>
        <w:spacing w:after="100" w:line="324" w:lineRule="auto"/>
      </w:pPr>
      <w:r>
        <w:rPr>
          <w:rFonts w:ascii="Noto Sans CJK SC" w:hAnsi="Noto Sans CJK SC" w:eastAsia="Noto Sans CJK SC" w:cs="Noto Sans CJK SC"/>
          <w:b/>
          <w:color w:val="000000"/>
          <w:sz w:val="21"/>
        </w:rPr>
        <w:t>操作</w:t>
      </w:r>
    </w:p>
    <w:p>
      <w:pPr>
        <w:pStyle w:val="aa"/>
        <w:widowControl/>
        <w:spacing w:after="100" w:line="324" w:lineRule="auto"/>
        <w:ind w:left="397" w:hanging="255"/>
      </w:pPr>
      <w:r>
        <w:rPr>
          <w:rFonts w:ascii="Noto Sans CJK SC" w:hAnsi="Noto Sans CJK SC" w:eastAsia="Noto Sans CJK SC" w:cs="Noto Sans CJK SC"/>
          <w:color w:val="000000"/>
          <w:sz w:val="21"/>
        </w:rPr>
        <w:t>1. 先在角色设置中新增角色，按岗位选择所需菜单和操作权限，并设置状态。</w:t>
      </w:r>
    </w:p>
    <w:p>
      <w:pPr>
        <w:pStyle w:val="aa"/>
        <w:widowControl/>
        <w:spacing w:after="100" w:line="324" w:lineRule="auto"/>
        <w:ind w:left="397" w:hanging="255"/>
      </w:pPr>
      <w:r>
        <w:rPr>
          <w:rFonts w:ascii="Noto Sans CJK SC" w:hAnsi="Noto Sans CJK SC" w:eastAsia="Noto Sans CJK SC" w:cs="Noto Sans CJK SC"/>
          <w:color w:val="000000"/>
          <w:sz w:val="21"/>
        </w:rPr>
        <w:t>2. 再到账号设置中新建账号，分配角色和账号有效期。</w:t>
      </w:r>
    </w:p>
    <w:p>
      <w:pPr>
        <w:pStyle w:val="aa"/>
        <w:widowControl/>
        <w:spacing w:after="100" w:line="324" w:lineRule="auto"/>
        <w:ind w:left="397" w:hanging="255"/>
      </w:pPr>
      <w:r>
        <w:rPr>
          <w:rFonts w:ascii="Noto Sans CJK SC" w:hAnsi="Noto Sans CJK SC" w:eastAsia="Noto Sans CJK SC" w:cs="Noto Sans CJK SC"/>
          <w:color w:val="000000"/>
          <w:sz w:val="21"/>
        </w:rPr>
        <w:t>3. 使用“数据权限”限制账号可见的学校、部门、餐厅或其他数据范围。</w:t>
      </w:r>
    </w:p>
    <w:p>
      <w:pPr>
        <w:pStyle w:val="aa"/>
        <w:widowControl/>
        <w:spacing w:after="100" w:line="324" w:lineRule="auto"/>
        <w:ind w:left="397" w:hanging="255"/>
      </w:pPr>
      <w:r>
        <w:rPr>
          <w:rFonts w:ascii="Noto Sans CJK SC" w:hAnsi="Noto Sans CJK SC" w:eastAsia="Noto Sans CJK SC" w:cs="Noto Sans CJK SC"/>
          <w:color w:val="000000"/>
          <w:sz w:val="21"/>
        </w:rPr>
        <w:t>4. 人员离岗或职责变化时，及时停用账号或调整角色和数据权限。</w:t>
      </w:r>
    </w:p>
    <w:p>
      <w:pPr>
        <w:widowControl/>
        <w:spacing w:after="100" w:line="324" w:lineRule="auto"/>
      </w:pPr>
      <w:r>
        <w:rPr>
          <w:rFonts w:ascii="Noto Sans CJK SC" w:hAnsi="Noto Sans CJK SC" w:eastAsia="Noto Sans CJK SC" w:cs="Noto Sans CJK SC"/>
          <w:b/>
          <w:color w:val="000000"/>
          <w:sz w:val="21"/>
        </w:rPr>
        <w:t>保存后检查</w:t>
      </w:r>
    </w:p>
    <w:p>
      <w:pPr>
        <w:widowControl/>
        <w:spacing w:after="100" w:line="324" w:lineRule="auto"/>
      </w:pPr>
      <w:r>
        <w:rPr>
          <w:rFonts w:ascii="Noto Sans CJK SC" w:hAnsi="Noto Sans CJK SC" w:eastAsia="Noto Sans CJK SC" w:cs="Noto Sans CJK SC"/>
          <w:color w:val="000000"/>
          <w:sz w:val="21"/>
        </w:rPr>
        <w:t>使用目标账号重新登录，确认菜单权限与数据范围均符合岗位要求；无关菜单和无关单位数据不应可见。</w:t>
      </w:r>
    </w:p>
    <w:p>
      <w:pPr>
        <w:widowControl/>
        <w:spacing w:after="100" w:line="324" w:lineRule="auto"/>
      </w:pPr>
      <w:r>
        <w:rPr>
          <w:rFonts w:ascii="Noto Sans CJK SC" w:hAnsi="Noto Sans CJK SC" w:eastAsia="Noto Sans CJK SC" w:cs="Noto Sans CJK SC"/>
          <w:b/>
          <w:color w:val="000000"/>
          <w:sz w:val="21"/>
        </w:rPr>
        <w:t>风险提示</w:t>
      </w:r>
    </w:p>
    <w:p>
      <w:pPr>
        <w:widowControl/>
        <w:spacing w:after="100" w:line="324" w:lineRule="auto"/>
      </w:pPr>
      <w:r>
        <w:rPr>
          <w:rFonts w:ascii="Noto Sans CJK SC" w:hAnsi="Noto Sans CJK SC" w:eastAsia="Noto Sans CJK SC" w:cs="Noto Sans CJK SC"/>
          <w:color w:val="000000"/>
          <w:sz w:val="21"/>
        </w:rPr>
        <w:t>遵循最小权限原则，不要直接复制超管权限。角色权限控制“能做什么”，数据权限控制“能看哪些数据”，两者都必须验证。删除账号前应保留必要的操作审计记录。</w:t>
      </w:r>
    </w:p>
    <w:p>
      <w:pPr>
        <w:keepNext/>
        <w:spacing w:before="100" w:after="40"/>
        <w:jc w:val="center"/>
      </w:pPr>
      <w:r>
        <w:drawing>
          <wp:inline xmlns:wp="http://schemas.openxmlformats.org/drawingml/2006/wordprocessingDrawing" xmlns:a="http://schemas.openxmlformats.org/drawingml/2006/main" xmlns:pic="http://schemas.openxmlformats.org/drawingml/2006/picture">
            <wp:extent cx="5257800" cy="3129643"/>
            <wp:docPr id="16" name="Picture 1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16-system-role.png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5257800" cy="312964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FigureCaption"/>
        <w:jc w:val="center"/>
      </w:pPr>
      <w:r>
        <w:t>图  角色设置</w:t>
      </w:r>
    </w:p>
    <w:p>
      <w:pPr>
        <w:keepNext/>
        <w:spacing w:before="100" w:after="40"/>
        <w:jc w:val="center"/>
      </w:pPr>
      <w:r>
        <w:drawing>
          <wp:inline xmlns:wp="http://schemas.openxmlformats.org/drawingml/2006/wordprocessingDrawing" xmlns:a="http://schemas.openxmlformats.org/drawingml/2006/main" xmlns:pic="http://schemas.openxmlformats.org/drawingml/2006/picture">
            <wp:extent cx="5257800" cy="3129643"/>
            <wp:docPr id="17" name="Picture 1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17-system-account.png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5257800" cy="312964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FigureCaption"/>
        <w:jc w:val="center"/>
      </w:pPr>
      <w:r>
        <w:t>图  账号设置</w:t>
      </w:r>
    </w:p>
    <w:p>
      <w:pPr>
        <w:pStyle w:val="1"/>
        <w:pageBreakBefore/>
      </w:pPr>
      <w:r>
        <w:t>10 常见检查与风险控制</w:t>
      </w:r>
    </w:p>
    <w:p>
      <w:pPr>
        <w:pStyle w:val="2"/>
      </w:pPr>
      <w:r>
        <w:t>10.1 保存后页面没有变化</w:t>
      </w:r>
    </w:p>
    <w:p>
      <w:pPr>
        <w:widowControl/>
        <w:spacing w:after="100" w:line="324" w:lineRule="auto"/>
      </w:pPr>
      <w:r>
        <w:rPr>
          <w:rFonts w:ascii="Noto Sans CJK SC" w:hAnsi="Noto Sans CJK SC" w:eastAsia="Noto Sans CJK SC" w:cs="Noto Sans CJK SC"/>
          <w:color w:val="000000"/>
          <w:sz w:val="21"/>
        </w:rPr>
        <w:t>先刷新页面并重新查询；再检查筛选条件、所属学校或餐厅、记录状态及本人数据权限。仍无结果时记录页面、时间、操作对象和提示信息后联系管理员。</w:t>
      </w:r>
    </w:p>
    <w:p>
      <w:pPr>
        <w:pStyle w:val="2"/>
      </w:pPr>
      <w:r>
        <w:t>10.2 菜品无法加入食谱</w:t>
      </w:r>
    </w:p>
    <w:p>
      <w:pPr>
        <w:widowControl/>
        <w:spacing w:after="100" w:line="324" w:lineRule="auto"/>
      </w:pPr>
      <w:r>
        <w:rPr>
          <w:rFonts w:ascii="Noto Sans CJK SC" w:hAnsi="Noto Sans CJK SC" w:eastAsia="Noto Sans CJK SC" w:cs="Noto Sans CJK SC"/>
          <w:color w:val="000000"/>
          <w:sz w:val="21"/>
        </w:rPr>
        <w:t>检查菜品是否启用、是否属于当前可见范围、配方和食物成分是否完整，以及食谱选择的学校档口和供餐对象是否正确。</w:t>
      </w:r>
    </w:p>
    <w:p>
      <w:pPr>
        <w:pStyle w:val="2"/>
      </w:pPr>
      <w:r>
        <w:t>10.3 营养分析出现缺失或异常</w:t>
      </w:r>
    </w:p>
    <w:p>
      <w:pPr>
        <w:widowControl/>
        <w:spacing w:after="100" w:line="324" w:lineRule="auto"/>
      </w:pPr>
      <w:r>
        <w:rPr>
          <w:rFonts w:ascii="Noto Sans CJK SC" w:hAnsi="Noto Sans CJK SC" w:eastAsia="Noto Sans CJK SC" w:cs="Noto Sans CJK SC"/>
          <w:color w:val="000000"/>
          <w:sz w:val="21"/>
        </w:rPr>
        <w:t>先确认菜品配方、食材重量和食物成分数据，再确认供餐人数、餐次和供餐对象。缺失数据不等于零，不应通过忽略提示完成审核。</w:t>
      </w:r>
    </w:p>
    <w:p>
      <w:pPr>
        <w:pStyle w:val="2"/>
      </w:pPr>
      <w:r>
        <w:t>10.4 采购数量与食谱用量不同</w:t>
      </w:r>
    </w:p>
    <w:p>
      <w:pPr>
        <w:widowControl/>
        <w:spacing w:after="100" w:line="324" w:lineRule="auto"/>
      </w:pPr>
      <w:r>
        <w:rPr>
          <w:rFonts w:ascii="Noto Sans CJK SC" w:hAnsi="Noto Sans CJK SC" w:eastAsia="Noto Sans CJK SC" w:cs="Noto Sans CJK SC"/>
          <w:color w:val="000000"/>
          <w:sz w:val="21"/>
        </w:rPr>
        <w:t>食谱用量通常是净用量，实际采购还需考虑损耗、包装规格和库存。调整采购数量时填写原因，并保留业务依据。</w:t>
      </w:r>
    </w:p>
    <w:p>
      <w:pPr>
        <w:pStyle w:val="2"/>
      </w:pPr>
      <w:r>
        <w:t>10.5 账单金额需要调整</w:t>
      </w:r>
    </w:p>
    <w:p>
      <w:pPr>
        <w:widowControl/>
        <w:spacing w:after="100" w:line="324" w:lineRule="auto"/>
      </w:pPr>
      <w:r>
        <w:rPr>
          <w:rFonts w:ascii="Noto Sans CJK SC" w:hAnsi="Noto Sans CJK SC" w:eastAsia="Noto Sans CJK SC" w:cs="Noto Sans CJK SC"/>
          <w:color w:val="000000"/>
          <w:sz w:val="21"/>
        </w:rPr>
        <w:t>先查看详情和日志，确认调整依据和责任人。调整后重新核对应缴汇总，再发起缴费；不要先发起缴费再补做核对。</w:t>
      </w:r>
    </w:p>
    <w:p>
      <w:pPr>
        <w:pStyle w:val="2"/>
      </w:pPr>
      <w:r>
        <w:t>10.6 权限配置后仍看不到菜单或数据</w:t>
      </w:r>
    </w:p>
    <w:p>
      <w:pPr>
        <w:widowControl/>
        <w:spacing w:after="100" w:line="324" w:lineRule="auto"/>
      </w:pPr>
      <w:r>
        <w:rPr>
          <w:rFonts w:ascii="Noto Sans CJK SC" w:hAnsi="Noto Sans CJK SC" w:eastAsia="Noto Sans CJK SC" w:cs="Noto Sans CJK SC"/>
          <w:color w:val="000000"/>
          <w:sz w:val="21"/>
        </w:rPr>
        <w:t>同时检查角色权限和数据权限，并让目标账号退出后重新登录。仍无效时核对账号状态和有效期。</w:t>
      </w:r>
    </w:p>
    <w:p>
      <w:pPr>
        <w:pStyle w:val="1"/>
        <w:pageBreakBefore/>
      </w:pPr>
      <w:r>
        <w:t>11 操作完成检查清单</w:t>
      </w:r>
    </w:p>
    <w:p>
      <w:pPr>
        <w:pStyle w:val="aa"/>
        <w:widowControl/>
        <w:spacing w:after="100" w:line="324" w:lineRule="auto"/>
        <w:ind w:left="397" w:hanging="255"/>
      </w:pPr>
      <w:r>
        <w:rPr>
          <w:rFonts w:ascii="Noto Sans CJK SC" w:hAnsi="Noto Sans CJK SC" w:eastAsia="Noto Sans CJK SC" w:cs="Noto Sans CJK SC"/>
          <w:color w:val="000000"/>
          <w:sz w:val="21"/>
        </w:rPr>
        <w:t>• 当前登录账号、学校、餐厅和数据范围正确。</w:t>
      </w:r>
    </w:p>
    <w:p>
      <w:pPr>
        <w:pStyle w:val="aa"/>
        <w:widowControl/>
        <w:spacing w:after="100" w:line="324" w:lineRule="auto"/>
        <w:ind w:left="397" w:hanging="255"/>
      </w:pPr>
      <w:r>
        <w:rPr>
          <w:rFonts w:ascii="Noto Sans CJK SC" w:hAnsi="Noto Sans CJK SC" w:eastAsia="Noto Sans CJK SC" w:cs="Noto Sans CJK SC"/>
          <w:color w:val="000000"/>
          <w:sz w:val="21"/>
        </w:rPr>
        <w:t>• 部门先于人员建立，人员信息可查询且状态正确。</w:t>
      </w:r>
    </w:p>
    <w:p>
      <w:pPr>
        <w:pStyle w:val="aa"/>
        <w:widowControl/>
        <w:spacing w:after="100" w:line="324" w:lineRule="auto"/>
        <w:ind w:left="397" w:hanging="255"/>
      </w:pPr>
      <w:r>
        <w:rPr>
          <w:rFonts w:ascii="Noto Sans CJK SC" w:hAnsi="Noto Sans CJK SC" w:eastAsia="Noto Sans CJK SC" w:cs="Noto Sans CJK SC"/>
          <w:color w:val="000000"/>
          <w:sz w:val="21"/>
        </w:rPr>
        <w:t>• 区域、餐厅、档口和菜品均处于预期状态。</w:t>
      </w:r>
    </w:p>
    <w:p>
      <w:pPr>
        <w:pStyle w:val="aa"/>
        <w:widowControl/>
        <w:spacing w:after="100" w:line="324" w:lineRule="auto"/>
        <w:ind w:left="397" w:hanging="255"/>
      </w:pPr>
      <w:r>
        <w:rPr>
          <w:rFonts w:ascii="Noto Sans CJK SC" w:hAnsi="Noto Sans CJK SC" w:eastAsia="Noto Sans CJK SC" w:cs="Noto Sans CJK SC"/>
          <w:color w:val="000000"/>
          <w:sz w:val="21"/>
        </w:rPr>
        <w:t>• 菜品配方和食物成分足以支持营养计算。</w:t>
      </w:r>
    </w:p>
    <w:p>
      <w:pPr>
        <w:pStyle w:val="aa"/>
        <w:widowControl/>
        <w:spacing w:after="100" w:line="324" w:lineRule="auto"/>
        <w:ind w:left="397" w:hanging="255"/>
      </w:pPr>
      <w:r>
        <w:rPr>
          <w:rFonts w:ascii="Noto Sans CJK SC" w:hAnsi="Noto Sans CJK SC" w:eastAsia="Noto Sans CJK SC" w:cs="Noto Sans CJK SC"/>
          <w:color w:val="000000"/>
          <w:sz w:val="21"/>
        </w:rPr>
        <w:t>• 食谱日期、对象、餐次、人数和菜品完整，营养分析无未处理问题。</w:t>
      </w:r>
    </w:p>
    <w:p>
      <w:pPr>
        <w:pStyle w:val="aa"/>
        <w:widowControl/>
        <w:spacing w:after="100" w:line="324" w:lineRule="auto"/>
        <w:ind w:left="397" w:hanging="255"/>
      </w:pPr>
      <w:r>
        <w:rPr>
          <w:rFonts w:ascii="Noto Sans CJK SC" w:hAnsi="Noto Sans CJK SC" w:eastAsia="Noto Sans CJK SC" w:cs="Noto Sans CJK SC"/>
          <w:color w:val="000000"/>
          <w:sz w:val="21"/>
        </w:rPr>
        <w:t>• 食谱已按权限提交审核并发布，采购需求与发布版本一致。</w:t>
      </w:r>
    </w:p>
    <w:p>
      <w:pPr>
        <w:pStyle w:val="aa"/>
        <w:widowControl/>
        <w:spacing w:after="100" w:line="324" w:lineRule="auto"/>
        <w:ind w:left="397" w:hanging="255"/>
      </w:pPr>
      <w:r>
        <w:rPr>
          <w:rFonts w:ascii="Noto Sans CJK SC" w:hAnsi="Noto Sans CJK SC" w:eastAsia="Noto Sans CJK SC" w:cs="Noto Sans CJK SC"/>
          <w:color w:val="000000"/>
          <w:sz w:val="21"/>
        </w:rPr>
        <w:t>• 月度账单在发起缴费前已经核对，修改有日志和依据。</w:t>
      </w:r>
    </w:p>
    <w:p>
      <w:pPr>
        <w:pStyle w:val="aa"/>
        <w:widowControl/>
        <w:spacing w:after="100" w:line="324" w:lineRule="auto"/>
        <w:ind w:left="397" w:hanging="255"/>
      </w:pPr>
      <w:r>
        <w:rPr>
          <w:rFonts w:ascii="Noto Sans CJK SC" w:hAnsi="Noto Sans CJK SC" w:eastAsia="Noto Sans CJK SC" w:cs="Noto Sans CJK SC"/>
          <w:color w:val="000000"/>
          <w:sz w:val="21"/>
        </w:rPr>
        <w:t>• 角色权限和数据权限均使用目标账号验证。</w:t>
      </w:r>
    </w:p>
    <w:p>
      <w:pPr>
        <w:pStyle w:val="aa"/>
        <w:widowControl/>
        <w:spacing w:after="100" w:line="324" w:lineRule="auto"/>
        <w:ind w:left="397" w:hanging="255"/>
      </w:pPr>
      <w:r>
        <w:rPr>
          <w:rFonts w:ascii="Noto Sans CJK SC" w:hAnsi="Noto Sans CJK SC" w:eastAsia="Noto Sans CJK SC" w:cs="Noto Sans CJK SC"/>
          <w:color w:val="000000"/>
          <w:sz w:val="21"/>
        </w:rPr>
        <w:t>• 涉及人员、人脸、账号和账单的截图或导出文件已妥善保管。</w:t>
      </w:r>
    </w:p>
    <w:sectPr w:rsidR="000E46D2" w:rsidRPr="00B60D04" w:rsidSect="006C0147">
      <w:headerReference w:type="default" r:id="rId9"/>
      <w:footerReference w:type="default" r:id="rId10"/>
      <w:pgSz w:w="11906" w:h="16838"/>
      <w:pgMar w:top="1440" w:right="1800" w:bottom="1440" w:left="1800" w:header="680" w:footer="567" w:gutter="0"/>
      <w:pgNumType w:start="1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1918F7F" w14:textId="77777777" w:rsidR="00E45D97" w:rsidRDefault="00E45D97" w:rsidP="00F51BC0">
      <w:r>
        <w:separator/>
      </w:r>
    </w:p>
  </w:endnote>
  <w:endnote w:type="continuationSeparator" w:id="0">
    <w:p w14:paraId="540C2C5D" w14:textId="77777777" w:rsidR="00E45D97" w:rsidRDefault="00E45D97" w:rsidP="00F51B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32130357"/>
      <w:docPartObj>
        <w:docPartGallery w:val="Page Numbers (Bottom of Page)"/>
        <w:docPartUnique/>
      </w:docPartObj>
    </w:sdtPr>
    <w:sdtEndPr/>
    <w:sdtContent>
      <w:sdt>
        <w:sdtPr>
          <w:id w:val="-1669238322"/>
          <w:docPartObj>
            <w:docPartGallery w:val="Page Numbers (Top of Page)"/>
            <w:docPartUnique/>
          </w:docPartObj>
        </w:sdtPr>
        <w:sdtEndPr/>
        <w:sdtContent>
          <w:p w14:paraId="1E7E09F9" w14:textId="77777777" w:rsidR="008F471B" w:rsidRDefault="008F471B">
            <w:pPr>
              <w:pStyle w:val="a3"/>
              <w:jc w:val="center"/>
            </w:pPr>
            <w:r>
              <w:rPr>
                <w:lang w:val="zh-CN"/>
              </w:rPr>
              <w:t xml:space="preserve"> </w:t>
            </w:r>
          </w:p>
        </w:sdtContent>
      </w:sdt>
    </w:sdtContent>
  </w:sdt>
  <w:p w14:paraId="64514A81" w14:textId="77777777" w:rsidR="008F471B" w:rsidRDefault="008F471B">
    <w:pPr>
      <w:pStyle w:val="a3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96F33B" w14:textId="77777777" w:rsidR="008F471B" w:rsidRDefault="008F471B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1FC278B" w14:textId="77777777" w:rsidR="00E45D97" w:rsidRDefault="00E45D97" w:rsidP="00F51BC0">
      <w:r>
        <w:separator/>
      </w:r>
    </w:p>
  </w:footnote>
  <w:footnote w:type="continuationSeparator" w:id="0">
    <w:p w14:paraId="64910533" w14:textId="77777777" w:rsidR="00E45D97" w:rsidRDefault="00E45D97" w:rsidP="00F51BC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7484E4" w14:textId="35E7A118" w:rsidR="00B60D04" w:rsidRPr="00B60D04" w:rsidRDefault="00B60D04" w:rsidP="00B60D04">
    <w:pPr>
      <w:pStyle w:val="a5"/>
      <w:jc w:val="both"/>
    </w:pPr>
  </w:p>
  <w:p w14:paraId="2D1B016F" w14:textId="3FFC13EA" w:rsidR="00B60D04" w:rsidRPr="00B60D04" w:rsidRDefault="00B60D04" w:rsidP="00B60D04">
    <w:pPr>
      <w:pStyle w:val="a5"/>
      <w:jc w:val="right"/>
      <w:rPr>
        <w:b/>
        <w:bCs/>
      </w:rPr>
    </w:pPr>
  </w:p>
  <w:p w14:paraId="61F2BAA1" w14:textId="15A17736" w:rsidR="00B60D04" w:rsidRPr="005E3F61" w:rsidRDefault="0057238D" w:rsidP="0057238D">
    <w:pPr>
      <w:pStyle w:val="a5"/>
      <w:jc w:val="left"/>
      <w:rPr>
        <w:b/>
        <w:bCs/>
      </w:rPr>
    </w:pPr>
    <w:r>
      <w:rPr>
        <w:noProof/>
      </w:rPr>
      <w:drawing>
        <wp:inline distT="0" distB="0" distL="0" distR="0" wp14:anchorId="67EF65C3" wp14:editId="4E3A3753">
          <wp:extent cx="1169581" cy="181929"/>
          <wp:effectExtent l="0" t="0" r="0" b="8890"/>
          <wp:docPr id="4" name="图片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69581" cy="18192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hint="eastAsia"/>
        <w:b/>
        <w:bCs/>
        <w:sz w:val="24"/>
        <w:szCs w:val="24"/>
      </w:rPr>
      <w:t xml:space="preserve"> </w:t>
    </w:r>
    <w:r>
      <w:rPr>
        <w:b/>
        <w:bCs/>
        <w:sz w:val="24"/>
        <w:szCs w:val="24"/>
      </w:rPr>
      <w:t xml:space="preserve">                                 </w:t>
    </w:r>
    <w:r w:rsidR="005E3F61" w:rsidRPr="0057238D">
      <w:rPr>
        <w:rFonts w:hint="eastAsia"/>
        <w:b/>
        <w:bCs/>
        <w:sz w:val="24"/>
        <w:szCs w:val="24"/>
      </w:rPr>
      <w:t>康比特数字体育科技</w:t>
    </w:r>
    <w:r w:rsidR="005E3F61">
      <w:rPr>
        <w:rFonts w:hint="eastAsia"/>
        <w:b/>
        <w:bCs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BFF88732"/>
    <w:multiLevelType w:val="singleLevel"/>
    <w:tmpl w:val="BFF88732"/>
    <w:lvl w:ilvl="0">
      <w:start w:val="1"/>
      <w:numFmt w:val="decimal"/>
      <w:suff w:val="nothing"/>
      <w:lvlText w:val="（%1）"/>
      <w:lvlJc w:val="left"/>
    </w:lvl>
  </w:abstractNum>
  <w:abstractNum w:abstractNumId="1" w15:restartNumberingAfterBreak="0">
    <w:nsid w:val="F2EEC608"/>
    <w:multiLevelType w:val="multilevel"/>
    <w:tmpl w:val="F2EEC608"/>
    <w:lvl w:ilvl="0">
      <w:start w:val="1"/>
      <w:numFmt w:val="decimal"/>
      <w:lvlText w:val="%1）"/>
      <w:lvlJc w:val="left"/>
      <w:pPr>
        <w:ind w:left="821" w:hanging="360"/>
      </w:pPr>
      <w:rPr>
        <w:rFonts w:hint="eastAsia"/>
      </w:rPr>
    </w:lvl>
    <w:lvl w:ilvl="1">
      <w:start w:val="1"/>
      <w:numFmt w:val="lowerLetter"/>
      <w:lvlText w:val="%2)"/>
      <w:lvlJc w:val="left"/>
      <w:pPr>
        <w:ind w:left="1421" w:hanging="480"/>
      </w:pPr>
    </w:lvl>
    <w:lvl w:ilvl="2">
      <w:start w:val="1"/>
      <w:numFmt w:val="lowerRoman"/>
      <w:lvlText w:val="%3."/>
      <w:lvlJc w:val="right"/>
      <w:pPr>
        <w:ind w:left="1901" w:hanging="480"/>
      </w:pPr>
    </w:lvl>
    <w:lvl w:ilvl="3">
      <w:start w:val="1"/>
      <w:numFmt w:val="decimal"/>
      <w:lvlText w:val="%4."/>
      <w:lvlJc w:val="left"/>
      <w:pPr>
        <w:ind w:left="2381" w:hanging="480"/>
      </w:pPr>
    </w:lvl>
    <w:lvl w:ilvl="4">
      <w:start w:val="1"/>
      <w:numFmt w:val="lowerLetter"/>
      <w:lvlText w:val="%5)"/>
      <w:lvlJc w:val="left"/>
      <w:pPr>
        <w:ind w:left="2861" w:hanging="480"/>
      </w:pPr>
    </w:lvl>
    <w:lvl w:ilvl="5">
      <w:start w:val="1"/>
      <w:numFmt w:val="lowerRoman"/>
      <w:lvlText w:val="%6."/>
      <w:lvlJc w:val="right"/>
      <w:pPr>
        <w:ind w:left="3341" w:hanging="480"/>
      </w:pPr>
    </w:lvl>
    <w:lvl w:ilvl="6">
      <w:start w:val="1"/>
      <w:numFmt w:val="decimal"/>
      <w:lvlText w:val="%7."/>
      <w:lvlJc w:val="left"/>
      <w:pPr>
        <w:ind w:left="3821" w:hanging="480"/>
      </w:pPr>
    </w:lvl>
    <w:lvl w:ilvl="7">
      <w:start w:val="1"/>
      <w:numFmt w:val="lowerLetter"/>
      <w:lvlText w:val="%8)"/>
      <w:lvlJc w:val="left"/>
      <w:pPr>
        <w:ind w:left="4301" w:hanging="480"/>
      </w:pPr>
    </w:lvl>
    <w:lvl w:ilvl="8">
      <w:start w:val="1"/>
      <w:numFmt w:val="lowerRoman"/>
      <w:lvlText w:val="%9."/>
      <w:lvlJc w:val="right"/>
      <w:pPr>
        <w:ind w:left="4781" w:hanging="480"/>
      </w:pPr>
    </w:lvl>
  </w:abstractNum>
  <w:abstractNum w:abstractNumId="2" w15:restartNumberingAfterBreak="0">
    <w:nsid w:val="02204144"/>
    <w:multiLevelType w:val="hybridMultilevel"/>
    <w:tmpl w:val="24AEAB04"/>
    <w:lvl w:ilvl="0" w:tplc="32568D44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E9CCB684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93E416D6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82E06624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D8F6FBB8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635EA0EE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52A86ED2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CADA82E4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E648F332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3EF1445"/>
    <w:multiLevelType w:val="hybridMultilevel"/>
    <w:tmpl w:val="0862EF6E"/>
    <w:lvl w:ilvl="0" w:tplc="916A1738">
      <w:start w:val="1"/>
      <w:numFmt w:val="decimal"/>
      <w:lvlText w:val="%1）"/>
      <w:lvlJc w:val="left"/>
      <w:pPr>
        <w:ind w:left="821" w:hanging="36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1421" w:hanging="480"/>
      </w:pPr>
    </w:lvl>
    <w:lvl w:ilvl="2" w:tplc="0409001B" w:tentative="1">
      <w:start w:val="1"/>
      <w:numFmt w:val="lowerRoman"/>
      <w:lvlText w:val="%3."/>
      <w:lvlJc w:val="right"/>
      <w:pPr>
        <w:ind w:left="1901" w:hanging="480"/>
      </w:pPr>
    </w:lvl>
    <w:lvl w:ilvl="3" w:tplc="0409000F" w:tentative="1">
      <w:start w:val="1"/>
      <w:numFmt w:val="decimal"/>
      <w:lvlText w:val="%4."/>
      <w:lvlJc w:val="left"/>
      <w:pPr>
        <w:ind w:left="2381" w:hanging="480"/>
      </w:pPr>
    </w:lvl>
    <w:lvl w:ilvl="4" w:tplc="04090019" w:tentative="1">
      <w:start w:val="1"/>
      <w:numFmt w:val="lowerLetter"/>
      <w:lvlText w:val="%5)"/>
      <w:lvlJc w:val="left"/>
      <w:pPr>
        <w:ind w:left="2861" w:hanging="480"/>
      </w:pPr>
    </w:lvl>
    <w:lvl w:ilvl="5" w:tplc="0409001B" w:tentative="1">
      <w:start w:val="1"/>
      <w:numFmt w:val="lowerRoman"/>
      <w:lvlText w:val="%6."/>
      <w:lvlJc w:val="right"/>
      <w:pPr>
        <w:ind w:left="3341" w:hanging="480"/>
      </w:pPr>
    </w:lvl>
    <w:lvl w:ilvl="6" w:tplc="0409000F" w:tentative="1">
      <w:start w:val="1"/>
      <w:numFmt w:val="decimal"/>
      <w:lvlText w:val="%7."/>
      <w:lvlJc w:val="left"/>
      <w:pPr>
        <w:ind w:left="3821" w:hanging="480"/>
      </w:pPr>
    </w:lvl>
    <w:lvl w:ilvl="7" w:tplc="04090019" w:tentative="1">
      <w:start w:val="1"/>
      <w:numFmt w:val="lowerLetter"/>
      <w:lvlText w:val="%8)"/>
      <w:lvlJc w:val="left"/>
      <w:pPr>
        <w:ind w:left="4301" w:hanging="480"/>
      </w:pPr>
    </w:lvl>
    <w:lvl w:ilvl="8" w:tplc="0409001B" w:tentative="1">
      <w:start w:val="1"/>
      <w:numFmt w:val="lowerRoman"/>
      <w:lvlText w:val="%9."/>
      <w:lvlJc w:val="right"/>
      <w:pPr>
        <w:ind w:left="4781" w:hanging="480"/>
      </w:pPr>
    </w:lvl>
  </w:abstractNum>
  <w:abstractNum w:abstractNumId="4" w15:restartNumberingAfterBreak="0">
    <w:nsid w:val="06C44F5D"/>
    <w:multiLevelType w:val="hybridMultilevel"/>
    <w:tmpl w:val="E40A0478"/>
    <w:lvl w:ilvl="0" w:tplc="EB26B366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EBB6465A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465ED2C0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CC1CF70E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8130904E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86D64A5A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EAA2E5CA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05C6F28E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F084783A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B7700A9"/>
    <w:multiLevelType w:val="hybridMultilevel"/>
    <w:tmpl w:val="EA020A48"/>
    <w:lvl w:ilvl="0" w:tplc="FA4863D2">
      <w:start w:val="1"/>
      <w:numFmt w:val="decimal"/>
      <w:lvlText w:val="(%1)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lowerLetter"/>
      <w:lvlText w:val="%5)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lowerLetter"/>
      <w:lvlText w:val="%8)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11773FF5"/>
    <w:multiLevelType w:val="hybridMultilevel"/>
    <w:tmpl w:val="7A16339E"/>
    <w:lvl w:ilvl="0" w:tplc="8C426CC6">
      <w:start w:val="1"/>
      <w:numFmt w:val="decimal"/>
      <w:lvlText w:val="%1）"/>
      <w:lvlJc w:val="left"/>
      <w:pPr>
        <w:ind w:left="821" w:hanging="36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1421" w:hanging="480"/>
      </w:pPr>
    </w:lvl>
    <w:lvl w:ilvl="2" w:tplc="0409001B" w:tentative="1">
      <w:start w:val="1"/>
      <w:numFmt w:val="lowerRoman"/>
      <w:lvlText w:val="%3."/>
      <w:lvlJc w:val="right"/>
      <w:pPr>
        <w:ind w:left="1901" w:hanging="480"/>
      </w:pPr>
    </w:lvl>
    <w:lvl w:ilvl="3" w:tplc="0409000F" w:tentative="1">
      <w:start w:val="1"/>
      <w:numFmt w:val="decimal"/>
      <w:lvlText w:val="%4."/>
      <w:lvlJc w:val="left"/>
      <w:pPr>
        <w:ind w:left="2381" w:hanging="480"/>
      </w:pPr>
    </w:lvl>
    <w:lvl w:ilvl="4" w:tplc="04090019" w:tentative="1">
      <w:start w:val="1"/>
      <w:numFmt w:val="lowerLetter"/>
      <w:lvlText w:val="%5)"/>
      <w:lvlJc w:val="left"/>
      <w:pPr>
        <w:ind w:left="2861" w:hanging="480"/>
      </w:pPr>
    </w:lvl>
    <w:lvl w:ilvl="5" w:tplc="0409001B" w:tentative="1">
      <w:start w:val="1"/>
      <w:numFmt w:val="lowerRoman"/>
      <w:lvlText w:val="%6."/>
      <w:lvlJc w:val="right"/>
      <w:pPr>
        <w:ind w:left="3341" w:hanging="480"/>
      </w:pPr>
    </w:lvl>
    <w:lvl w:ilvl="6" w:tplc="0409000F" w:tentative="1">
      <w:start w:val="1"/>
      <w:numFmt w:val="decimal"/>
      <w:lvlText w:val="%7."/>
      <w:lvlJc w:val="left"/>
      <w:pPr>
        <w:ind w:left="3821" w:hanging="480"/>
      </w:pPr>
    </w:lvl>
    <w:lvl w:ilvl="7" w:tplc="04090019" w:tentative="1">
      <w:start w:val="1"/>
      <w:numFmt w:val="lowerLetter"/>
      <w:lvlText w:val="%8)"/>
      <w:lvlJc w:val="left"/>
      <w:pPr>
        <w:ind w:left="4301" w:hanging="480"/>
      </w:pPr>
    </w:lvl>
    <w:lvl w:ilvl="8" w:tplc="0409001B" w:tentative="1">
      <w:start w:val="1"/>
      <w:numFmt w:val="lowerRoman"/>
      <w:lvlText w:val="%9."/>
      <w:lvlJc w:val="right"/>
      <w:pPr>
        <w:ind w:left="4781" w:hanging="480"/>
      </w:pPr>
    </w:lvl>
  </w:abstractNum>
  <w:abstractNum w:abstractNumId="7" w15:restartNumberingAfterBreak="0">
    <w:nsid w:val="133C1300"/>
    <w:multiLevelType w:val="hybridMultilevel"/>
    <w:tmpl w:val="416E8316"/>
    <w:lvl w:ilvl="0" w:tplc="6622BA94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359635B4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BC4646F2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FC427BE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13888A18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464064C6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865E39CE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FBAA53A4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22965C1A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0E06098"/>
    <w:multiLevelType w:val="hybridMultilevel"/>
    <w:tmpl w:val="C6BCAB4C"/>
    <w:lvl w:ilvl="0" w:tplc="FA4863D2">
      <w:start w:val="1"/>
      <w:numFmt w:val="decimal"/>
      <w:lvlText w:val="(%1)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lowerLetter"/>
      <w:lvlText w:val="%5)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lowerLetter"/>
      <w:lvlText w:val="%8)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22C81B7C"/>
    <w:multiLevelType w:val="hybridMultilevel"/>
    <w:tmpl w:val="19D2D0FC"/>
    <w:lvl w:ilvl="0" w:tplc="F7ECD706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8D9C0902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F41EA3C8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A9E2F434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11AC7436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A0C8B614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A172074C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496885BC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03DEA0A8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3BF0BDF"/>
    <w:multiLevelType w:val="hybridMultilevel"/>
    <w:tmpl w:val="50F4F9F6"/>
    <w:lvl w:ilvl="0" w:tplc="143EF8EA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C14CF56A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67C2018E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5C64A28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34B800D0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81BEFBDA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7CAC3A3A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1EB8C57E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FD08D80A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73F4E27"/>
    <w:multiLevelType w:val="hybridMultilevel"/>
    <w:tmpl w:val="2684EE90"/>
    <w:lvl w:ilvl="0" w:tplc="57363726">
      <w:start w:val="1"/>
      <w:numFmt w:val="decimal"/>
      <w:lvlText w:val="%1）"/>
      <w:lvlJc w:val="left"/>
      <w:pPr>
        <w:ind w:left="821" w:hanging="36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1421" w:hanging="480"/>
      </w:pPr>
    </w:lvl>
    <w:lvl w:ilvl="2" w:tplc="0409001B" w:tentative="1">
      <w:start w:val="1"/>
      <w:numFmt w:val="lowerRoman"/>
      <w:lvlText w:val="%3."/>
      <w:lvlJc w:val="right"/>
      <w:pPr>
        <w:ind w:left="1901" w:hanging="480"/>
      </w:pPr>
    </w:lvl>
    <w:lvl w:ilvl="3" w:tplc="0409000F" w:tentative="1">
      <w:start w:val="1"/>
      <w:numFmt w:val="decimal"/>
      <w:lvlText w:val="%4."/>
      <w:lvlJc w:val="left"/>
      <w:pPr>
        <w:ind w:left="2381" w:hanging="480"/>
      </w:pPr>
    </w:lvl>
    <w:lvl w:ilvl="4" w:tplc="04090019" w:tentative="1">
      <w:start w:val="1"/>
      <w:numFmt w:val="lowerLetter"/>
      <w:lvlText w:val="%5)"/>
      <w:lvlJc w:val="left"/>
      <w:pPr>
        <w:ind w:left="2861" w:hanging="480"/>
      </w:pPr>
    </w:lvl>
    <w:lvl w:ilvl="5" w:tplc="0409001B" w:tentative="1">
      <w:start w:val="1"/>
      <w:numFmt w:val="lowerRoman"/>
      <w:lvlText w:val="%6."/>
      <w:lvlJc w:val="right"/>
      <w:pPr>
        <w:ind w:left="3341" w:hanging="480"/>
      </w:pPr>
    </w:lvl>
    <w:lvl w:ilvl="6" w:tplc="0409000F" w:tentative="1">
      <w:start w:val="1"/>
      <w:numFmt w:val="decimal"/>
      <w:lvlText w:val="%7."/>
      <w:lvlJc w:val="left"/>
      <w:pPr>
        <w:ind w:left="3821" w:hanging="480"/>
      </w:pPr>
    </w:lvl>
    <w:lvl w:ilvl="7" w:tplc="04090019" w:tentative="1">
      <w:start w:val="1"/>
      <w:numFmt w:val="lowerLetter"/>
      <w:lvlText w:val="%8)"/>
      <w:lvlJc w:val="left"/>
      <w:pPr>
        <w:ind w:left="4301" w:hanging="480"/>
      </w:pPr>
    </w:lvl>
    <w:lvl w:ilvl="8" w:tplc="0409001B" w:tentative="1">
      <w:start w:val="1"/>
      <w:numFmt w:val="lowerRoman"/>
      <w:lvlText w:val="%9."/>
      <w:lvlJc w:val="right"/>
      <w:pPr>
        <w:ind w:left="4781" w:hanging="480"/>
      </w:pPr>
    </w:lvl>
  </w:abstractNum>
  <w:abstractNum w:abstractNumId="12" w15:restartNumberingAfterBreak="0">
    <w:nsid w:val="30AF5514"/>
    <w:multiLevelType w:val="multilevel"/>
    <w:tmpl w:val="30AF5514"/>
    <w:lvl w:ilvl="0">
      <w:start w:val="1"/>
      <w:numFmt w:val="decimal"/>
      <w:lvlText w:val="%1、"/>
      <w:lvlJc w:val="left"/>
      <w:pPr>
        <w:ind w:left="84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320" w:hanging="420"/>
      </w:pPr>
    </w:lvl>
    <w:lvl w:ilvl="2">
      <w:start w:val="1"/>
      <w:numFmt w:val="lowerRoman"/>
      <w:lvlText w:val="%3."/>
      <w:lvlJc w:val="right"/>
      <w:pPr>
        <w:ind w:left="1740" w:hanging="420"/>
      </w:pPr>
    </w:lvl>
    <w:lvl w:ilvl="3">
      <w:start w:val="1"/>
      <w:numFmt w:val="decimal"/>
      <w:lvlText w:val="%4."/>
      <w:lvlJc w:val="left"/>
      <w:pPr>
        <w:ind w:left="2160" w:hanging="420"/>
      </w:pPr>
    </w:lvl>
    <w:lvl w:ilvl="4">
      <w:start w:val="1"/>
      <w:numFmt w:val="lowerLetter"/>
      <w:lvlText w:val="%5)"/>
      <w:lvlJc w:val="left"/>
      <w:pPr>
        <w:ind w:left="2580" w:hanging="420"/>
      </w:pPr>
    </w:lvl>
    <w:lvl w:ilvl="5">
      <w:start w:val="1"/>
      <w:numFmt w:val="lowerRoman"/>
      <w:lvlText w:val="%6."/>
      <w:lvlJc w:val="right"/>
      <w:pPr>
        <w:ind w:left="3000" w:hanging="420"/>
      </w:pPr>
    </w:lvl>
    <w:lvl w:ilvl="6">
      <w:start w:val="1"/>
      <w:numFmt w:val="decimal"/>
      <w:lvlText w:val="%7."/>
      <w:lvlJc w:val="left"/>
      <w:pPr>
        <w:ind w:left="3420" w:hanging="420"/>
      </w:pPr>
    </w:lvl>
    <w:lvl w:ilvl="7">
      <w:start w:val="1"/>
      <w:numFmt w:val="lowerLetter"/>
      <w:lvlText w:val="%8)"/>
      <w:lvlJc w:val="left"/>
      <w:pPr>
        <w:ind w:left="3840" w:hanging="420"/>
      </w:pPr>
    </w:lvl>
    <w:lvl w:ilvl="8">
      <w:start w:val="1"/>
      <w:numFmt w:val="lowerRoman"/>
      <w:lvlText w:val="%9."/>
      <w:lvlJc w:val="right"/>
      <w:pPr>
        <w:ind w:left="4260" w:hanging="420"/>
      </w:pPr>
    </w:lvl>
  </w:abstractNum>
  <w:abstractNum w:abstractNumId="13" w15:restartNumberingAfterBreak="0">
    <w:nsid w:val="3F474726"/>
    <w:multiLevelType w:val="hybridMultilevel"/>
    <w:tmpl w:val="F36058C8"/>
    <w:lvl w:ilvl="0" w:tplc="F76A2FCC">
      <w:start w:val="3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4" w15:restartNumberingAfterBreak="0">
    <w:nsid w:val="41046C63"/>
    <w:multiLevelType w:val="hybridMultilevel"/>
    <w:tmpl w:val="A3EE6FD6"/>
    <w:lvl w:ilvl="0" w:tplc="C6068696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A0FA4472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272C09D8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E9921B7E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0D921A8A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83108574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8BE331A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ED7E9CF6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2F589212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BE0073A"/>
    <w:multiLevelType w:val="hybridMultilevel"/>
    <w:tmpl w:val="D61EC418"/>
    <w:lvl w:ilvl="0" w:tplc="FA4863D2">
      <w:start w:val="1"/>
      <w:numFmt w:val="decimal"/>
      <w:lvlText w:val="(%1)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lowerLetter"/>
      <w:lvlText w:val="%5)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lowerLetter"/>
      <w:lvlText w:val="%8)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6" w15:restartNumberingAfterBreak="0">
    <w:nsid w:val="563C1633"/>
    <w:multiLevelType w:val="hybridMultilevel"/>
    <w:tmpl w:val="D4CC4B1E"/>
    <w:lvl w:ilvl="0" w:tplc="1F2C3D1A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630C199C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F6DC21D8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D0FA8B84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E9BEA322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E84EA35A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33C0D3C6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D7568A04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5418A008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A151152"/>
    <w:multiLevelType w:val="singleLevel"/>
    <w:tmpl w:val="5A151152"/>
    <w:lvl w:ilvl="0">
      <w:start w:val="1"/>
      <w:numFmt w:val="decimal"/>
      <w:suff w:val="nothing"/>
      <w:lvlText w:val="（%1）"/>
      <w:lvlJc w:val="left"/>
    </w:lvl>
  </w:abstractNum>
  <w:abstractNum w:abstractNumId="18" w15:restartNumberingAfterBreak="0">
    <w:nsid w:val="5C463145"/>
    <w:multiLevelType w:val="hybridMultilevel"/>
    <w:tmpl w:val="CFCA1930"/>
    <w:lvl w:ilvl="0" w:tplc="A686174E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8F84299E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DB2818F2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67C9204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4D169D02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05200978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7CB0CC86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BFA802DA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E41C9F2C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CFA1F0E"/>
    <w:multiLevelType w:val="hybridMultilevel"/>
    <w:tmpl w:val="1346B37C"/>
    <w:lvl w:ilvl="0" w:tplc="0ABE5B88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F4A616CA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A9C68124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BF68AFF0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37FE6DBE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B4A24A02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BD18C7D8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53FC8076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BD48143E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135078B"/>
    <w:multiLevelType w:val="hybridMultilevel"/>
    <w:tmpl w:val="3580F2BE"/>
    <w:lvl w:ilvl="0" w:tplc="E788E21C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EBA2614E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63EA6FDE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F466B8C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540CD436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B690510C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8B3261F4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65E09D78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9EB0544E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600540C"/>
    <w:multiLevelType w:val="hybridMultilevel"/>
    <w:tmpl w:val="2A08EB18"/>
    <w:lvl w:ilvl="0" w:tplc="BB5C387E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C3A4141E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47306FB0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50B0EC4A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9906FBE6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339EC4A8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63439F0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102A86C4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7C38EDAC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B097CD7"/>
    <w:multiLevelType w:val="hybridMultilevel"/>
    <w:tmpl w:val="26526E0C"/>
    <w:lvl w:ilvl="0" w:tplc="426C85DE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21EE08EE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E02EE0F4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9A4AA6A0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E2CAF8F6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774AB2E0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C6E86CD8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30687212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8AF8D5FA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BFF568A"/>
    <w:multiLevelType w:val="hybridMultilevel"/>
    <w:tmpl w:val="427E4092"/>
    <w:lvl w:ilvl="0" w:tplc="8460C08C">
      <w:start w:val="1"/>
      <w:numFmt w:val="decimal"/>
      <w:lvlText w:val="%1、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320" w:hanging="420"/>
      </w:pPr>
    </w:lvl>
    <w:lvl w:ilvl="2" w:tplc="0409001B" w:tentative="1">
      <w:start w:val="1"/>
      <w:numFmt w:val="lowerRoman"/>
      <w:lvlText w:val="%3."/>
      <w:lvlJc w:val="righ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9" w:tentative="1">
      <w:start w:val="1"/>
      <w:numFmt w:val="lowerLetter"/>
      <w:lvlText w:val="%5)"/>
      <w:lvlJc w:val="left"/>
      <w:pPr>
        <w:ind w:left="2580" w:hanging="420"/>
      </w:pPr>
    </w:lvl>
    <w:lvl w:ilvl="5" w:tplc="0409001B" w:tentative="1">
      <w:start w:val="1"/>
      <w:numFmt w:val="lowerRoman"/>
      <w:lvlText w:val="%6."/>
      <w:lvlJc w:val="righ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9" w:tentative="1">
      <w:start w:val="1"/>
      <w:numFmt w:val="lowerLetter"/>
      <w:lvlText w:val="%8)"/>
      <w:lvlJc w:val="left"/>
      <w:pPr>
        <w:ind w:left="3840" w:hanging="420"/>
      </w:pPr>
    </w:lvl>
    <w:lvl w:ilvl="8" w:tplc="0409001B" w:tentative="1">
      <w:start w:val="1"/>
      <w:numFmt w:val="lowerRoman"/>
      <w:lvlText w:val="%9."/>
      <w:lvlJc w:val="right"/>
      <w:pPr>
        <w:ind w:left="4260" w:hanging="420"/>
      </w:pPr>
    </w:lvl>
  </w:abstractNum>
  <w:abstractNum w:abstractNumId="24" w15:restartNumberingAfterBreak="0">
    <w:nsid w:val="77467E9D"/>
    <w:multiLevelType w:val="hybridMultilevel"/>
    <w:tmpl w:val="42BC8A18"/>
    <w:lvl w:ilvl="0" w:tplc="FA4863D2">
      <w:start w:val="1"/>
      <w:numFmt w:val="decimal"/>
      <w:lvlText w:val="(%1)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lowerLetter"/>
      <w:lvlText w:val="%5)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lowerLetter"/>
      <w:lvlText w:val="%8)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5" w15:restartNumberingAfterBreak="0">
    <w:nsid w:val="7EFF4144"/>
    <w:multiLevelType w:val="hybridMultilevel"/>
    <w:tmpl w:val="0492B558"/>
    <w:lvl w:ilvl="0" w:tplc="1A441EF6">
      <w:start w:val="1"/>
      <w:numFmt w:val="decimal"/>
      <w:lvlText w:val="%1）"/>
      <w:lvlJc w:val="left"/>
      <w:pPr>
        <w:ind w:left="821" w:hanging="36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1421" w:hanging="480"/>
      </w:pPr>
    </w:lvl>
    <w:lvl w:ilvl="2" w:tplc="0409001B" w:tentative="1">
      <w:start w:val="1"/>
      <w:numFmt w:val="lowerRoman"/>
      <w:lvlText w:val="%3."/>
      <w:lvlJc w:val="right"/>
      <w:pPr>
        <w:ind w:left="1901" w:hanging="480"/>
      </w:pPr>
    </w:lvl>
    <w:lvl w:ilvl="3" w:tplc="0409000F" w:tentative="1">
      <w:start w:val="1"/>
      <w:numFmt w:val="decimal"/>
      <w:lvlText w:val="%4."/>
      <w:lvlJc w:val="left"/>
      <w:pPr>
        <w:ind w:left="2381" w:hanging="480"/>
      </w:pPr>
    </w:lvl>
    <w:lvl w:ilvl="4" w:tplc="04090019" w:tentative="1">
      <w:start w:val="1"/>
      <w:numFmt w:val="lowerLetter"/>
      <w:lvlText w:val="%5)"/>
      <w:lvlJc w:val="left"/>
      <w:pPr>
        <w:ind w:left="2861" w:hanging="480"/>
      </w:pPr>
    </w:lvl>
    <w:lvl w:ilvl="5" w:tplc="0409001B" w:tentative="1">
      <w:start w:val="1"/>
      <w:numFmt w:val="lowerRoman"/>
      <w:lvlText w:val="%6."/>
      <w:lvlJc w:val="right"/>
      <w:pPr>
        <w:ind w:left="3341" w:hanging="480"/>
      </w:pPr>
    </w:lvl>
    <w:lvl w:ilvl="6" w:tplc="0409000F" w:tentative="1">
      <w:start w:val="1"/>
      <w:numFmt w:val="decimal"/>
      <w:lvlText w:val="%7."/>
      <w:lvlJc w:val="left"/>
      <w:pPr>
        <w:ind w:left="3821" w:hanging="480"/>
      </w:pPr>
    </w:lvl>
    <w:lvl w:ilvl="7" w:tplc="04090019" w:tentative="1">
      <w:start w:val="1"/>
      <w:numFmt w:val="lowerLetter"/>
      <w:lvlText w:val="%8)"/>
      <w:lvlJc w:val="left"/>
      <w:pPr>
        <w:ind w:left="4301" w:hanging="480"/>
      </w:pPr>
    </w:lvl>
    <w:lvl w:ilvl="8" w:tplc="0409001B" w:tentative="1">
      <w:start w:val="1"/>
      <w:numFmt w:val="lowerRoman"/>
      <w:lvlText w:val="%9."/>
      <w:lvlJc w:val="right"/>
      <w:pPr>
        <w:ind w:left="4781" w:hanging="480"/>
      </w:pPr>
    </w:lvl>
  </w:abstractNum>
  <w:abstractNum w:abstractNumId="26" w15:restartNumberingAfterBreak="0">
    <w:nsid w:val="7F7DECA2"/>
    <w:multiLevelType w:val="multilevel"/>
    <w:tmpl w:val="7F7DECA2"/>
    <w:lvl w:ilvl="0">
      <w:start w:val="1"/>
      <w:numFmt w:val="decimal"/>
      <w:suff w:val="nothing"/>
      <w:lvlText w:val="%1"/>
      <w:lvlJc w:val="left"/>
      <w:pPr>
        <w:ind w:left="0" w:firstLine="0"/>
      </w:pPr>
      <w:rPr>
        <w:rFonts w:ascii="Times New Roman" w:hAnsi="Times New Roman" w:cs="Times New Roman" w:hint="default"/>
        <w:sz w:val="21"/>
        <w:szCs w:val="21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num w:numId="1" w16cid:durableId="1972008979">
    <w:abstractNumId w:val="17"/>
  </w:num>
  <w:num w:numId="2" w16cid:durableId="2027365823">
    <w:abstractNumId w:val="12"/>
  </w:num>
  <w:num w:numId="3" w16cid:durableId="1816414616">
    <w:abstractNumId w:val="23"/>
  </w:num>
  <w:num w:numId="4" w16cid:durableId="2104104762">
    <w:abstractNumId w:val="13"/>
  </w:num>
  <w:num w:numId="5" w16cid:durableId="1820341649">
    <w:abstractNumId w:val="16"/>
  </w:num>
  <w:num w:numId="6" w16cid:durableId="988171151">
    <w:abstractNumId w:val="21"/>
  </w:num>
  <w:num w:numId="7" w16cid:durableId="1861310424">
    <w:abstractNumId w:val="10"/>
  </w:num>
  <w:num w:numId="8" w16cid:durableId="509875563">
    <w:abstractNumId w:val="24"/>
  </w:num>
  <w:num w:numId="9" w16cid:durableId="871461693">
    <w:abstractNumId w:val="8"/>
  </w:num>
  <w:num w:numId="10" w16cid:durableId="1814836403">
    <w:abstractNumId w:val="15"/>
  </w:num>
  <w:num w:numId="11" w16cid:durableId="517698332">
    <w:abstractNumId w:val="18"/>
  </w:num>
  <w:num w:numId="12" w16cid:durableId="2100249031">
    <w:abstractNumId w:val="5"/>
  </w:num>
  <w:num w:numId="13" w16cid:durableId="138613016">
    <w:abstractNumId w:val="20"/>
  </w:num>
  <w:num w:numId="14" w16cid:durableId="2031179725">
    <w:abstractNumId w:val="7"/>
  </w:num>
  <w:num w:numId="15" w16cid:durableId="1505586190">
    <w:abstractNumId w:val="19"/>
  </w:num>
  <w:num w:numId="16" w16cid:durableId="382212336">
    <w:abstractNumId w:val="14"/>
  </w:num>
  <w:num w:numId="17" w16cid:durableId="1312171337">
    <w:abstractNumId w:val="9"/>
  </w:num>
  <w:num w:numId="18" w16cid:durableId="676343369">
    <w:abstractNumId w:val="2"/>
  </w:num>
  <w:num w:numId="19" w16cid:durableId="834803733">
    <w:abstractNumId w:val="4"/>
  </w:num>
  <w:num w:numId="20" w16cid:durableId="770055770">
    <w:abstractNumId w:val="22"/>
  </w:num>
  <w:num w:numId="21" w16cid:durableId="394007813">
    <w:abstractNumId w:val="11"/>
  </w:num>
  <w:num w:numId="22" w16cid:durableId="2062749804">
    <w:abstractNumId w:val="3"/>
  </w:num>
  <w:num w:numId="23" w16cid:durableId="2103795380">
    <w:abstractNumId w:val="25"/>
  </w:num>
  <w:num w:numId="24" w16cid:durableId="1228296194">
    <w:abstractNumId w:val="6"/>
  </w:num>
  <w:num w:numId="25" w16cid:durableId="1174758904">
    <w:abstractNumId w:val="1"/>
  </w:num>
  <w:num w:numId="26" w16cid:durableId="523716152">
    <w:abstractNumId w:val="0"/>
  </w:num>
  <w:num w:numId="27" w16cid:durableId="476187087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5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2"/>
  <w:displayVerticalDrawingGridEvery w:val="2"/>
  <w:noPunctuationKerning/>
  <w:characterSpacingControl w:val="compressPunctuation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C7C8B"/>
    <w:rsid w:val="000033B2"/>
    <w:rsid w:val="00003E67"/>
    <w:rsid w:val="000047E0"/>
    <w:rsid w:val="00005571"/>
    <w:rsid w:val="000120CD"/>
    <w:rsid w:val="0001277A"/>
    <w:rsid w:val="000131D0"/>
    <w:rsid w:val="00016EE5"/>
    <w:rsid w:val="00025632"/>
    <w:rsid w:val="00030586"/>
    <w:rsid w:val="00030AA6"/>
    <w:rsid w:val="00032717"/>
    <w:rsid w:val="000367B2"/>
    <w:rsid w:val="00041146"/>
    <w:rsid w:val="0004149F"/>
    <w:rsid w:val="00047E36"/>
    <w:rsid w:val="000538F2"/>
    <w:rsid w:val="00057E37"/>
    <w:rsid w:val="000651C6"/>
    <w:rsid w:val="000702EE"/>
    <w:rsid w:val="00071C87"/>
    <w:rsid w:val="00081075"/>
    <w:rsid w:val="0008457F"/>
    <w:rsid w:val="00086BF2"/>
    <w:rsid w:val="00092659"/>
    <w:rsid w:val="000956DB"/>
    <w:rsid w:val="000965C6"/>
    <w:rsid w:val="000966B7"/>
    <w:rsid w:val="000A03AB"/>
    <w:rsid w:val="000A5306"/>
    <w:rsid w:val="000B16F9"/>
    <w:rsid w:val="000B6578"/>
    <w:rsid w:val="000B71B0"/>
    <w:rsid w:val="000D2496"/>
    <w:rsid w:val="000E00E7"/>
    <w:rsid w:val="000E260C"/>
    <w:rsid w:val="000E3947"/>
    <w:rsid w:val="000E3D10"/>
    <w:rsid w:val="000E46D2"/>
    <w:rsid w:val="000F21BA"/>
    <w:rsid w:val="000F25CC"/>
    <w:rsid w:val="000F6F82"/>
    <w:rsid w:val="00102C96"/>
    <w:rsid w:val="0010351F"/>
    <w:rsid w:val="001043FD"/>
    <w:rsid w:val="00107509"/>
    <w:rsid w:val="00107CDC"/>
    <w:rsid w:val="001103EC"/>
    <w:rsid w:val="001126ED"/>
    <w:rsid w:val="00112E3D"/>
    <w:rsid w:val="00114005"/>
    <w:rsid w:val="00115766"/>
    <w:rsid w:val="00115933"/>
    <w:rsid w:val="0011783C"/>
    <w:rsid w:val="001206B2"/>
    <w:rsid w:val="001244F1"/>
    <w:rsid w:val="00125DAC"/>
    <w:rsid w:val="00126367"/>
    <w:rsid w:val="00126579"/>
    <w:rsid w:val="00126B71"/>
    <w:rsid w:val="00133A70"/>
    <w:rsid w:val="00137F62"/>
    <w:rsid w:val="00143A8C"/>
    <w:rsid w:val="0015126D"/>
    <w:rsid w:val="00151BB5"/>
    <w:rsid w:val="00152719"/>
    <w:rsid w:val="00153BAF"/>
    <w:rsid w:val="001554EA"/>
    <w:rsid w:val="00170947"/>
    <w:rsid w:val="001722C7"/>
    <w:rsid w:val="00172A7A"/>
    <w:rsid w:val="00176461"/>
    <w:rsid w:val="0018520D"/>
    <w:rsid w:val="00186D25"/>
    <w:rsid w:val="001909B6"/>
    <w:rsid w:val="00190DFC"/>
    <w:rsid w:val="0019176A"/>
    <w:rsid w:val="00193256"/>
    <w:rsid w:val="00195CDD"/>
    <w:rsid w:val="001A046A"/>
    <w:rsid w:val="001A16CF"/>
    <w:rsid w:val="001A1F3A"/>
    <w:rsid w:val="001A2067"/>
    <w:rsid w:val="001A30B4"/>
    <w:rsid w:val="001A4218"/>
    <w:rsid w:val="001A427E"/>
    <w:rsid w:val="001A791C"/>
    <w:rsid w:val="001B2902"/>
    <w:rsid w:val="001B2C51"/>
    <w:rsid w:val="001B4BF2"/>
    <w:rsid w:val="001B66B3"/>
    <w:rsid w:val="001B7697"/>
    <w:rsid w:val="001B79CE"/>
    <w:rsid w:val="001C3204"/>
    <w:rsid w:val="001D0C68"/>
    <w:rsid w:val="001D3627"/>
    <w:rsid w:val="001D6835"/>
    <w:rsid w:val="001D6C59"/>
    <w:rsid w:val="001D72AD"/>
    <w:rsid w:val="001E0AA9"/>
    <w:rsid w:val="001E35DC"/>
    <w:rsid w:val="001E636D"/>
    <w:rsid w:val="001E674E"/>
    <w:rsid w:val="001F5AA1"/>
    <w:rsid w:val="002015FC"/>
    <w:rsid w:val="0020465A"/>
    <w:rsid w:val="002069BF"/>
    <w:rsid w:val="00207B1E"/>
    <w:rsid w:val="002141AB"/>
    <w:rsid w:val="00216415"/>
    <w:rsid w:val="00222B7A"/>
    <w:rsid w:val="00224FAF"/>
    <w:rsid w:val="00227D46"/>
    <w:rsid w:val="00227ECC"/>
    <w:rsid w:val="00233086"/>
    <w:rsid w:val="00236236"/>
    <w:rsid w:val="00237FB8"/>
    <w:rsid w:val="00240AE0"/>
    <w:rsid w:val="00243549"/>
    <w:rsid w:val="00243960"/>
    <w:rsid w:val="00244D2F"/>
    <w:rsid w:val="00246EB1"/>
    <w:rsid w:val="0025432E"/>
    <w:rsid w:val="002548B9"/>
    <w:rsid w:val="00256327"/>
    <w:rsid w:val="002569CF"/>
    <w:rsid w:val="00260872"/>
    <w:rsid w:val="00261CD2"/>
    <w:rsid w:val="00264CE5"/>
    <w:rsid w:val="00271632"/>
    <w:rsid w:val="00271F56"/>
    <w:rsid w:val="002724DF"/>
    <w:rsid w:val="00272BCD"/>
    <w:rsid w:val="002735E8"/>
    <w:rsid w:val="00273869"/>
    <w:rsid w:val="00276FD9"/>
    <w:rsid w:val="002770E0"/>
    <w:rsid w:val="00280C1B"/>
    <w:rsid w:val="00282170"/>
    <w:rsid w:val="002922E1"/>
    <w:rsid w:val="002947C2"/>
    <w:rsid w:val="002A2F40"/>
    <w:rsid w:val="002A540A"/>
    <w:rsid w:val="002A6DDC"/>
    <w:rsid w:val="002A7478"/>
    <w:rsid w:val="002B0FC3"/>
    <w:rsid w:val="002B1741"/>
    <w:rsid w:val="002B55A4"/>
    <w:rsid w:val="002C2C23"/>
    <w:rsid w:val="002C75CF"/>
    <w:rsid w:val="002D11C8"/>
    <w:rsid w:val="002D2191"/>
    <w:rsid w:val="002D30DE"/>
    <w:rsid w:val="002D5D60"/>
    <w:rsid w:val="002D6236"/>
    <w:rsid w:val="002D693D"/>
    <w:rsid w:val="002D741E"/>
    <w:rsid w:val="002D790C"/>
    <w:rsid w:val="002E3485"/>
    <w:rsid w:val="002E5942"/>
    <w:rsid w:val="002F0E59"/>
    <w:rsid w:val="002F4FAA"/>
    <w:rsid w:val="003033EE"/>
    <w:rsid w:val="003120AD"/>
    <w:rsid w:val="0031247A"/>
    <w:rsid w:val="003124C9"/>
    <w:rsid w:val="00312A60"/>
    <w:rsid w:val="003149CE"/>
    <w:rsid w:val="0031514B"/>
    <w:rsid w:val="003153E8"/>
    <w:rsid w:val="003165EA"/>
    <w:rsid w:val="003166FE"/>
    <w:rsid w:val="00316746"/>
    <w:rsid w:val="00320BDB"/>
    <w:rsid w:val="00320C32"/>
    <w:rsid w:val="003226A1"/>
    <w:rsid w:val="00323060"/>
    <w:rsid w:val="003250A3"/>
    <w:rsid w:val="003304BE"/>
    <w:rsid w:val="0033649A"/>
    <w:rsid w:val="003374FC"/>
    <w:rsid w:val="003412FD"/>
    <w:rsid w:val="00341F7E"/>
    <w:rsid w:val="00344EB6"/>
    <w:rsid w:val="00345D66"/>
    <w:rsid w:val="0034696C"/>
    <w:rsid w:val="00350605"/>
    <w:rsid w:val="00353A5A"/>
    <w:rsid w:val="00353C15"/>
    <w:rsid w:val="00354531"/>
    <w:rsid w:val="00360B85"/>
    <w:rsid w:val="00361421"/>
    <w:rsid w:val="003702BE"/>
    <w:rsid w:val="0038124C"/>
    <w:rsid w:val="00381D0D"/>
    <w:rsid w:val="00383526"/>
    <w:rsid w:val="003918DF"/>
    <w:rsid w:val="00392354"/>
    <w:rsid w:val="0039327D"/>
    <w:rsid w:val="003953B3"/>
    <w:rsid w:val="003967F3"/>
    <w:rsid w:val="003A061D"/>
    <w:rsid w:val="003A22A5"/>
    <w:rsid w:val="003A4452"/>
    <w:rsid w:val="003A5DFC"/>
    <w:rsid w:val="003B2653"/>
    <w:rsid w:val="003B467B"/>
    <w:rsid w:val="003B7887"/>
    <w:rsid w:val="003D1DC8"/>
    <w:rsid w:val="003D26C1"/>
    <w:rsid w:val="003D54F6"/>
    <w:rsid w:val="003E03B5"/>
    <w:rsid w:val="003E336D"/>
    <w:rsid w:val="003F13B1"/>
    <w:rsid w:val="003F13BA"/>
    <w:rsid w:val="003F4C21"/>
    <w:rsid w:val="00401732"/>
    <w:rsid w:val="00401F43"/>
    <w:rsid w:val="00403D65"/>
    <w:rsid w:val="00414806"/>
    <w:rsid w:val="004171AE"/>
    <w:rsid w:val="00426546"/>
    <w:rsid w:val="00431FCE"/>
    <w:rsid w:val="00432499"/>
    <w:rsid w:val="00433E90"/>
    <w:rsid w:val="00436B6F"/>
    <w:rsid w:val="00437CEF"/>
    <w:rsid w:val="00441887"/>
    <w:rsid w:val="0044530A"/>
    <w:rsid w:val="00446771"/>
    <w:rsid w:val="0044695C"/>
    <w:rsid w:val="00452A1E"/>
    <w:rsid w:val="004626D1"/>
    <w:rsid w:val="0046396D"/>
    <w:rsid w:val="00470A34"/>
    <w:rsid w:val="00472D31"/>
    <w:rsid w:val="004730B7"/>
    <w:rsid w:val="004735A8"/>
    <w:rsid w:val="004814CD"/>
    <w:rsid w:val="00483520"/>
    <w:rsid w:val="004835A0"/>
    <w:rsid w:val="004877AE"/>
    <w:rsid w:val="004922F2"/>
    <w:rsid w:val="00495388"/>
    <w:rsid w:val="00497167"/>
    <w:rsid w:val="004A1C0D"/>
    <w:rsid w:val="004A319C"/>
    <w:rsid w:val="004B20A9"/>
    <w:rsid w:val="004B66CD"/>
    <w:rsid w:val="004B7C38"/>
    <w:rsid w:val="004C066A"/>
    <w:rsid w:val="004C17B7"/>
    <w:rsid w:val="004C3911"/>
    <w:rsid w:val="004C42A6"/>
    <w:rsid w:val="004C452D"/>
    <w:rsid w:val="004C50F3"/>
    <w:rsid w:val="004C7115"/>
    <w:rsid w:val="004D0200"/>
    <w:rsid w:val="004D342C"/>
    <w:rsid w:val="004E3C64"/>
    <w:rsid w:val="004E496B"/>
    <w:rsid w:val="004F0E93"/>
    <w:rsid w:val="004F1AB6"/>
    <w:rsid w:val="004F3D39"/>
    <w:rsid w:val="004F59E0"/>
    <w:rsid w:val="004F686A"/>
    <w:rsid w:val="005033CB"/>
    <w:rsid w:val="005036BE"/>
    <w:rsid w:val="005056E7"/>
    <w:rsid w:val="00510C4F"/>
    <w:rsid w:val="00517AEB"/>
    <w:rsid w:val="005214E8"/>
    <w:rsid w:val="0052175E"/>
    <w:rsid w:val="00522A4D"/>
    <w:rsid w:val="00527FC7"/>
    <w:rsid w:val="00540400"/>
    <w:rsid w:val="00542A7D"/>
    <w:rsid w:val="0054328A"/>
    <w:rsid w:val="005477AF"/>
    <w:rsid w:val="00551373"/>
    <w:rsid w:val="00554C92"/>
    <w:rsid w:val="00556BEE"/>
    <w:rsid w:val="00564848"/>
    <w:rsid w:val="005668F3"/>
    <w:rsid w:val="0056696F"/>
    <w:rsid w:val="00566A84"/>
    <w:rsid w:val="005720C5"/>
    <w:rsid w:val="0057238D"/>
    <w:rsid w:val="00573A84"/>
    <w:rsid w:val="0058441A"/>
    <w:rsid w:val="00584BDC"/>
    <w:rsid w:val="00586F90"/>
    <w:rsid w:val="0058727D"/>
    <w:rsid w:val="005878CE"/>
    <w:rsid w:val="00591F6D"/>
    <w:rsid w:val="00593227"/>
    <w:rsid w:val="00597742"/>
    <w:rsid w:val="005A0578"/>
    <w:rsid w:val="005A1970"/>
    <w:rsid w:val="005A22A8"/>
    <w:rsid w:val="005A5AE7"/>
    <w:rsid w:val="005A66E0"/>
    <w:rsid w:val="005B2E16"/>
    <w:rsid w:val="005B4888"/>
    <w:rsid w:val="005C7412"/>
    <w:rsid w:val="005C75D0"/>
    <w:rsid w:val="005D2987"/>
    <w:rsid w:val="005E120A"/>
    <w:rsid w:val="005E3F61"/>
    <w:rsid w:val="005E6F08"/>
    <w:rsid w:val="005F03B1"/>
    <w:rsid w:val="005F2EE9"/>
    <w:rsid w:val="005F394C"/>
    <w:rsid w:val="00602E35"/>
    <w:rsid w:val="00605226"/>
    <w:rsid w:val="00614CAA"/>
    <w:rsid w:val="0061764C"/>
    <w:rsid w:val="006230DF"/>
    <w:rsid w:val="00627F20"/>
    <w:rsid w:val="00631931"/>
    <w:rsid w:val="00633257"/>
    <w:rsid w:val="00634B14"/>
    <w:rsid w:val="0064079D"/>
    <w:rsid w:val="0064327A"/>
    <w:rsid w:val="00643A69"/>
    <w:rsid w:val="00644649"/>
    <w:rsid w:val="00644C96"/>
    <w:rsid w:val="00647573"/>
    <w:rsid w:val="0065475B"/>
    <w:rsid w:val="00666924"/>
    <w:rsid w:val="00666D81"/>
    <w:rsid w:val="00670002"/>
    <w:rsid w:val="00673849"/>
    <w:rsid w:val="0067507F"/>
    <w:rsid w:val="00675F3C"/>
    <w:rsid w:val="006805DB"/>
    <w:rsid w:val="00685B92"/>
    <w:rsid w:val="00692B68"/>
    <w:rsid w:val="006945F1"/>
    <w:rsid w:val="006A2D46"/>
    <w:rsid w:val="006A694D"/>
    <w:rsid w:val="006A69FD"/>
    <w:rsid w:val="006B14AC"/>
    <w:rsid w:val="006B2D23"/>
    <w:rsid w:val="006B4E9F"/>
    <w:rsid w:val="006B6E1C"/>
    <w:rsid w:val="006C0147"/>
    <w:rsid w:val="006C26D4"/>
    <w:rsid w:val="006C2AD4"/>
    <w:rsid w:val="006C3634"/>
    <w:rsid w:val="006C51F9"/>
    <w:rsid w:val="006C5789"/>
    <w:rsid w:val="006C7D6B"/>
    <w:rsid w:val="006D028F"/>
    <w:rsid w:val="006D28CA"/>
    <w:rsid w:val="006D2B6D"/>
    <w:rsid w:val="006D53F8"/>
    <w:rsid w:val="006D65C7"/>
    <w:rsid w:val="006E113B"/>
    <w:rsid w:val="006E711F"/>
    <w:rsid w:val="006F3BBD"/>
    <w:rsid w:val="006F6D47"/>
    <w:rsid w:val="0070062F"/>
    <w:rsid w:val="00702B7E"/>
    <w:rsid w:val="00702D8B"/>
    <w:rsid w:val="007063FC"/>
    <w:rsid w:val="00707F31"/>
    <w:rsid w:val="0071099A"/>
    <w:rsid w:val="007237C4"/>
    <w:rsid w:val="00727022"/>
    <w:rsid w:val="0073100E"/>
    <w:rsid w:val="007310F4"/>
    <w:rsid w:val="00731E9C"/>
    <w:rsid w:val="00732EDC"/>
    <w:rsid w:val="007366AB"/>
    <w:rsid w:val="00740703"/>
    <w:rsid w:val="00745D8E"/>
    <w:rsid w:val="00747BCD"/>
    <w:rsid w:val="007502B0"/>
    <w:rsid w:val="007609FD"/>
    <w:rsid w:val="007613EC"/>
    <w:rsid w:val="00762205"/>
    <w:rsid w:val="007727F5"/>
    <w:rsid w:val="00775FFB"/>
    <w:rsid w:val="00780195"/>
    <w:rsid w:val="007820BD"/>
    <w:rsid w:val="0078261D"/>
    <w:rsid w:val="0078432E"/>
    <w:rsid w:val="00786D2F"/>
    <w:rsid w:val="007939B2"/>
    <w:rsid w:val="007947FA"/>
    <w:rsid w:val="007A2819"/>
    <w:rsid w:val="007A3399"/>
    <w:rsid w:val="007A6BCA"/>
    <w:rsid w:val="007B323B"/>
    <w:rsid w:val="007B511C"/>
    <w:rsid w:val="007C01DB"/>
    <w:rsid w:val="007C160C"/>
    <w:rsid w:val="007C1C5E"/>
    <w:rsid w:val="007C2571"/>
    <w:rsid w:val="007C2778"/>
    <w:rsid w:val="007C3B17"/>
    <w:rsid w:val="007C5C86"/>
    <w:rsid w:val="007D03F0"/>
    <w:rsid w:val="007D1430"/>
    <w:rsid w:val="007D1AE7"/>
    <w:rsid w:val="007D28B1"/>
    <w:rsid w:val="007D3C49"/>
    <w:rsid w:val="007D3F1D"/>
    <w:rsid w:val="007D551E"/>
    <w:rsid w:val="007E009A"/>
    <w:rsid w:val="007E0265"/>
    <w:rsid w:val="007E0498"/>
    <w:rsid w:val="007E37EB"/>
    <w:rsid w:val="007E5351"/>
    <w:rsid w:val="007E79FA"/>
    <w:rsid w:val="007F25E5"/>
    <w:rsid w:val="007F3D49"/>
    <w:rsid w:val="007F5BDE"/>
    <w:rsid w:val="00801849"/>
    <w:rsid w:val="0080695C"/>
    <w:rsid w:val="00807673"/>
    <w:rsid w:val="00807BB1"/>
    <w:rsid w:val="008106E9"/>
    <w:rsid w:val="0081165C"/>
    <w:rsid w:val="00814CF3"/>
    <w:rsid w:val="00815686"/>
    <w:rsid w:val="00817F8C"/>
    <w:rsid w:val="008209C2"/>
    <w:rsid w:val="0082211B"/>
    <w:rsid w:val="0082432C"/>
    <w:rsid w:val="0083086A"/>
    <w:rsid w:val="008316FC"/>
    <w:rsid w:val="00831D12"/>
    <w:rsid w:val="00837F43"/>
    <w:rsid w:val="00843134"/>
    <w:rsid w:val="00843B4E"/>
    <w:rsid w:val="00843E3A"/>
    <w:rsid w:val="00846247"/>
    <w:rsid w:val="0084692C"/>
    <w:rsid w:val="008545D8"/>
    <w:rsid w:val="00857313"/>
    <w:rsid w:val="00861102"/>
    <w:rsid w:val="00864A8D"/>
    <w:rsid w:val="00870C8C"/>
    <w:rsid w:val="00874107"/>
    <w:rsid w:val="008804D3"/>
    <w:rsid w:val="008809D0"/>
    <w:rsid w:val="00880FE3"/>
    <w:rsid w:val="00883001"/>
    <w:rsid w:val="008857D4"/>
    <w:rsid w:val="00885888"/>
    <w:rsid w:val="00885EE3"/>
    <w:rsid w:val="00886118"/>
    <w:rsid w:val="00886371"/>
    <w:rsid w:val="00886409"/>
    <w:rsid w:val="00893584"/>
    <w:rsid w:val="008944F5"/>
    <w:rsid w:val="008A0C18"/>
    <w:rsid w:val="008A4C44"/>
    <w:rsid w:val="008B06FA"/>
    <w:rsid w:val="008B10A5"/>
    <w:rsid w:val="008B1395"/>
    <w:rsid w:val="008B15EC"/>
    <w:rsid w:val="008B52BF"/>
    <w:rsid w:val="008B7862"/>
    <w:rsid w:val="008C4880"/>
    <w:rsid w:val="008C4B7E"/>
    <w:rsid w:val="008D138F"/>
    <w:rsid w:val="008D1F73"/>
    <w:rsid w:val="008D2ADD"/>
    <w:rsid w:val="008D4CF2"/>
    <w:rsid w:val="008D5659"/>
    <w:rsid w:val="008E0439"/>
    <w:rsid w:val="008E0B1D"/>
    <w:rsid w:val="008E0EE4"/>
    <w:rsid w:val="008E1C86"/>
    <w:rsid w:val="008E5740"/>
    <w:rsid w:val="008E76E8"/>
    <w:rsid w:val="008E7A0D"/>
    <w:rsid w:val="008F0E9C"/>
    <w:rsid w:val="008F1EBC"/>
    <w:rsid w:val="008F2041"/>
    <w:rsid w:val="008F471B"/>
    <w:rsid w:val="008F4741"/>
    <w:rsid w:val="00904535"/>
    <w:rsid w:val="00904A6E"/>
    <w:rsid w:val="00910CD8"/>
    <w:rsid w:val="009134EC"/>
    <w:rsid w:val="009207F4"/>
    <w:rsid w:val="00927230"/>
    <w:rsid w:val="00927359"/>
    <w:rsid w:val="009275E9"/>
    <w:rsid w:val="009346A7"/>
    <w:rsid w:val="00934C56"/>
    <w:rsid w:val="00950061"/>
    <w:rsid w:val="00950AEC"/>
    <w:rsid w:val="00957714"/>
    <w:rsid w:val="00961405"/>
    <w:rsid w:val="0096162D"/>
    <w:rsid w:val="009627B9"/>
    <w:rsid w:val="0096306D"/>
    <w:rsid w:val="009642EF"/>
    <w:rsid w:val="00970775"/>
    <w:rsid w:val="009714BD"/>
    <w:rsid w:val="0097300A"/>
    <w:rsid w:val="00982DBC"/>
    <w:rsid w:val="0098349A"/>
    <w:rsid w:val="0098702B"/>
    <w:rsid w:val="00987668"/>
    <w:rsid w:val="00991F10"/>
    <w:rsid w:val="00992141"/>
    <w:rsid w:val="0099299B"/>
    <w:rsid w:val="00992FC3"/>
    <w:rsid w:val="009955D0"/>
    <w:rsid w:val="0099746E"/>
    <w:rsid w:val="009A6239"/>
    <w:rsid w:val="009B33EA"/>
    <w:rsid w:val="009B60AC"/>
    <w:rsid w:val="009B64C7"/>
    <w:rsid w:val="009B7C17"/>
    <w:rsid w:val="009C7CFB"/>
    <w:rsid w:val="009D6204"/>
    <w:rsid w:val="009D6CA0"/>
    <w:rsid w:val="009E483E"/>
    <w:rsid w:val="009E4A9A"/>
    <w:rsid w:val="009E4B7E"/>
    <w:rsid w:val="009E7C18"/>
    <w:rsid w:val="009F0F19"/>
    <w:rsid w:val="009F2A11"/>
    <w:rsid w:val="009F7AFE"/>
    <w:rsid w:val="009F7F2C"/>
    <w:rsid w:val="00A01FDD"/>
    <w:rsid w:val="00A04A78"/>
    <w:rsid w:val="00A06BA3"/>
    <w:rsid w:val="00A10829"/>
    <w:rsid w:val="00A12BCE"/>
    <w:rsid w:val="00A13A35"/>
    <w:rsid w:val="00A179B2"/>
    <w:rsid w:val="00A214DD"/>
    <w:rsid w:val="00A264B5"/>
    <w:rsid w:val="00A268CC"/>
    <w:rsid w:val="00A27118"/>
    <w:rsid w:val="00A307D0"/>
    <w:rsid w:val="00A35810"/>
    <w:rsid w:val="00A36F45"/>
    <w:rsid w:val="00A40A70"/>
    <w:rsid w:val="00A41301"/>
    <w:rsid w:val="00A42A41"/>
    <w:rsid w:val="00A443E4"/>
    <w:rsid w:val="00A4532C"/>
    <w:rsid w:val="00A46FDF"/>
    <w:rsid w:val="00A57EC4"/>
    <w:rsid w:val="00A660E1"/>
    <w:rsid w:val="00A66146"/>
    <w:rsid w:val="00A66234"/>
    <w:rsid w:val="00A70DCA"/>
    <w:rsid w:val="00A714C0"/>
    <w:rsid w:val="00A71E68"/>
    <w:rsid w:val="00A720C8"/>
    <w:rsid w:val="00A723C2"/>
    <w:rsid w:val="00A73ABC"/>
    <w:rsid w:val="00A77A6F"/>
    <w:rsid w:val="00A77FBD"/>
    <w:rsid w:val="00A80878"/>
    <w:rsid w:val="00A84489"/>
    <w:rsid w:val="00A84DCB"/>
    <w:rsid w:val="00A86507"/>
    <w:rsid w:val="00A866FC"/>
    <w:rsid w:val="00A913C7"/>
    <w:rsid w:val="00A96216"/>
    <w:rsid w:val="00AA1FE8"/>
    <w:rsid w:val="00AA239F"/>
    <w:rsid w:val="00AB075B"/>
    <w:rsid w:val="00AB1ADE"/>
    <w:rsid w:val="00AB2900"/>
    <w:rsid w:val="00AB2E79"/>
    <w:rsid w:val="00AB48FB"/>
    <w:rsid w:val="00AB6F5C"/>
    <w:rsid w:val="00AC0422"/>
    <w:rsid w:val="00AC5A39"/>
    <w:rsid w:val="00AD66D5"/>
    <w:rsid w:val="00AD72F7"/>
    <w:rsid w:val="00AE35A1"/>
    <w:rsid w:val="00AE781B"/>
    <w:rsid w:val="00AF3FAF"/>
    <w:rsid w:val="00AF5551"/>
    <w:rsid w:val="00AF56B6"/>
    <w:rsid w:val="00AF5FB4"/>
    <w:rsid w:val="00AF63E1"/>
    <w:rsid w:val="00B004F1"/>
    <w:rsid w:val="00B00FB5"/>
    <w:rsid w:val="00B03027"/>
    <w:rsid w:val="00B03A1E"/>
    <w:rsid w:val="00B10013"/>
    <w:rsid w:val="00B11690"/>
    <w:rsid w:val="00B11691"/>
    <w:rsid w:val="00B1332A"/>
    <w:rsid w:val="00B16798"/>
    <w:rsid w:val="00B17B06"/>
    <w:rsid w:val="00B26FAB"/>
    <w:rsid w:val="00B30022"/>
    <w:rsid w:val="00B31070"/>
    <w:rsid w:val="00B33982"/>
    <w:rsid w:val="00B33C2B"/>
    <w:rsid w:val="00B365E6"/>
    <w:rsid w:val="00B545FE"/>
    <w:rsid w:val="00B60D04"/>
    <w:rsid w:val="00B62CAB"/>
    <w:rsid w:val="00B6412B"/>
    <w:rsid w:val="00B73830"/>
    <w:rsid w:val="00B7402B"/>
    <w:rsid w:val="00B76790"/>
    <w:rsid w:val="00B8031A"/>
    <w:rsid w:val="00B805E2"/>
    <w:rsid w:val="00B82E27"/>
    <w:rsid w:val="00B830DA"/>
    <w:rsid w:val="00B8333A"/>
    <w:rsid w:val="00B8537E"/>
    <w:rsid w:val="00B85CC7"/>
    <w:rsid w:val="00B865ED"/>
    <w:rsid w:val="00B929D4"/>
    <w:rsid w:val="00BA4C0B"/>
    <w:rsid w:val="00BA6D09"/>
    <w:rsid w:val="00BB3205"/>
    <w:rsid w:val="00BB4238"/>
    <w:rsid w:val="00BB532E"/>
    <w:rsid w:val="00BB5F43"/>
    <w:rsid w:val="00BB6658"/>
    <w:rsid w:val="00BB72EC"/>
    <w:rsid w:val="00BC1272"/>
    <w:rsid w:val="00BC176B"/>
    <w:rsid w:val="00BC1BF9"/>
    <w:rsid w:val="00BC45A7"/>
    <w:rsid w:val="00BC76A2"/>
    <w:rsid w:val="00BC7C8B"/>
    <w:rsid w:val="00BD0F48"/>
    <w:rsid w:val="00BD1F9D"/>
    <w:rsid w:val="00BD1FDA"/>
    <w:rsid w:val="00BD454B"/>
    <w:rsid w:val="00BE189D"/>
    <w:rsid w:val="00BE3823"/>
    <w:rsid w:val="00BE5335"/>
    <w:rsid w:val="00BE5B3A"/>
    <w:rsid w:val="00BF0F01"/>
    <w:rsid w:val="00C02237"/>
    <w:rsid w:val="00C026DC"/>
    <w:rsid w:val="00C10F6F"/>
    <w:rsid w:val="00C110A1"/>
    <w:rsid w:val="00C1496A"/>
    <w:rsid w:val="00C15BFD"/>
    <w:rsid w:val="00C21720"/>
    <w:rsid w:val="00C21E7C"/>
    <w:rsid w:val="00C22A1C"/>
    <w:rsid w:val="00C25211"/>
    <w:rsid w:val="00C26A84"/>
    <w:rsid w:val="00C30F13"/>
    <w:rsid w:val="00C35F1F"/>
    <w:rsid w:val="00C37901"/>
    <w:rsid w:val="00C41038"/>
    <w:rsid w:val="00C4144C"/>
    <w:rsid w:val="00C417C7"/>
    <w:rsid w:val="00C43AC9"/>
    <w:rsid w:val="00C50CB5"/>
    <w:rsid w:val="00C51333"/>
    <w:rsid w:val="00C568A8"/>
    <w:rsid w:val="00C578AB"/>
    <w:rsid w:val="00C624FF"/>
    <w:rsid w:val="00C638F1"/>
    <w:rsid w:val="00C743C9"/>
    <w:rsid w:val="00C80A72"/>
    <w:rsid w:val="00C832EF"/>
    <w:rsid w:val="00C84D79"/>
    <w:rsid w:val="00C858CB"/>
    <w:rsid w:val="00C87AD9"/>
    <w:rsid w:val="00C908A8"/>
    <w:rsid w:val="00C91617"/>
    <w:rsid w:val="00CA0AD8"/>
    <w:rsid w:val="00CA4F90"/>
    <w:rsid w:val="00CA51C7"/>
    <w:rsid w:val="00CA6A8F"/>
    <w:rsid w:val="00CB5CD1"/>
    <w:rsid w:val="00CB675F"/>
    <w:rsid w:val="00CB7029"/>
    <w:rsid w:val="00CB7C2E"/>
    <w:rsid w:val="00CC31CC"/>
    <w:rsid w:val="00CC663F"/>
    <w:rsid w:val="00CD3B11"/>
    <w:rsid w:val="00CD53BF"/>
    <w:rsid w:val="00CD5D4A"/>
    <w:rsid w:val="00CD6EBF"/>
    <w:rsid w:val="00CE0154"/>
    <w:rsid w:val="00CE1E82"/>
    <w:rsid w:val="00CE1F7E"/>
    <w:rsid w:val="00CE7742"/>
    <w:rsid w:val="00CF23C2"/>
    <w:rsid w:val="00CF41E3"/>
    <w:rsid w:val="00CF50A5"/>
    <w:rsid w:val="00CF5A4C"/>
    <w:rsid w:val="00CF6A76"/>
    <w:rsid w:val="00D04946"/>
    <w:rsid w:val="00D061B0"/>
    <w:rsid w:val="00D06A6B"/>
    <w:rsid w:val="00D101DD"/>
    <w:rsid w:val="00D11A8F"/>
    <w:rsid w:val="00D11EFE"/>
    <w:rsid w:val="00D160E3"/>
    <w:rsid w:val="00D161CA"/>
    <w:rsid w:val="00D1736C"/>
    <w:rsid w:val="00D17575"/>
    <w:rsid w:val="00D20B0F"/>
    <w:rsid w:val="00D21FC8"/>
    <w:rsid w:val="00D22CA2"/>
    <w:rsid w:val="00D22F2A"/>
    <w:rsid w:val="00D23A85"/>
    <w:rsid w:val="00D25B67"/>
    <w:rsid w:val="00D44E68"/>
    <w:rsid w:val="00D45409"/>
    <w:rsid w:val="00D456E1"/>
    <w:rsid w:val="00D47B43"/>
    <w:rsid w:val="00D5071D"/>
    <w:rsid w:val="00D51040"/>
    <w:rsid w:val="00D516D7"/>
    <w:rsid w:val="00D519AD"/>
    <w:rsid w:val="00D544B5"/>
    <w:rsid w:val="00D55272"/>
    <w:rsid w:val="00D6013B"/>
    <w:rsid w:val="00D63247"/>
    <w:rsid w:val="00D63588"/>
    <w:rsid w:val="00D639EF"/>
    <w:rsid w:val="00D74BE1"/>
    <w:rsid w:val="00D81B9A"/>
    <w:rsid w:val="00D84909"/>
    <w:rsid w:val="00D902CC"/>
    <w:rsid w:val="00D9049A"/>
    <w:rsid w:val="00D92BA0"/>
    <w:rsid w:val="00D934D1"/>
    <w:rsid w:val="00D94DF2"/>
    <w:rsid w:val="00DA1517"/>
    <w:rsid w:val="00DA3519"/>
    <w:rsid w:val="00DA52E9"/>
    <w:rsid w:val="00DA6081"/>
    <w:rsid w:val="00DA7BB5"/>
    <w:rsid w:val="00DB5732"/>
    <w:rsid w:val="00DB5E66"/>
    <w:rsid w:val="00DC0913"/>
    <w:rsid w:val="00DC0C1F"/>
    <w:rsid w:val="00DC1499"/>
    <w:rsid w:val="00DC2887"/>
    <w:rsid w:val="00DD13B9"/>
    <w:rsid w:val="00DD5323"/>
    <w:rsid w:val="00DD54A5"/>
    <w:rsid w:val="00DD5C2A"/>
    <w:rsid w:val="00DE0216"/>
    <w:rsid w:val="00DE0F57"/>
    <w:rsid w:val="00DE18BD"/>
    <w:rsid w:val="00DE6E20"/>
    <w:rsid w:val="00DE7326"/>
    <w:rsid w:val="00DF3342"/>
    <w:rsid w:val="00E00872"/>
    <w:rsid w:val="00E00AD6"/>
    <w:rsid w:val="00E024E2"/>
    <w:rsid w:val="00E036A0"/>
    <w:rsid w:val="00E10432"/>
    <w:rsid w:val="00E10A57"/>
    <w:rsid w:val="00E14057"/>
    <w:rsid w:val="00E148F0"/>
    <w:rsid w:val="00E1565B"/>
    <w:rsid w:val="00E202E4"/>
    <w:rsid w:val="00E24AD3"/>
    <w:rsid w:val="00E31A65"/>
    <w:rsid w:val="00E32CEF"/>
    <w:rsid w:val="00E36EB4"/>
    <w:rsid w:val="00E37A1D"/>
    <w:rsid w:val="00E40B28"/>
    <w:rsid w:val="00E41953"/>
    <w:rsid w:val="00E42237"/>
    <w:rsid w:val="00E4371E"/>
    <w:rsid w:val="00E45918"/>
    <w:rsid w:val="00E45D97"/>
    <w:rsid w:val="00E51ABD"/>
    <w:rsid w:val="00E52CAF"/>
    <w:rsid w:val="00E56751"/>
    <w:rsid w:val="00E60245"/>
    <w:rsid w:val="00E60BF9"/>
    <w:rsid w:val="00E60E69"/>
    <w:rsid w:val="00E613C9"/>
    <w:rsid w:val="00E64033"/>
    <w:rsid w:val="00E64809"/>
    <w:rsid w:val="00E66789"/>
    <w:rsid w:val="00E66AC7"/>
    <w:rsid w:val="00E66F1C"/>
    <w:rsid w:val="00E70C79"/>
    <w:rsid w:val="00E7211F"/>
    <w:rsid w:val="00E726AD"/>
    <w:rsid w:val="00E804C3"/>
    <w:rsid w:val="00E80A8A"/>
    <w:rsid w:val="00E8280B"/>
    <w:rsid w:val="00E84845"/>
    <w:rsid w:val="00E86CAD"/>
    <w:rsid w:val="00E91945"/>
    <w:rsid w:val="00E95A17"/>
    <w:rsid w:val="00E97E97"/>
    <w:rsid w:val="00EA00D0"/>
    <w:rsid w:val="00EA520B"/>
    <w:rsid w:val="00EA669F"/>
    <w:rsid w:val="00EA73A7"/>
    <w:rsid w:val="00EA7FEF"/>
    <w:rsid w:val="00EB12D1"/>
    <w:rsid w:val="00EB31E6"/>
    <w:rsid w:val="00EB3476"/>
    <w:rsid w:val="00EB3C06"/>
    <w:rsid w:val="00EB75D4"/>
    <w:rsid w:val="00EB78A5"/>
    <w:rsid w:val="00EC0169"/>
    <w:rsid w:val="00EC32D9"/>
    <w:rsid w:val="00ED0142"/>
    <w:rsid w:val="00ED3738"/>
    <w:rsid w:val="00EE3D20"/>
    <w:rsid w:val="00EE4656"/>
    <w:rsid w:val="00EE6701"/>
    <w:rsid w:val="00EE68C6"/>
    <w:rsid w:val="00EE6A52"/>
    <w:rsid w:val="00EF35F7"/>
    <w:rsid w:val="00EF40A0"/>
    <w:rsid w:val="00F01CB2"/>
    <w:rsid w:val="00F072F7"/>
    <w:rsid w:val="00F10437"/>
    <w:rsid w:val="00F134A5"/>
    <w:rsid w:val="00F136A1"/>
    <w:rsid w:val="00F13C86"/>
    <w:rsid w:val="00F1730D"/>
    <w:rsid w:val="00F174B2"/>
    <w:rsid w:val="00F22A97"/>
    <w:rsid w:val="00F265F2"/>
    <w:rsid w:val="00F277DC"/>
    <w:rsid w:val="00F30812"/>
    <w:rsid w:val="00F326E2"/>
    <w:rsid w:val="00F32E16"/>
    <w:rsid w:val="00F364E2"/>
    <w:rsid w:val="00F40B9D"/>
    <w:rsid w:val="00F448E6"/>
    <w:rsid w:val="00F448FA"/>
    <w:rsid w:val="00F46590"/>
    <w:rsid w:val="00F51BC0"/>
    <w:rsid w:val="00F51DF5"/>
    <w:rsid w:val="00F5611C"/>
    <w:rsid w:val="00F6063C"/>
    <w:rsid w:val="00F60B7B"/>
    <w:rsid w:val="00F6594C"/>
    <w:rsid w:val="00F71ECF"/>
    <w:rsid w:val="00F73B74"/>
    <w:rsid w:val="00F75FA2"/>
    <w:rsid w:val="00F770D1"/>
    <w:rsid w:val="00F805C7"/>
    <w:rsid w:val="00F83166"/>
    <w:rsid w:val="00F83B4E"/>
    <w:rsid w:val="00F90918"/>
    <w:rsid w:val="00F9233A"/>
    <w:rsid w:val="00F94CAC"/>
    <w:rsid w:val="00F950AF"/>
    <w:rsid w:val="00F972C5"/>
    <w:rsid w:val="00FB67A3"/>
    <w:rsid w:val="00FB7AAE"/>
    <w:rsid w:val="00FC2B9F"/>
    <w:rsid w:val="00FD0BA7"/>
    <w:rsid w:val="00FD1532"/>
    <w:rsid w:val="00FD4D2C"/>
    <w:rsid w:val="00FE06F9"/>
    <w:rsid w:val="00FE305B"/>
    <w:rsid w:val="00FE5607"/>
    <w:rsid w:val="00FE7E6D"/>
    <w:rsid w:val="00FF04F6"/>
    <w:rsid w:val="00FF18C4"/>
    <w:rsid w:val="00FF1C05"/>
    <w:rsid w:val="07F15BCB"/>
    <w:rsid w:val="376751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/>
    <o:shapelayout v:ext="edit">
      <o:idmap v:ext="edit" data="1"/>
    </o:shapelayout>
  </w:shapeDefaults>
  <w:decimalSymbol w:val="."/>
  <w:listSeparator w:val=","/>
  <w14:docId w14:val="73E41AD3"/>
  <w15:docId w15:val="{CA27A935-005B-4915-BC7F-B61F755D30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unhideWhenUsed="1" w:qFormat="1"/>
    <w:lsdException w:name="heading 3" w:uiPriority="9" w:unhideWhenUsed="1" w:qFormat="1"/>
    <w:lsdException w:name="heading 4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unhideWhenUsed="1" w:qFormat="1"/>
    <w:lsdException w:name="toc 2" w:uiPriority="39" w:unhideWhenUsed="1" w:qFormat="1"/>
    <w:lsdException w:name="toc 3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a">
    <w:name w:val="Normal"/>
    <w:qFormat/>
    <w:pPr>
      <w:widowControl w:val="0"/>
      <w:spacing w:line="324" w:lineRule="auto" w:after="100"/>
      <w:jc w:val="both"/>
    </w:pPr>
    <w:rPr>
      <w:rFonts w:asciiTheme="minorHAnsi" w:eastAsiaTheme="minorEastAsia" w:hAnsiTheme="minorHAnsi" w:cstheme="minorBidi" w:ascii="Noto Sans CJK SC" w:hAnsi="Noto Sans CJK SC" w:eastAsia="Noto Sans CJK SC" w:cs="Noto Sans CJK SC"/>
      <w:color w:val="000000"/>
      <w:kern w:val="2"/>
      <w:sz w:val="21"/>
      <w:szCs w:val="22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360" w:after="160" w:line="578" w:lineRule="auto"/>
      <w:outlineLvl w:val="0"/>
    </w:pPr>
    <w:rPr>
      <w:rFonts w:ascii="Noto Sans CJK SC" w:hAnsi="Noto Sans CJK SC" w:eastAsia="Noto Sans CJK SC" w:cs="Noto Sans CJK SC"/>
      <w:b/>
      <w:bCs/>
      <w:color w:val="000000"/>
      <w:kern w:val="44"/>
      <w:sz w:val="34"/>
      <w:szCs w:val="44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260" w:after="120" w:line="416" w:lineRule="auto"/>
      <w:outlineLvl w:val="1"/>
    </w:pPr>
    <w:rPr>
      <w:rFonts w:asciiTheme="majorHAnsi" w:eastAsiaTheme="majorEastAsia" w:hAnsiTheme="majorHAnsi" w:cstheme="majorBidi" w:ascii="Noto Sans CJK SC" w:hAnsi="Noto Sans CJK SC" w:eastAsia="Noto Sans CJK SC" w:cs="Noto Sans CJK SC"/>
      <w:b/>
      <w:bCs/>
      <w:color w:val="000000"/>
      <w:sz w:val="26"/>
      <w:szCs w:val="32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280" w:after="290" w:line="376" w:lineRule="auto"/>
      <w:outlineLvl w:val="3"/>
    </w:pPr>
    <w:rPr>
      <w:rFonts w:asciiTheme="majorHAnsi" w:eastAsiaTheme="majorEastAsia" w:hAnsiTheme="majorHAnsi" w:cstheme="majorBidi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TOC3">
    <w:name w:val="toc 3"/>
    <w:basedOn w:val="a"/>
    <w:next w:val="a"/>
    <w:uiPriority w:val="39"/>
    <w:unhideWhenUsed/>
    <w:qFormat/>
    <w:pPr>
      <w:ind w:leftChars="400" w:left="840"/>
    </w:pPr>
  </w:style>
  <w:style w:type="paragraph" w:styleId="a3">
    <w:name w:val="footer"/>
    <w:basedOn w:val="a"/>
    <w:link w:val="a4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TOC1">
    <w:name w:val="toc 1"/>
    <w:basedOn w:val="a"/>
    <w:next w:val="a"/>
    <w:uiPriority w:val="39"/>
    <w:unhideWhenUsed/>
    <w:qFormat/>
  </w:style>
  <w:style w:type="paragraph" w:styleId="TOC2">
    <w:name w:val="toc 2"/>
    <w:basedOn w:val="a"/>
    <w:next w:val="a"/>
    <w:uiPriority w:val="39"/>
    <w:unhideWhenUsed/>
    <w:qFormat/>
    <w:pPr>
      <w:ind w:leftChars="200" w:left="420"/>
    </w:pPr>
  </w:style>
  <w:style w:type="paragraph" w:styleId="a7">
    <w:name w:val="Normal (Web)"/>
    <w:basedOn w:val="a"/>
    <w:uiPriority w:val="99"/>
    <w:unhideWhenUsed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8">
    <w:name w:val="Hyperlink"/>
    <w:basedOn w:val="a0"/>
    <w:uiPriority w:val="99"/>
    <w:unhideWhenUsed/>
    <w:rPr>
      <w:color w:val="0563C1" w:themeColor="hyperlink"/>
      <w:u w:val="single"/>
    </w:rPr>
  </w:style>
  <w:style w:type="table" w:styleId="a9">
    <w:name w:val="Table Grid"/>
    <w:basedOn w:val="a1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6">
    <w:name w:val="页眉 字符"/>
    <w:basedOn w:val="a0"/>
    <w:link w:val="a5"/>
    <w:uiPriority w:val="99"/>
    <w:qFormat/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qFormat/>
    <w:rPr>
      <w:sz w:val="18"/>
      <w:szCs w:val="18"/>
    </w:rPr>
  </w:style>
  <w:style w:type="character" w:customStyle="1" w:styleId="10">
    <w:name w:val="标题 1 字符"/>
    <w:basedOn w:val="a0"/>
    <w:link w:val="1"/>
    <w:uiPriority w:val="9"/>
    <w:qFormat/>
    <w:rPr>
      <w:b/>
      <w:bCs/>
      <w:kern w:val="44"/>
      <w:sz w:val="44"/>
      <w:szCs w:val="44"/>
    </w:rPr>
  </w:style>
  <w:style w:type="paragraph" w:styleId="aa">
    <w:name w:val="List Paragraph"/>
    <w:basedOn w:val="a"/>
    <w:uiPriority w:val="34"/>
    <w:qFormat/>
    <w:pPr>
      <w:ind w:firstLineChars="200" w:firstLine="420"/>
    </w:pPr>
  </w:style>
  <w:style w:type="character" w:customStyle="1" w:styleId="20">
    <w:name w:val="标题 2 字符"/>
    <w:basedOn w:val="a0"/>
    <w:link w:val="2"/>
    <w:uiPriority w:val="9"/>
    <w:qFormat/>
    <w:rPr>
      <w:rFonts w:asciiTheme="majorHAnsi" w:eastAsiaTheme="majorEastAsia" w:hAnsiTheme="majorHAnsi" w:cstheme="majorBidi"/>
      <w:b/>
      <w:bCs/>
      <w:sz w:val="32"/>
      <w:szCs w:val="32"/>
    </w:rPr>
  </w:style>
  <w:style w:type="character" w:customStyle="1" w:styleId="30">
    <w:name w:val="标题 3 字符"/>
    <w:basedOn w:val="a0"/>
    <w:link w:val="3"/>
    <w:uiPriority w:val="9"/>
    <w:qFormat/>
    <w:rPr>
      <w:b/>
      <w:bCs/>
      <w:sz w:val="32"/>
      <w:szCs w:val="32"/>
    </w:rPr>
  </w:style>
  <w:style w:type="paragraph" w:customStyle="1" w:styleId="TOC10">
    <w:name w:val="TOC 标题1"/>
    <w:basedOn w:val="1"/>
    <w:next w:val="a"/>
    <w:uiPriority w:val="39"/>
    <w:unhideWhenUsed/>
    <w:qFormat/>
    <w:pPr>
      <w:widowControl/>
      <w:spacing w:before="240" w:after="0" w:line="259" w:lineRule="auto"/>
      <w:jc w:val="left"/>
      <w:outlineLvl w:val="9"/>
    </w:pPr>
    <w:rPr>
      <w:rFonts w:asciiTheme="majorHAnsi" w:eastAsiaTheme="majorEastAsia" w:hAnsiTheme="majorHAnsi" w:cstheme="majorBidi"/>
      <w:b w:val="0"/>
      <w:bCs w:val="0"/>
      <w:color w:val="2E74B5" w:themeColor="accent1" w:themeShade="BF"/>
      <w:kern w:val="0"/>
      <w:sz w:val="32"/>
      <w:szCs w:val="32"/>
    </w:rPr>
  </w:style>
  <w:style w:type="character" w:customStyle="1" w:styleId="40">
    <w:name w:val="标题 4 字符"/>
    <w:basedOn w:val="a0"/>
    <w:link w:val="4"/>
    <w:uiPriority w:val="9"/>
    <w:qFormat/>
    <w:rPr>
      <w:rFonts w:asciiTheme="majorHAnsi" w:eastAsiaTheme="majorEastAsia" w:hAnsiTheme="majorHAnsi" w:cstheme="majorBidi"/>
      <w:b/>
      <w:bCs/>
      <w:sz w:val="28"/>
      <w:szCs w:val="28"/>
    </w:rPr>
  </w:style>
  <w:style w:type="paragraph" w:styleId="ab">
    <w:name w:val="Balloon Text"/>
    <w:basedOn w:val="a"/>
    <w:link w:val="ac"/>
    <w:uiPriority w:val="99"/>
    <w:semiHidden/>
    <w:unhideWhenUsed/>
    <w:rsid w:val="00F51BC0"/>
    <w:rPr>
      <w:sz w:val="18"/>
      <w:szCs w:val="18"/>
    </w:rPr>
  </w:style>
  <w:style w:type="character" w:customStyle="1" w:styleId="ac">
    <w:name w:val="批注框文本 字符"/>
    <w:basedOn w:val="a0"/>
    <w:link w:val="ab"/>
    <w:uiPriority w:val="99"/>
    <w:semiHidden/>
    <w:rsid w:val="00F51BC0"/>
    <w:rPr>
      <w:rFonts w:asciiTheme="minorHAnsi" w:eastAsiaTheme="minorEastAsia" w:hAnsiTheme="minorHAnsi" w:cstheme="minorBidi"/>
      <w:kern w:val="2"/>
      <w:sz w:val="18"/>
      <w:szCs w:val="18"/>
    </w:rPr>
  </w:style>
  <w:style w:type="table" w:customStyle="1" w:styleId="1-51">
    <w:name w:val="网格表 1 浅色 - 着色 51"/>
    <w:basedOn w:val="a1"/>
    <w:uiPriority w:val="46"/>
    <w:rsid w:val="008F471B"/>
    <w:rPr>
      <w:rFonts w:asciiTheme="minorHAnsi" w:eastAsiaTheme="minorEastAsia" w:hAnsiTheme="minorHAnsi" w:cstheme="minorBidi"/>
      <w:kern w:val="2"/>
      <w:sz w:val="21"/>
      <w:szCs w:val="22"/>
    </w:rPr>
    <w:tblPr>
      <w:tblStyleRowBandSize w:val="1"/>
      <w:tblStyleColBandSize w:val="1"/>
      <w:tblBorders>
        <w:top w:val="single" w:sz="4" w:space="0" w:color="B4C6E7" w:themeColor="accent5" w:themeTint="66"/>
        <w:left w:val="single" w:sz="4" w:space="0" w:color="B4C6E7" w:themeColor="accent5" w:themeTint="66"/>
        <w:bottom w:val="single" w:sz="4" w:space="0" w:color="B4C6E7" w:themeColor="accent5" w:themeTint="66"/>
        <w:right w:val="single" w:sz="4" w:space="0" w:color="B4C6E7" w:themeColor="accent5" w:themeTint="66"/>
        <w:insideH w:val="single" w:sz="4" w:space="0" w:color="B4C6E7" w:themeColor="accent5" w:themeTint="66"/>
        <w:insideV w:val="single" w:sz="4" w:space="0" w:color="B4C6E7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ad">
    <w:name w:val="Document Map"/>
    <w:basedOn w:val="a"/>
    <w:link w:val="ae"/>
    <w:uiPriority w:val="99"/>
    <w:semiHidden/>
    <w:unhideWhenUsed/>
    <w:rsid w:val="00AB48FB"/>
    <w:rPr>
      <w:rFonts w:ascii="宋体" w:eastAsia="宋体"/>
      <w:sz w:val="24"/>
      <w:szCs w:val="24"/>
    </w:rPr>
  </w:style>
  <w:style w:type="character" w:customStyle="1" w:styleId="ae">
    <w:name w:val="文档结构图 字符"/>
    <w:basedOn w:val="a0"/>
    <w:link w:val="ad"/>
    <w:uiPriority w:val="99"/>
    <w:semiHidden/>
    <w:rsid w:val="00AB48FB"/>
    <w:rPr>
      <w:rFonts w:ascii="宋体" w:hAnsiTheme="minorHAnsi" w:cstheme="minorBidi"/>
      <w:kern w:val="2"/>
      <w:sz w:val="24"/>
      <w:szCs w:val="24"/>
    </w:rPr>
  </w:style>
  <w:style w:type="table" w:customStyle="1" w:styleId="gbc1">
    <w:name w:val="gbc1"/>
    <w:uiPriority w:val="99"/>
    <w:semiHidden/>
    <w:unhideWhenUsed/>
    <w:qFormat/>
    <w:rsid w:val="0099746E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itle">
    <w:name w:val="Title"/>
    <w:pPr>
      <w:keepNext/>
      <w:spacing w:after="280"/>
    </w:pPr>
    <w:rPr>
      <w:rFonts w:ascii="Noto Sans CJK SC" w:hAnsi="Noto Sans CJK SC" w:eastAsia="Noto Sans CJK SC" w:cs="Noto Sans CJK SC"/>
      <w:b/>
      <w:color w:val="000000"/>
      <w:sz w:val="52"/>
    </w:rPr>
  </w:style>
  <w:style w:type="paragraph" w:customStyle="1" w:styleId="FigureCaption">
    <w:name w:val="Figure Caption"/>
    <w:pPr>
      <w:spacing w:before="60" w:after="160"/>
    </w:pPr>
    <w:rPr>
      <w:rFonts w:ascii="Noto Sans CJK SC" w:hAnsi="Noto Sans CJK SC" w:eastAsia="Noto Sans CJK SC" w:cs="Noto Sans CJK SC"/>
      <w:color w:val="666666"/>
      <w:sz w:val="18"/>
    </w:rPr>
  </w:style>
  <w:style w:type="paragraph" w:customStyle="1" w:styleId="ListNumber">
    <w:name w:val="List Number"/>
    <w:basedOn w:val="aa"/>
    <w:rPr>
      <w:rFonts w:ascii="Arial" w:hAnsi="Arial" w:eastAsia="Noto Sans CJK SC"/>
      <w:sz w:val="21"/>
    </w:rPr>
  </w:style>
  <w:style w:type="paragraph" w:customStyle="1" w:styleId="ListBullet">
    <w:name w:val="List Bullet"/>
    <w:basedOn w:val="aa"/>
    <w:rPr>
      <w:rFonts w:ascii="Arial" w:hAnsi="Arial" w:eastAsia="Noto Sans CJK SC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3509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9097969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521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0197486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7304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5938555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0182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127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6619415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5286404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1333841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4605725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0366990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0562553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0164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2783358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0131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1459622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8373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3777416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757160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5244986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9492431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5382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094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6176301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3835797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050539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0386261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049350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2009345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3736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250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4470608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7506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2137906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3111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999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2893118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2775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258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494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409579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image" Target="media/image2.png"/><Relationship Id="rId15" Type="http://schemas.openxmlformats.org/officeDocument/2006/relationships/image" Target="media/image3.png"/><Relationship Id="rId16" Type="http://schemas.openxmlformats.org/officeDocument/2006/relationships/image" Target="media/image4.png"/><Relationship Id="rId17" Type="http://schemas.openxmlformats.org/officeDocument/2006/relationships/image" Target="media/image5.png"/><Relationship Id="rId18" Type="http://schemas.openxmlformats.org/officeDocument/2006/relationships/image" Target="media/image6.png"/><Relationship Id="rId19" Type="http://schemas.openxmlformats.org/officeDocument/2006/relationships/image" Target="media/image7.png"/><Relationship Id="rId20" Type="http://schemas.openxmlformats.org/officeDocument/2006/relationships/image" Target="media/image8.png"/><Relationship Id="rId21" Type="http://schemas.openxmlformats.org/officeDocument/2006/relationships/image" Target="media/image9.png"/><Relationship Id="rId22" Type="http://schemas.openxmlformats.org/officeDocument/2006/relationships/image" Target="media/image10.png"/><Relationship Id="rId23" Type="http://schemas.openxmlformats.org/officeDocument/2006/relationships/image" Target="media/image11.png"/><Relationship Id="rId24" Type="http://schemas.openxmlformats.org/officeDocument/2006/relationships/image" Target="media/image12.png"/><Relationship Id="rId25" Type="http://schemas.openxmlformats.org/officeDocument/2006/relationships/image" Target="media/image13.png"/><Relationship Id="rId26" Type="http://schemas.openxmlformats.org/officeDocument/2006/relationships/image" Target="media/image14.png"/><Relationship Id="rId27" Type="http://schemas.openxmlformats.org/officeDocument/2006/relationships/image" Target="media/image15.png"/><Relationship Id="rId28" Type="http://schemas.openxmlformats.org/officeDocument/2006/relationships/image" Target="media/image16.png"/><Relationship Id="rId29" Type="http://schemas.openxmlformats.org/officeDocument/2006/relationships/image" Target="media/image17.png"/><Relationship Id="rId30" Type="http://schemas.openxmlformats.org/officeDocument/2006/relationships/image" Target="media/image18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2B91C102-E3E4-FB4F-AB83-E92A3EF5A24E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730</TotalTime>
  <Pages>2</Pages>
  <Words>0</Words>
  <Characters>1</Characters>
  <Application>Microsoft Office Word</Application>
  <DocSecurity>0</DocSecurity>
  <Lines>1</Lines>
  <Paragraphs>1</Paragraphs>
  <ScaleCrop>false</ScaleCrop>
  <Company>Lenovo</Company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康比特数字体育科技</dc:creator>
  <cp:lastModifiedBy>王 丽芳</cp:lastModifiedBy>
  <cp:revision>345</cp:revision>
  <cp:lastPrinted>2019-07-03T09:31:00Z</cp:lastPrinted>
  <dcterms:created xsi:type="dcterms:W3CDTF">2019-07-03T01:13:00Z</dcterms:created>
  <dcterms:modified xsi:type="dcterms:W3CDTF">2022-06-27T02:31:00Z</dcterms:modified>
  <dc:title>校园智慧食堂管理系统学校端操作手册</dc:title>
  <dc:subject>学校端后台操作说明</dc:subject>
  <cp:keywords>校园智慧食堂, 学校端, 操作手册, 膳食营养, 阳光消费</cp:keyword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2052-10.1.0.6930</vt:lpwstr>
  </property>
</Properties>
</file>