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108E7">
      <w:pPr>
        <w:keepNext/>
        <w:spacing w:before="360" w:after="80"/>
        <w:jc w:val="center"/>
      </w:pPr>
      <w:r>
        <w:rPr>
          <w:rFonts w:ascii="Arial Unicode MS" w:hAnsi="Arial Unicode MS" w:eastAsia="Arial Unicode MS"/>
          <w:b/>
          <w:color w:val="1F2937"/>
          <w:sz w:val="38"/>
        </w:rPr>
        <w:t>南京国信大酒店智慧食堂系统</w:t>
      </w:r>
    </w:p>
    <w:p w14:paraId="686407FE">
      <w:pPr>
        <w:keepNext/>
        <w:spacing w:after="80"/>
        <w:jc w:val="center"/>
      </w:pPr>
      <w:r>
        <w:rPr>
          <w:rFonts w:ascii="Arial Unicode MS" w:hAnsi="Arial Unicode MS" w:eastAsia="Arial Unicode MS"/>
          <w:b/>
          <w:color w:val="E96B24"/>
          <w:sz w:val="34"/>
        </w:rPr>
        <w:t>安全漏洞整改措施表</w:t>
      </w:r>
    </w:p>
    <w:p w14:paraId="45440F1C">
      <w:pPr>
        <w:spacing w:after="240"/>
        <w:jc w:val="center"/>
      </w:pPr>
      <w:r>
        <w:rPr>
          <w:rFonts w:ascii="Arial Unicode MS" w:hAnsi="Arial Unicode MS" w:eastAsia="Arial Unicode MS"/>
          <w:b w:val="0"/>
          <w:color w:val="6B7280"/>
          <w:sz w:val="19"/>
        </w:rPr>
        <w:t>客户沟通版｜2026年8月28日</w:t>
      </w:r>
    </w:p>
    <w:p w14:paraId="3CB07E54">
      <w:pPr>
        <w:spacing w:before="40" w:after="180" w:line="312" w:lineRule="auto"/>
      </w:pPr>
      <w:r>
        <w:rPr>
          <w:rFonts w:ascii="Arial Unicode MS" w:hAnsi="Arial Unicode MS" w:eastAsia="Arial Unicode MS"/>
          <w:b/>
          <w:color w:val="E96B24"/>
          <w:sz w:val="21"/>
        </w:rPr>
        <w:t>整改范围说明：</w:t>
      </w:r>
      <w:r>
        <w:rPr>
          <w:rFonts w:ascii="Arial Unicode MS" w:hAnsi="Arial Unicode MS" w:eastAsia="Arial Unicode MS"/>
          <w:b w:val="0"/>
          <w:color w:val="1F2937"/>
          <w:sz w:val="21"/>
        </w:rPr>
        <w:t>本表仅列经核验与康比特智慧食堂系统直接相关的2项漏洞，代码</w:t>
      </w:r>
      <w:r>
        <w:rPr>
          <w:rFonts w:hint="eastAsia" w:ascii="Arial Unicode MS" w:hAnsi="Arial Unicode MS" w:eastAsia="Arial Unicode MS"/>
          <w:b w:val="0"/>
          <w:color w:val="1F2937"/>
          <w:sz w:val="21"/>
          <w:lang w:val="en-US" w:eastAsia="zh-CN"/>
        </w:rPr>
        <w:t>已</w:t>
      </w:r>
      <w:r>
        <w:rPr>
          <w:rFonts w:ascii="Arial Unicode MS" w:hAnsi="Arial Unicode MS" w:eastAsia="Arial Unicode MS"/>
          <w:b w:val="0"/>
          <w:color w:val="1F2937"/>
          <w:sz w:val="21"/>
        </w:rPr>
        <w:t>整改</w:t>
      </w:r>
      <w:r>
        <w:rPr>
          <w:rFonts w:hint="eastAsia" w:ascii="Arial Unicode MS" w:hAnsi="Arial Unicode MS" w:eastAsia="Arial Unicode MS"/>
          <w:b w:val="0"/>
          <w:color w:val="1F2937"/>
          <w:sz w:val="21"/>
          <w:lang w:val="en-US" w:eastAsia="zh-CN"/>
        </w:rPr>
        <w:t>并发布</w:t>
      </w:r>
      <w:r>
        <w:rPr>
          <w:rFonts w:ascii="Arial Unicode MS" w:hAnsi="Arial Unicode MS" w:eastAsia="Arial Unicode MS"/>
          <w:b w:val="0"/>
          <w:color w:val="1F2937"/>
          <w:sz w:val="21"/>
        </w:rPr>
        <w:t>。</w:t>
      </w:r>
    </w:p>
    <w:p w14:paraId="1EB81FEF">
      <w:pPr>
        <w:pStyle w:val="2"/>
        <w:keepNext/>
        <w:spacing w:before="200" w:after="100"/>
      </w:pPr>
      <w:r>
        <w:rPr>
          <w:rFonts w:ascii="Arial Unicode MS" w:hAnsi="Arial Unicode MS" w:eastAsia="Arial Unicode MS"/>
          <w:b/>
          <w:color w:val="1F4E78"/>
          <w:sz w:val="28"/>
        </w:rPr>
        <w:t>一、报告确认的我方系统漏洞及整改措施</w:t>
      </w:r>
    </w:p>
    <w:tbl>
      <w:tblPr>
        <w:tblStyle w:val="14"/>
        <w:tblW w:w="7083" w:type="dxa"/>
        <w:jc w:val="center"/>
        <w:tblBorders>
          <w:top w:val="single" w:color="B8C2CC" w:sz="4" w:space="0"/>
          <w:left w:val="single" w:color="B8C2CC" w:sz="4" w:space="0"/>
          <w:bottom w:val="single" w:color="B8C2CC" w:sz="4" w:space="0"/>
          <w:right w:val="single" w:color="B8C2CC" w:sz="4" w:space="0"/>
          <w:insideH w:val="single" w:color="B8C2CC" w:sz="4" w:space="0"/>
          <w:insideV w:val="single" w:color="B8C2C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440"/>
        <w:gridCol w:w="1828"/>
        <w:gridCol w:w="3268"/>
      </w:tblGrid>
      <w:tr w14:paraId="6E136BBF">
        <w:trPr>
          <w:tblHeader/>
          <w:jc w:val="center"/>
        </w:trPr>
        <w:tc>
          <w:tcPr>
            <w:tcW w:w="547" w:type="dxa"/>
            <w:shd w:val="clear" w:color="auto" w:fill="E96B2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E85F0F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序号</w:t>
            </w:r>
          </w:p>
        </w:tc>
        <w:tc>
          <w:tcPr>
            <w:tcW w:w="1440" w:type="dxa"/>
            <w:shd w:val="clear" w:color="auto" w:fill="E96B2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4BB206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漏洞项</w:t>
            </w:r>
          </w:p>
        </w:tc>
        <w:tc>
          <w:tcPr>
            <w:tcW w:w="1828" w:type="dxa"/>
            <w:shd w:val="clear" w:color="auto" w:fill="E96B2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447BC6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风险说明</w:t>
            </w:r>
          </w:p>
        </w:tc>
        <w:tc>
          <w:tcPr>
            <w:tcW w:w="3268" w:type="dxa"/>
            <w:shd w:val="clear" w:color="auto" w:fill="E96B2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C375D5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修复措施</w:t>
            </w:r>
          </w:p>
        </w:tc>
      </w:tr>
      <w:tr w14:paraId="1DF6AC5A">
        <w:trPr>
          <w:jc w:val="center"/>
        </w:trPr>
        <w:tc>
          <w:tcPr>
            <w:tcW w:w="547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73F841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1</w:t>
            </w:r>
          </w:p>
        </w:tc>
        <w:tc>
          <w:tcPr>
            <w:tcW w:w="144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39EDA2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F2937"/>
                <w:sz w:val="16"/>
              </w:rPr>
              <w:t>敏感配置泄露</w:t>
            </w:r>
            <w:r>
              <w:rPr>
                <w:rFonts w:ascii="Arial Unicode MS" w:hAnsi="Arial Unicode MS" w:eastAsia="Arial Unicode MS"/>
                <w:b/>
                <w:color w:val="1F2937"/>
                <w:sz w:val="16"/>
              </w:rPr>
              <w:br w:type="textWrapping"/>
            </w:r>
            <w:r>
              <w:rPr>
                <w:rFonts w:ascii="Arial Unicode MS" w:hAnsi="Arial Unicode MS" w:eastAsia="Arial Unicode MS"/>
                <w:b/>
                <w:color w:val="1F2937"/>
                <w:sz w:val="16"/>
              </w:rPr>
              <w:t>（高风险）</w:t>
            </w:r>
          </w:p>
        </w:tc>
        <w:tc>
          <w:tcPr>
            <w:tcW w:w="182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74F1DE">
            <w:pPr>
              <w:spacing w:before="0" w:after="0" w:line="269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公共配置接口返回了业务不需要的AI配置，其中包含第三方长期访问凭据，存在被未授权获取和滥用的风险。</w:t>
            </w:r>
          </w:p>
        </w:tc>
        <w:tc>
          <w:tcPr>
            <w:tcW w:w="3268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4E4E10">
            <w:pPr>
              <w:spacing w:before="0" w:after="0" w:line="269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1. 国信公共配置接口保持HTTP 200兼容响应，设置项固定为空对象。</w:t>
            </w: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br w:type="textWrapping"/>
            </w: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2. 公共配置装配链路不再返回AI配置和敏感字段。</w:t>
            </w: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br w:type="textWrapping"/>
            </w: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3. 删除国信代码中的长期凭据，并在第三方平台撤销已暴露凭据。</w:t>
            </w:r>
          </w:p>
        </w:tc>
      </w:tr>
      <w:tr w14:paraId="6A94CA3A">
        <w:trPr>
          <w:jc w:val="center"/>
        </w:trPr>
        <w:tc>
          <w:tcPr>
            <w:tcW w:w="547" w:type="dxa"/>
            <w:shd w:val="clear" w:color="auto" w:fill="F3F4F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9C3C6D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2</w:t>
            </w:r>
          </w:p>
        </w:tc>
        <w:tc>
          <w:tcPr>
            <w:tcW w:w="1440" w:type="dxa"/>
            <w:shd w:val="clear" w:color="auto" w:fill="F3F4F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8F18A3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F2937"/>
                <w:sz w:val="16"/>
              </w:rPr>
              <w:t>匿名恶意文件上传</w:t>
            </w:r>
            <w:r>
              <w:rPr>
                <w:rFonts w:ascii="Arial Unicode MS" w:hAnsi="Arial Unicode MS" w:eastAsia="Arial Unicode MS"/>
                <w:b/>
                <w:color w:val="1F2937"/>
                <w:sz w:val="16"/>
              </w:rPr>
              <w:br w:type="textWrapping"/>
            </w:r>
            <w:r>
              <w:rPr>
                <w:rFonts w:ascii="Arial Unicode MS" w:hAnsi="Arial Unicode MS" w:eastAsia="Arial Unicode MS"/>
                <w:b/>
                <w:color w:val="1F2937"/>
                <w:sz w:val="16"/>
              </w:rPr>
              <w:t>（高风险）</w:t>
            </w:r>
          </w:p>
        </w:tc>
        <w:tc>
          <w:tcPr>
            <w:tcW w:w="1828" w:type="dxa"/>
            <w:shd w:val="clear" w:color="auto" w:fill="F3F4F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AE7165">
            <w:pPr>
              <w:spacing w:before="0" w:after="0" w:line="269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用户端图片上传接口可在未建立有效登录态时进入存储链路，存在伪装文件上传、存储型XSS及恶意文件落地风险。</w:t>
            </w:r>
          </w:p>
        </w:tc>
        <w:tc>
          <w:tcPr>
            <w:tcW w:w="3268" w:type="dxa"/>
            <w:shd w:val="clear" w:color="auto" w:fill="F3F4F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9617F9">
            <w:pPr>
              <w:spacing w:before="0" w:after="0" w:line="269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1. 国信不使用该用户上传能力，接口在读取文件前固定返回HTTP 403。</w:t>
            </w: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br w:type="textWrapping"/>
            </w: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2. 拒绝路径不写入对象存储、数据库或可访问URL。</w:t>
            </w:r>
          </w:p>
        </w:tc>
      </w:tr>
    </w:tbl>
    <w:p w14:paraId="30A314ED">
      <w:r>
        <w:br w:type="page"/>
      </w:r>
    </w:p>
    <w:p w14:paraId="269F4272">
      <w:pPr>
        <w:pStyle w:val="2"/>
        <w:keepNext/>
        <w:spacing w:before="200" w:after="100"/>
      </w:pPr>
      <w:r>
        <w:rPr>
          <w:rFonts w:ascii="Arial Unicode MS" w:hAnsi="Arial Unicode MS" w:eastAsia="Arial Unicode MS"/>
          <w:b/>
          <w:color w:val="1F4E78"/>
          <w:sz w:val="28"/>
        </w:rPr>
        <w:t>二、同步实施的安全加固措施</w:t>
      </w:r>
    </w:p>
    <w:tbl>
      <w:tblPr>
        <w:tblStyle w:val="14"/>
        <w:tblW w:w="7084" w:type="dxa"/>
        <w:jc w:val="center"/>
        <w:tblBorders>
          <w:top w:val="single" w:color="B8C2CC" w:sz="4" w:space="0"/>
          <w:left w:val="single" w:color="B8C2CC" w:sz="4" w:space="0"/>
          <w:bottom w:val="single" w:color="B8C2CC" w:sz="4" w:space="0"/>
          <w:right w:val="single" w:color="B8C2CC" w:sz="4" w:space="0"/>
          <w:insideH w:val="single" w:color="B8C2CC" w:sz="4" w:space="0"/>
          <w:insideV w:val="single" w:color="B8C2C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3240"/>
        <w:gridCol w:w="2404"/>
      </w:tblGrid>
      <w:tr w14:paraId="6B90E27D">
        <w:trPr>
          <w:tblHeader/>
          <w:jc w:val="center"/>
        </w:trPr>
        <w:tc>
          <w:tcPr>
            <w:tcW w:w="1440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59937C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加固项</w:t>
            </w:r>
          </w:p>
        </w:tc>
        <w:tc>
          <w:tcPr>
            <w:tcW w:w="3240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C8BFEB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实施措施</w:t>
            </w:r>
          </w:p>
        </w:tc>
        <w:tc>
          <w:tcPr>
            <w:tcW w:w="240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5C6F7A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FFFFFF"/>
                <w:sz w:val="17"/>
              </w:rPr>
              <w:t>验收要求</w:t>
            </w:r>
          </w:p>
        </w:tc>
      </w:tr>
      <w:tr w14:paraId="72E95D1C">
        <w:trPr>
          <w:jc w:val="center"/>
        </w:trPr>
        <w:tc>
          <w:tcPr>
            <w:tcW w:w="144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7DE74C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F2937"/>
                <w:sz w:val="16"/>
              </w:rPr>
              <w:t>PC后台强密码</w:t>
            </w:r>
          </w:p>
        </w:tc>
        <w:tc>
          <w:tcPr>
            <w:tcW w:w="3240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99FBC7">
            <w:pPr>
              <w:spacing w:before="0" w:after="0" w:line="269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密码长度12～32位，必须包含大写字母、小写字母、数字和特殊字符；禁止abc/cba/123/321等3位及以上连续递增或递减字符。简单密码登录不签发Token，必须先修改密码。</w:t>
            </w:r>
          </w:p>
        </w:tc>
        <w:tc>
          <w:tcPr>
            <w:tcW w:w="2404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21D319">
            <w:pPr>
              <w:spacing w:before="0" w:after="0" w:line="269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弱密码登录被拦截且响应无Token；连续字符密码被拒绝；修改为合规密码后可按原流程登录。保留90天过期、5次失败锁定10分钟及会话超时机制。</w:t>
            </w:r>
          </w:p>
        </w:tc>
      </w:tr>
      <w:tr w14:paraId="723B4813">
        <w:trPr>
          <w:jc w:val="center"/>
        </w:trPr>
        <w:tc>
          <w:tcPr>
            <w:tcW w:w="1440" w:type="dxa"/>
            <w:shd w:val="clear" w:color="auto" w:fill="EAF2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F04F20">
            <w:pPr>
              <w:spacing w:before="0" w:after="0" w:line="269" w:lineRule="auto"/>
              <w:jc w:val="center"/>
            </w:pPr>
            <w:r>
              <w:rPr>
                <w:rFonts w:ascii="Arial Unicode MS" w:hAnsi="Arial Unicode MS" w:eastAsia="Arial Unicode MS"/>
                <w:b/>
                <w:color w:val="1F2937"/>
                <w:sz w:val="16"/>
              </w:rPr>
              <w:t>数据库备份</w:t>
            </w:r>
          </w:p>
        </w:tc>
        <w:tc>
          <w:tcPr>
            <w:tcW w:w="3240" w:type="dxa"/>
            <w:shd w:val="clear" w:color="auto" w:fill="EAF2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E0C1E7">
            <w:pPr>
              <w:spacing w:before="0" w:after="0" w:line="269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对智慧食堂业务库和AI业务库每日09:00、14:00、23:00各备份一次；使用压缩文件、完整性校验、互斥锁和失败临时文件清理；备份保留90天。</w:t>
            </w:r>
          </w:p>
        </w:tc>
        <w:tc>
          <w:tcPr>
            <w:tcW w:w="2404" w:type="dxa"/>
            <w:shd w:val="clear" w:color="auto" w:fill="EAF2F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0E9551">
            <w:pPr>
              <w:spacing w:before="0" w:after="0" w:line="269" w:lineRule="auto"/>
              <w:jc w:val="left"/>
            </w:pPr>
            <w:r>
              <w:rPr>
                <w:rFonts w:ascii="Arial Unicode MS" w:hAnsi="Arial Unicode MS" w:eastAsia="Arial Unicode MS"/>
                <w:b w:val="0"/>
                <w:color w:val="1F2937"/>
                <w:sz w:val="16"/>
              </w:rPr>
              <w:t>两个数据库均生成同一时间标签的压缩文件；文件非空且压缩校验通过；</w:t>
            </w:r>
          </w:p>
        </w:tc>
      </w:tr>
    </w:tbl>
    <w:p w14:paraId="2CF38016">
      <w:pPr>
        <w:keepLines/>
        <w:spacing w:before="160" w:after="0"/>
      </w:pPr>
      <w:r>
        <w:rPr>
          <w:rFonts w:ascii="Arial Unicode MS" w:hAnsi="Arial Unicode MS" w:eastAsia="Arial Unicode MS"/>
          <w:b/>
          <w:color w:val="E96B24"/>
          <w:sz w:val="21"/>
        </w:rPr>
        <w:t>整改结论：</w:t>
      </w:r>
      <w:r>
        <w:rPr>
          <w:rFonts w:ascii="Arial Unicode MS" w:hAnsi="Arial Unicode MS" w:eastAsia="Arial Unicode MS"/>
          <w:b/>
          <w:color w:val="1F2937"/>
          <w:sz w:val="21"/>
        </w:rPr>
        <w:t>我方系统直接相关漏洞已完成代码整改</w:t>
      </w:r>
      <w:bookmarkStart w:id="0" w:name="_GoBack"/>
      <w:bookmarkEnd w:id="0"/>
      <w:r>
        <w:rPr>
          <w:rFonts w:ascii="Arial Unicode MS" w:hAnsi="Arial Unicode MS" w:eastAsia="Arial Unicode MS"/>
          <w:b/>
          <w:color w:val="1F2937"/>
          <w:sz w:val="21"/>
        </w:rPr>
        <w:t>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680" w:footer="567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2130357"/>
      <w:docPartObj>
        <w:docPartGallery w:val="AutoText"/>
      </w:docPartObj>
    </w:sdtPr>
    <w:sdtContent>
      <w:sdt>
        <w:sdtPr>
          <w:id w:val="-1"/>
          <w:docPartObj>
            <w:docPartGallery w:val="AutoText"/>
          </w:docPartObj>
        </w:sdtPr>
        <w:sdtContent>
          <w:p w14:paraId="1E7E09F9">
            <w:pPr>
              <w:pStyle w:val="9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484E4">
    <w:pPr>
      <w:pStyle w:val="10"/>
      <w:jc w:val="both"/>
    </w:pPr>
  </w:p>
  <w:p w14:paraId="2D1B016F">
    <w:pPr>
      <w:pStyle w:val="10"/>
      <w:jc w:val="right"/>
      <w:rPr>
        <w:b/>
        <w:bCs/>
      </w:rPr>
    </w:pPr>
  </w:p>
  <w:p w14:paraId="61F2BAA1">
    <w:pPr>
      <w:pStyle w:val="10"/>
      <w:jc w:val="left"/>
      <w:rPr>
        <w:b/>
        <w:bCs/>
      </w:rPr>
    </w:pPr>
    <w:r>
      <w:rPr>
        <w:rFonts w:ascii="Arial Unicode MS" w:hAnsi="Arial Unicode MS" w:eastAsia="Arial Unicode MS"/>
      </w:rPr>
      <w:drawing>
        <wp:inline distT="0" distB="0" distL="0" distR="0">
          <wp:extent cx="1169035" cy="181610"/>
          <wp:effectExtent l="0" t="0" r="0" b="8890"/>
          <wp:docPr id="4" name="图片 4" descr="康比特数字体育科技品牌标识" title="康比特品牌标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康比特数字体育科技品牌标识" title="康比特品牌标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Arial Unicode MS" w:hAnsi="Arial Unicode MS" w:eastAsia="Arial Unicode MS"/>
        <w:b/>
        <w:bCs/>
        <w:sz w:val="24"/>
        <w:szCs w:val="24"/>
      </w:rPr>
      <w:t xml:space="preserve"> </w:t>
    </w:r>
    <w:r>
      <w:rPr>
        <w:rFonts w:ascii="Arial Unicode MS" w:hAnsi="Arial Unicode MS" w:eastAsia="Arial Unicode MS"/>
        <w:b/>
        <w:bCs/>
        <w:sz w:val="24"/>
        <w:szCs w:val="24"/>
      </w:rPr>
      <w:t xml:space="preserve">                                 </w:t>
    </w:r>
    <w:r>
      <w:rPr>
        <w:rFonts w:hint="eastAsia" w:ascii="Arial Unicode MS" w:hAnsi="Arial Unicode MS" w:eastAsia="Arial Unicode MS"/>
        <w:b/>
        <w:bCs/>
        <w:sz w:val="24"/>
        <w:szCs w:val="24"/>
      </w:rPr>
      <w:t>康比特数字体育科技</w:t>
    </w:r>
    <w:r>
      <w:rPr>
        <w:rFonts w:hint="eastAsia" w:ascii="Arial Unicode MS" w:hAnsi="Arial Unicode MS" w:eastAsia="Arial Unicode MS"/>
        <w:b/>
        <w:b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  <w:rsid w:val="5DFD84C0"/>
    <w:rsid w:val="F77EE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00" w:line="30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rFonts w:ascii="Arial Unicode MS" w:hAnsi="Arial Unicode MS" w:eastAsia="Arial Unicode MS"/>
      <w:b/>
      <w:bCs/>
      <w:color w:val="1F4E78"/>
      <w:kern w:val="44"/>
      <w:sz w:val="28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color w:val="1F4E78"/>
      <w:sz w:val="23"/>
      <w:szCs w:val="32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Arial Unicode MS" w:hAnsi="Arial Unicode MS" w:eastAsia="Arial Unicode MS"/>
      <w:b/>
      <w:bCs/>
      <w:color w:val="1F4E78"/>
      <w:sz w:val="21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8"/>
    <w:semiHidden/>
    <w:unhideWhenUsed/>
    <w:uiPriority w:val="99"/>
    <w:rPr>
      <w:rFonts w:ascii="宋体" w:eastAsia="宋体"/>
      <w:sz w:val="24"/>
      <w:szCs w:val="24"/>
    </w:rPr>
  </w:style>
  <w:style w:type="paragraph" w:styleId="7">
    <w:name w:val="toc 3"/>
    <w:basedOn w:val="1"/>
    <w:next w:val="1"/>
    <w:unhideWhenUsed/>
    <w:qFormat/>
    <w:uiPriority w:val="39"/>
    <w:pPr>
      <w:ind w:left="840" w:leftChars="400"/>
    </w:pPr>
  </w:style>
  <w:style w:type="paragraph" w:styleId="8">
    <w:name w:val="Balloon Text"/>
    <w:basedOn w:val="1"/>
    <w:link w:val="26"/>
    <w:semiHidden/>
    <w:unhideWhenUsed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页眉 字符"/>
    <w:basedOn w:val="16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6"/>
    <w:link w:val="9"/>
    <w:qFormat/>
    <w:uiPriority w:val="99"/>
    <w:rPr>
      <w:sz w:val="18"/>
      <w:szCs w:val="18"/>
    </w:rPr>
  </w:style>
  <w:style w:type="character" w:customStyle="1" w:styleId="20">
    <w:name w:val="标题 1 字符"/>
    <w:basedOn w:val="16"/>
    <w:link w:val="2"/>
    <w:qFormat/>
    <w:uiPriority w:val="9"/>
    <w:rPr>
      <w:b/>
      <w:bCs/>
      <w:kern w:val="44"/>
      <w:sz w:val="44"/>
      <w:szCs w:val="44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标题 2 字符"/>
    <w:basedOn w:val="16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3">
    <w:name w:val="标题 3 字符"/>
    <w:basedOn w:val="16"/>
    <w:link w:val="4"/>
    <w:qFormat/>
    <w:uiPriority w:val="9"/>
    <w:rPr>
      <w:b/>
      <w:bCs/>
      <w:sz w:val="32"/>
      <w:szCs w:val="32"/>
    </w:rPr>
  </w:style>
  <w:style w:type="paragraph" w:customStyle="1" w:styleId="2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5">
    <w:name w:val="标题 4 字符"/>
    <w:basedOn w:val="16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批注框文本 字符"/>
    <w:basedOn w:val="16"/>
    <w:link w:val="8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27">
    <w:name w:val="网格表 1 浅色 - 着色 51"/>
    <w:basedOn w:val="14"/>
    <w:uiPriority w:val="46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8">
    <w:name w:val="文档结构图 字符"/>
    <w:basedOn w:val="16"/>
    <w:link w:val="6"/>
    <w:semiHidden/>
    <w:uiPriority w:val="99"/>
    <w:rPr>
      <w:rFonts w:ascii="宋体" w:hAnsiTheme="minorHAnsi" w:cstheme="minorBidi"/>
      <w:kern w:val="2"/>
      <w:sz w:val="24"/>
      <w:szCs w:val="24"/>
    </w:rPr>
  </w:style>
  <w:style w:type="table" w:customStyle="1" w:styleId="29">
    <w:name w:val="gbc1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2B91C102-E3E4-FB4F-AB83-E92A3EF5A2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0</Words>
  <Characters>1</Characters>
  <Lines>1</Lines>
  <Paragraphs>1</Paragraphs>
  <TotalTime>733</TotalTime>
  <ScaleCrop>false</ScaleCrop>
  <LinksUpToDate>false</LinksUpToDate>
  <CharactersWithSpaces>1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2019-07-03T09:13:00Z</dcterms:created>
  <dc:creator>abc</dc:creator>
  <cp:lastModifiedBy>佚名</cp:lastModifiedBy>
  <cp:lastPrinted>2019-07-03T17:31:00Z</cp:lastPrinted>
  <dcterms:modified xsi:type="dcterms:W3CDTF">2026-08-28T09:27:29Z</dcterms:modified>
  <cp:revision>345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239B50FE8F659D99A6E3906A33E96456_42</vt:lpwstr>
  </property>
</Properties>
</file>