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keepNext/>
        <w:spacing w:before="60" w:after="60"/>
        <w:jc w:val="center"/>
      </w:pPr>
      <w:r>
        <w:rPr>
          <w:rFonts w:ascii="Arial" w:hAnsi="Arial" w:eastAsia="PingFang SC"/>
          <w:b/>
          <w:color w:val="144287"/>
          <w:sz w:val="32"/>
        </w:rPr>
        <w:t>滨州项目：万医生接口可提供字段清单</w:t>
      </w:r>
    </w:p>
    <w:p>
      <w:pPr>
        <w:keepNext/>
        <w:spacing w:after="160"/>
        <w:jc w:val="center"/>
      </w:pPr>
      <w:r>
        <w:rPr>
          <w:rFonts w:ascii="Arial" w:hAnsi="Arial" w:eastAsia="PingFang SC"/>
          <w:b w:val="0"/>
          <w:color w:val="59677A"/>
          <w:sz w:val="18"/>
        </w:rPr>
        <w:t>客户沟通版｜本清单仅列本次可提供字段，共 93 项</w:t>
      </w:r>
    </w:p>
    <w:tbl>
      <w:tblPr>
        <w:tblStyle w:val="a9"/>
        <w:tblW w:type="dxa" w:w="8306"/>
        <w:tblLayout w:type="fixed"/>
        <w:tblLook w:firstColumn="1" w:firstRow="1" w:lastColumn="0" w:lastRow="0" w:noHBand="0" w:noVBand="1" w:val="04A0"/>
        <w:tblInd w:w="0" w:type="dxa"/>
      </w:tblPr>
      <w:tblGrid>
        <w:gridCol w:w="430"/>
        <w:gridCol w:w="820"/>
        <w:gridCol w:w="2240"/>
        <w:gridCol w:w="700"/>
        <w:gridCol w:w="3160"/>
        <w:gridCol w:w="956"/>
      </w:tblGrid>
      <w:tr>
        <w:trPr>
          <w:trHeight w:hRule="atLeast"/>
          <w:tblHeader w:val="true"/>
          <w:cantSplit/>
        </w:trPr>
        <w:tc>
          <w:tcPr>
            <w:tcW w:type="dxa" w:w="430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序号</w:t>
            </w:r>
          </w:p>
        </w:tc>
        <w:tc>
          <w:tcPr>
            <w:tcW w:type="dxa" w:w="820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接口</w:t>
            </w:r>
          </w:p>
        </w:tc>
        <w:tc>
          <w:tcPr>
            <w:tcW w:type="dxa" w:w="2240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对方字段</w:t>
            </w:r>
          </w:p>
        </w:tc>
        <w:tc>
          <w:tcPr>
            <w:tcW w:type="dxa" w:w="700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类型</w:t>
            </w:r>
          </w:p>
        </w:tc>
        <w:tc>
          <w:tcPr>
            <w:tcW w:type="dxa" w:w="3160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我方提供来源/口径</w:t>
            </w:r>
          </w:p>
        </w:tc>
        <w:tc>
          <w:tcPr>
            <w:tcW w:type="dxa" w:w="956"/>
            <w:vAlign w:val="center"/>
            <w:shd w:fill="DCE8F7"/>
            <w:tcMar>
              <w:top w:w="110" w:type="dxa"/>
              <w:start w:w="90" w:type="dxa"/>
              <w:bottom w:w="11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/>
                <w:color w:val="1B375E"/>
                <w:sz w:val="16"/>
              </w:rPr>
              <w:t>提供方式</w:t>
            </w:r>
          </w:p>
        </w:tc>
      </w:tr>
      <w:tr>
        <w:trPr>
          <w:cantSplit/>
        </w:trPr>
        <w:tc>
          <w:tcPr>
            <w:tcW w:type="dxa" w:w="956"/>
            <w:gridSpan w:val="6"/>
            <w:vAlign w:val="center"/>
            <w:shd w:fill="EAF2FF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/>
                <w:color w:val="123E81"/>
                <w:sz w:val="17"/>
              </w:rPr>
              <w:t>健康档案同步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Array&lt;Object&gt;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人员与健康档案聚合结果集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profiles[].userId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人员唯一标识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profiles[].idCard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ydy_staff.identity_number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profiles[].phone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ydy_staff.mobile/ydy_user.mobile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profiles[].name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ydy_staff.name/ydy_user.name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profiles[].gender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Integer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ydy_staff.sex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profiles[].birthday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ydy_staff.birthday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profiles[].healthTags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 | Array&lt;String&gt;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人员慢病信息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profiles[].dataSource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Integer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固定值2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profiles[].bodyInfo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人员档案与ydy_health_record身体指标聚合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profiles[].bodyInfo.height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ydy_staff.height或ydy_health_record(height)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profiles[].bodyInfo.weight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ydy_staff.weight或ydy_health_record(weight)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profiles[].bodyInfo.bmi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ydy_health_record(bmi)或身高体重计算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计算提供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profiles[].bodyInfo.measureTime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Long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身体信息测量时间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ydy_health_record同一session的人体成分聚合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profiles[].bodyComposition.fatMass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ydy_health_record(bodyfat_mass)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profiles[].bodyComposition.fatRate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ydy_health_record(bfp)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profiles[].bodyComposition.muscleMass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ydy_health_record(muscle_mass)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19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profiles[].bodyComposition.muscleRate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ydy_health_record(muscle)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profiles[].bodyComposition.boneMass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ydy_health_record(bone)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profiles[].bodyComposition.visceralFatLevel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Integer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最新有效内脏脂肪等级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profiles[].bodyComposition.waterMass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体重与water计算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计算提供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profiles[].bodyComposition.waterRate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ydy_health_record(water)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健康档案同步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profiles[].bodyComposition.measureTime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Long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人体成分测量时间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956"/>
            <w:gridSpan w:val="6"/>
            <w:vAlign w:val="center"/>
            <w:shd w:fill="EAF2FF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/>
                <w:color w:val="123E81"/>
                <w:sz w:val="17"/>
              </w:rPr>
              <w:t>订单同步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Array&lt;Object&gt;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ydy_meal_order订单结果集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orders[].orderNo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ydy_meal_order.order_no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orders[].orderType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滨州完成消费订单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固定值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orders[].canteenName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ydy_restaurants.name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29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orders[].diningDateTime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ydy_initial_menu.meal_time或订单last_meal_time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orders[].orderCreateTime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ydy_meal_order.create_time/bind_time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orders[].sellMode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订单菜品计价方式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orders[].userId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订单关联人员唯一标识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orders[].idCard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ydy_staff.identity_number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orders[].phone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订单关联人员手机号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orders[].plateNo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ydy_initial_menu.plate_code或ydy_staff_plate.plate_code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orders[].dataSource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Integer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固定值2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Array&lt;Object&gt;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ydy_initial_menu按meal_order_id关联菜品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orders[].dishes[].amount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订单菜品实际取餐重量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39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orders[].dishes[].dishId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ydy_dishes.uuid或id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orders[].dishes[].name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ydy_dishes.name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orders[].dishes[].category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ydy_dishes.category/category_one/category_two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orders[].dishes[].imageUrl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ydy_dishes.file_path/file_id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Array&lt;Object&gt;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ydy_dish关联ydy_foods_composition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orders[].dishes[].ingredients[].ingredientId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ydy_dish.foods_id/composition_id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orders[].dishes[].ingredients[].name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ydy_dish.composition_name或ydy_foods_composition.name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orders[].dishes[].ingredients[].alias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ydy_foods_composition.sub_name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orders[].dishes[].ingredients[].category1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ydy_foods_composition.category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orders[].dishes[].ingredients[].category2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ydy_foods_composition.category_two/minute_sort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49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orders[].dishes[].ingredients[].amount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菜品食材组成用量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订单菜品明细与菜品计量单位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组装提供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orders[].dishes[].spec.specId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菜品唯一标识与计量单位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orders[].dishes[].spec.specName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菜品计量单位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orders[].dishes[].spec.dishPrice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订单菜品成交价格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orders[].dishes[].spec.estimatedWeight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菜品标准份重量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orders[].dishes[].spec.weightUnit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菜品重量单位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菜品营养数据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orders[].dishes[].nutrition.energy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菜品能量数据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orders[].dishes[].nutrition.water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菜品水分数据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59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orders[].dishes[].nutrition.protein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ydy_dishes.protein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orders[].dishes[].nutrition.fat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ydy_dishes.fat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orders[].dishes[].nutrition.carbohydrate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ydy_dishes.carbohydrate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orders[].dishes[].nutrition.dietaryFiber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ydy_dishes.dietary_fiber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orders[].dishes[].nutrition.ash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ydy_dishes.ash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orders[].dishes[].nutrition.cholesterol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ydy_dishes.cholesterol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菜品维生素数据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组装提供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orders[].dishes[].vitamins.vitaminA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ydy_dishes.va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orders[].dishes[].vitamins.vitaminE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orders[].dishes[].vitamins.vitaminB1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ydy_dishes.vb1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69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orders[].dishes[].vitamins.vitaminB2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ydy_dishes.vb2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orders[].dishes[].vitamins.niacin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ydy_dishes.vpp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orders[].dishes[].vitamins.vitaminC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ydy_dishes.vc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orders[].dishes[].vitamins.folate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ydy_dishes.folic_acid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orders[].dishes[].vitamins.carotene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ydy_dishes.renieratene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orders[].dishes[].vitamins.retinol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ydy_dishes.retinol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ydy_dishes矿物质字段集合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orders[].dishes[].minerals.calcium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ydy_dishes.calcium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orders[].dishes[].minerals.phosphorus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ydy_dishes.phosphorus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orders[].dishes[].minerals.potassium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ydy_dishes.potassium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79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orders[].dishes[].minerals.sodium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ydy_dishes.sodium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orders[].dishes[].minerals.magnesium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ydy_dishes.magnesium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orders[].dishes[].minerals.iron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ydy_dishes.iron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orders[].dishes[].minerals.zinc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ydy_dishes.zinc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orders[].dishes[].minerals.selenium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ydy_dishes.selenium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84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orders[].dishes[].minerals.copper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ydy_dishes.cuprum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85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orders[].dishes[].minerals.manganese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ydy_dishes.manganese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86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orders[].dishes[].chineseDishInfo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Object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菜品烹饪方式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组装提供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87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订单同步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orders[].dishes[].chineseDishInfo.cookingMethod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ydy_dishes.cook_method/ydy_dish.cook_method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956"/>
            <w:gridSpan w:val="6"/>
            <w:vAlign w:val="center"/>
            <w:shd w:fill="EAF2FF"/>
            <w:tcMar>
              <w:top w:w="100" w:type="dxa"/>
              <w:start w:w="90" w:type="dxa"/>
              <w:bottom w:w="10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/>
                <w:color w:val="123E81"/>
                <w:sz w:val="17"/>
              </w:rPr>
              <w:t>退单同步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88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Array&lt;Object&gt;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ydy_meal_order_refund退款结果集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89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refunds[].refundNo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餐饮退款唯一编号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90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refunds[].orderNo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通过meal_order_id关联ydy_meal_order.order_no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关联提供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91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refunds[].refundType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成功餐饮退款类型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转换提供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92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refunds[].refundTime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String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ydy_meal_order_refund.audit_time/update_time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F8FAFD"/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  <w:tr>
        <w:trPr>
          <w:cantSplit/>
        </w:trPr>
        <w:tc>
          <w:tcPr>
            <w:tcW w:type="dxa" w:w="43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93</w:t>
            </w:r>
          </w:p>
        </w:tc>
        <w:tc>
          <w:tcPr>
            <w:tcW w:type="dxa" w:w="82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退单同步</w:t>
            </w:r>
          </w:p>
        </w:tc>
        <w:tc>
          <w:tcPr>
            <w:tcW w:type="dxa" w:w="224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color w:val="174A9C"/>
                <w:sz w:val="15"/>
              </w:rPr>
              <w:t>refunds[].refundAmount</w:t>
            </w:r>
          </w:p>
        </w:tc>
        <w:tc>
          <w:tcPr>
            <w:tcW w:type="dxa" w:w="70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Double</w:t>
            </w:r>
          </w:p>
        </w:tc>
        <w:tc>
          <w:tcPr>
            <w:tcW w:type="dxa" w:w="3160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left"/>
            </w:pPr>
            <w:r>
              <w:rPr>
                <w:rFonts w:ascii="Arial" w:hAnsi="Arial" w:eastAsia="PingFang SC"/>
                <w:b w:val="0"/>
                <w:sz w:val="15"/>
              </w:rPr>
              <w:t>成功退款金额</w:t>
            </w:r>
          </w:p>
        </w:tc>
        <w:tc>
          <w:tcPr>
            <w:tcW w:type="dxa" w:w="95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spacing w:before="0" w:after="0" w:line="252" w:lineRule="auto"/>
              <w:jc w:val="center"/>
            </w:pPr>
            <w:r>
              <w:rPr>
                <w:rFonts w:ascii="Arial" w:hAnsi="Arial" w:eastAsia="PingFang SC"/>
                <w:b w:val="0"/>
                <w:sz w:val="16"/>
              </w:rPr>
              <w:t>直接提供</w:t>
            </w:r>
          </w:p>
        </w:tc>
      </w:tr>
    </w:tbl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 w:ascii="Arial" w:hAnsi="Arial" w:eastAsia="PingFang SC"/>
      <w:kern w:val="2"/>
      <w:sz w:val="18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康比特数字体育科技</dc:creator>
  <cp:lastModifiedBy>康比特数字体育科技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  <dc:title>滨州项目：万医生接口可提供字段清单</dc:title>
  <dc:subject>万医生营养健康接口客户沟通字段范围</dc:subject>
  <dc:description>客户沟通版，仅列本次可提供字段。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