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Microsoft YaHei" w:hAnsi="Microsoft YaHei" w:eastAsia="微软雅黑"/>
          <w:b/>
          <w:sz w:val="40"/>
        </w:rPr>
        <w:t>软硬件安装部署手册</w:t>
      </w:r>
    </w:p>
    <w:p>
      <w:r>
        <w:rPr>
          <w:rFonts w:ascii="Microsoft YaHei" w:hAnsi="Microsoft YaHei" w:eastAsia="微软雅黑"/>
          <w:b w:val="0"/>
          <w:sz w:val="21"/>
        </w:rPr>
        <w:t>项目：滨州健康科技职业学院智慧营养健康餐厅项目</w:t>
      </w:r>
    </w:p>
    <w:p>
      <w:r>
        <w:rPr>
          <w:rFonts w:ascii="Microsoft YaHei" w:hAnsi="Microsoft YaHei" w:eastAsia="微软雅黑"/>
          <w:b w:val="0"/>
          <w:sz w:val="21"/>
        </w:rPr>
        <w:t>合同编号：XYCT-KBT20260615    合同签订日期：2026年6月15日</w:t>
      </w:r>
    </w:p>
    <w:p>
      <w:r>
        <w:rPr>
          <w:rFonts w:ascii="Microsoft YaHei" w:hAnsi="Microsoft YaHei" w:eastAsia="微软雅黑"/>
          <w:b w:val="0"/>
          <w:sz w:val="21"/>
        </w:rPr>
        <w:t>需方：滨州健康科技职业学院    供方：北京康比特体育科技股份有限公司</w:t>
      </w:r>
    </w:p>
    <w:p>
      <w:r>
        <w:rPr>
          <w:rFonts w:ascii="Microsoft YaHei" w:hAnsi="Microsoft YaHei" w:eastAsia="微软雅黑"/>
          <w:b w:val="0"/>
          <w:sz w:val="21"/>
        </w:rPr>
        <w:t>文档版本：V1.0    编制日期：2026-06-30</w:t>
      </w:r>
    </w:p>
    <w:p>
      <w:r>
        <w:rPr>
          <w:rFonts w:ascii="Microsoft YaHei" w:hAnsi="Microsoft YaHei" w:eastAsia="微软雅黑"/>
          <w:b w:val="0"/>
          <w:color w:val="C00000"/>
          <w:sz w:val="21"/>
        </w:rPr>
        <w:t>签字使用说明：本文档为可签字确认版本。凡涉及现场测试、试运行统计、正式地址、密钥、账号、生产数据的字段，必须按现场实测或双方确认结果填写；未确认项不得自动视为验收通过。</w:t>
      </w:r>
    </w:p>
    <w:p>
      <w:pPr>
        <w:pStyle w:val="Heading1"/>
      </w:pPr>
      <w:r>
        <w:rPr>
          <w:rFonts w:ascii="Microsoft YaHei" w:hAnsi="Microsoft YaHei" w:eastAsia="微软雅黑"/>
        </w:rPr>
        <w:t>一、部署总体原则</w:t>
      </w:r>
    </w:p>
    <w:p>
      <w:pPr>
        <w:pStyle w:val="ListBullet"/>
      </w:pPr>
      <w:r>
        <w:rPr>
          <w:rFonts w:ascii="Microsoft YaHei" w:hAnsi="Microsoft YaHei" w:eastAsia="微软雅黑"/>
          <w:sz w:val="21"/>
        </w:rPr>
        <w:t>前厅营养结算系统和智慧进销存系统分模块部署，服务器、域名、SSL、小程序备案和端口开放需提前准备。</w:t>
      </w:r>
    </w:p>
    <w:p>
      <w:pPr>
        <w:pStyle w:val="ListBullet"/>
      </w:pPr>
      <w:r>
        <w:rPr>
          <w:rFonts w:ascii="Microsoft YaHei" w:hAnsi="Microsoft YaHei" w:eastAsia="微软雅黑"/>
          <w:sz w:val="21"/>
        </w:rPr>
        <w:t>正式密钥、数据库密码、服务器账号、证书私钥只在现场安全配置，不进入普通文档和代码仓库。</w:t>
      </w:r>
    </w:p>
    <w:p>
      <w:pPr>
        <w:pStyle w:val="ListBullet"/>
      </w:pPr>
      <w:r>
        <w:rPr>
          <w:rFonts w:ascii="Microsoft YaHei" w:hAnsi="Microsoft YaHei" w:eastAsia="微软雅黑"/>
          <w:sz w:val="21"/>
        </w:rPr>
        <w:t>上线前必须完成备份、权限、日志、接口联调和回滚检查。</w:t>
      </w:r>
    </w:p>
    <w:p>
      <w:pPr>
        <w:pStyle w:val="Heading1"/>
      </w:pPr>
      <w:r>
        <w:rPr>
          <w:rFonts w:ascii="Microsoft YaHei" w:hAnsi="Microsoft YaHei" w:eastAsia="微软雅黑"/>
        </w:rPr>
        <w:t>二、服务器资源要求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592"/>
        <w:gridCol w:w="2592"/>
        <w:gridCol w:w="2592"/>
        <w:gridCol w:w="2592"/>
      </w:tblGrid>
      <w:tr>
        <w:tc>
          <w:tcPr>
            <w:tcW w:type="dxa" w:w="2592"/>
            <w:vAlign w:val="center"/>
            <w:shd w:fill="D9EAF7"/>
          </w:tcPr>
          <w:p>
            <w:r/>
            <w:r>
              <w:rPr>
                <w:rFonts w:ascii="Microsoft YaHei" w:hAnsi="Microsoft YaHei" w:eastAsia="微软雅黑"/>
                <w:b/>
                <w:sz w:val="18"/>
              </w:rPr>
              <w:t>服务器</w:t>
            </w:r>
          </w:p>
        </w:tc>
        <w:tc>
          <w:tcPr>
            <w:tcW w:type="dxa" w:w="2592"/>
            <w:vAlign w:val="center"/>
            <w:shd w:fill="D9EAF7"/>
          </w:tcPr>
          <w:p>
            <w:r/>
            <w:r>
              <w:rPr>
                <w:rFonts w:ascii="Microsoft YaHei" w:hAnsi="Microsoft YaHei" w:eastAsia="微软雅黑"/>
                <w:b/>
                <w:sz w:val="18"/>
              </w:rPr>
              <w:t>操作系统</w:t>
            </w:r>
          </w:p>
        </w:tc>
        <w:tc>
          <w:tcPr>
            <w:tcW w:type="dxa" w:w="2592"/>
            <w:vAlign w:val="center"/>
            <w:shd w:fill="D9EAF7"/>
          </w:tcPr>
          <w:p>
            <w:r/>
            <w:r>
              <w:rPr>
                <w:rFonts w:ascii="Microsoft YaHei" w:hAnsi="Microsoft YaHei" w:eastAsia="微软雅黑"/>
                <w:b/>
                <w:sz w:val="18"/>
              </w:rPr>
              <w:t>配置</w:t>
            </w:r>
          </w:p>
        </w:tc>
        <w:tc>
          <w:tcPr>
            <w:tcW w:type="dxa" w:w="2592"/>
            <w:vAlign w:val="center"/>
            <w:shd w:fill="D9EAF7"/>
          </w:tcPr>
          <w:p>
            <w:r/>
            <w:r>
              <w:rPr>
                <w:rFonts w:ascii="Microsoft YaHei" w:hAnsi="Microsoft YaHei" w:eastAsia="微软雅黑"/>
                <w:b/>
                <w:sz w:val="18"/>
              </w:rPr>
              <w:t>用途</w:t>
            </w:r>
          </w:p>
        </w:tc>
      </w:tr>
      <w:tr>
        <w:tc>
          <w:tcPr>
            <w:tcW w:type="dxa" w:w="2592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  <w:t>前厅结算应用服务器</w:t>
            </w:r>
          </w:p>
        </w:tc>
        <w:tc>
          <w:tcPr>
            <w:tcW w:type="dxa" w:w="2592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  <w:t>openEuler 24.03 LTS-SP1，x86_64</w:t>
            </w:r>
          </w:p>
        </w:tc>
        <w:tc>
          <w:tcPr>
            <w:tcW w:type="dxa" w:w="2592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  <w:t>16核 / 32GB / 1T SSD</w:t>
            </w:r>
          </w:p>
        </w:tc>
        <w:tc>
          <w:tcPr>
            <w:tcW w:type="dxa" w:w="2592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  <w:t>承载前厅营养结算业务应用</w:t>
            </w:r>
          </w:p>
        </w:tc>
      </w:tr>
      <w:tr>
        <w:tc>
          <w:tcPr>
            <w:tcW w:type="dxa" w:w="2592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  <w:t>前厅结算数据库服务器</w:t>
            </w:r>
          </w:p>
        </w:tc>
        <w:tc>
          <w:tcPr>
            <w:tcW w:type="dxa" w:w="2592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  <w:t>openEuler 24.03 LTS-SP1，x86_64</w:t>
            </w:r>
          </w:p>
        </w:tc>
        <w:tc>
          <w:tcPr>
            <w:tcW w:type="dxa" w:w="2592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  <w:t>16核 / 32GB / 1T SSD</w:t>
            </w:r>
          </w:p>
        </w:tc>
        <w:tc>
          <w:tcPr>
            <w:tcW w:type="dxa" w:w="2592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  <w:t>承载数据库服务，需配置备份</w:t>
            </w:r>
          </w:p>
        </w:tc>
      </w:tr>
      <w:tr>
        <w:tc>
          <w:tcPr>
            <w:tcW w:type="dxa" w:w="2592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  <w:t>智慧进销存服务器</w:t>
            </w:r>
          </w:p>
        </w:tc>
        <w:tc>
          <w:tcPr>
            <w:tcW w:type="dxa" w:w="2592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  <w:t>CentOS 8.0+ 64位或 Windows Server 2019 数据中心64位</w:t>
            </w:r>
          </w:p>
        </w:tc>
        <w:tc>
          <w:tcPr>
            <w:tcW w:type="dxa" w:w="2592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  <w:t>8核 / 32GB / 1T；有 OSS 可 200G，建议 RAID1</w:t>
            </w:r>
          </w:p>
        </w:tc>
        <w:tc>
          <w:tcPr>
            <w:tcW w:type="dxa" w:w="2592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  <w:t>承载智慧采购、库存、供应商、小程序相关服务</w:t>
            </w:r>
          </w:p>
        </w:tc>
      </w:tr>
    </w:tbl>
    <w:p/>
    <w:p>
      <w:pPr>
        <w:pStyle w:val="Heading1"/>
      </w:pPr>
      <w:r>
        <w:rPr>
          <w:rFonts w:ascii="Microsoft YaHei" w:hAnsi="Microsoft YaHei" w:eastAsia="微软雅黑"/>
        </w:rPr>
        <w:t>三、网络、域名与端口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5184"/>
            <w:vAlign w:val="center"/>
            <w:shd w:fill="D9EAF7"/>
          </w:tcPr>
          <w:p>
            <w:r/>
            <w:r>
              <w:rPr>
                <w:rFonts w:ascii="Microsoft YaHei" w:hAnsi="Microsoft YaHei" w:eastAsia="微软雅黑"/>
                <w:b/>
                <w:sz w:val="18"/>
              </w:rPr>
              <w:t>资源/端口</w:t>
            </w:r>
          </w:p>
        </w:tc>
        <w:tc>
          <w:tcPr>
            <w:tcW w:type="dxa" w:w="5184"/>
            <w:vAlign w:val="center"/>
            <w:shd w:fill="D9EAF7"/>
          </w:tcPr>
          <w:p>
            <w:r/>
            <w:r>
              <w:rPr>
                <w:rFonts w:ascii="Microsoft YaHei" w:hAnsi="Microsoft YaHei" w:eastAsia="微软雅黑"/>
                <w:b/>
                <w:sz w:val="18"/>
              </w:rPr>
              <w:t>要求</w:t>
            </w:r>
          </w:p>
        </w:tc>
      </w:tr>
      <w:tr>
        <w:tc>
          <w:tcPr>
            <w:tcW w:type="dxa" w:w="5184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  <w:t>公网 IP/独立域名/SSL证书</w:t>
            </w:r>
          </w:p>
        </w:tc>
        <w:tc>
          <w:tcPr>
            <w:tcW w:type="dxa" w:w="5184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  <w:t>前厅系统、进销存系统分别配置；提供方由双方确认</w:t>
            </w:r>
          </w:p>
        </w:tc>
      </w:tr>
      <w:tr>
        <w:tc>
          <w:tcPr>
            <w:tcW w:type="dxa" w:w="5184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  <w:t>80、443</w:t>
            </w:r>
          </w:p>
        </w:tc>
        <w:tc>
          <w:tcPr>
            <w:tcW w:type="dxa" w:w="5184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  <w:t>Web 服务端口</w:t>
            </w:r>
          </w:p>
        </w:tc>
      </w:tr>
      <w:tr>
        <w:tc>
          <w:tcPr>
            <w:tcW w:type="dxa" w:w="5184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  <w:t>8000、8100、8200</w:t>
            </w:r>
          </w:p>
        </w:tc>
        <w:tc>
          <w:tcPr>
            <w:tcW w:type="dxa" w:w="5184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  <w:t>应用服务端口，按现场部署方案开放</w:t>
            </w:r>
          </w:p>
        </w:tc>
      </w:tr>
      <w:tr>
        <w:tc>
          <w:tcPr>
            <w:tcW w:type="dxa" w:w="5184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  <w:t>22/3389</w:t>
            </w:r>
          </w:p>
        </w:tc>
        <w:tc>
          <w:tcPr>
            <w:tcW w:type="dxa" w:w="5184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  <w:t>Linux/Windows 远程管理端口，仅限授权 IP</w:t>
            </w:r>
          </w:p>
        </w:tc>
      </w:tr>
      <w:tr>
        <w:tc>
          <w:tcPr>
            <w:tcW w:type="dxa" w:w="5184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  <w:t>3306</w:t>
            </w:r>
          </w:p>
        </w:tc>
        <w:tc>
          <w:tcPr>
            <w:tcW w:type="dxa" w:w="5184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  <w:t>数据库端口，原则上不对公网开放；仅内网或白名单访问</w:t>
            </w:r>
          </w:p>
        </w:tc>
      </w:tr>
    </w:tbl>
    <w:p/>
    <w:p>
      <w:pPr>
        <w:pStyle w:val="Heading1"/>
      </w:pPr>
      <w:r>
        <w:rPr>
          <w:rFonts w:ascii="Microsoft YaHei" w:hAnsi="Microsoft YaHei" w:eastAsia="微软雅黑"/>
        </w:rPr>
        <w:t>四、硬件安装流程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5184"/>
            <w:vAlign w:val="center"/>
            <w:shd w:fill="D9EAF7"/>
          </w:tcPr>
          <w:p>
            <w:r/>
            <w:r>
              <w:rPr>
                <w:rFonts w:ascii="Microsoft YaHei" w:hAnsi="Microsoft YaHei" w:eastAsia="微软雅黑"/>
                <w:b/>
                <w:sz w:val="18"/>
              </w:rPr>
              <w:t>步骤</w:t>
            </w:r>
          </w:p>
        </w:tc>
        <w:tc>
          <w:tcPr>
            <w:tcW w:type="dxa" w:w="5184"/>
            <w:vAlign w:val="center"/>
            <w:shd w:fill="D9EAF7"/>
          </w:tcPr>
          <w:p>
            <w:r/>
            <w:r>
              <w:rPr>
                <w:rFonts w:ascii="Microsoft YaHei" w:hAnsi="Microsoft YaHei" w:eastAsia="微软雅黑"/>
                <w:b/>
                <w:sz w:val="18"/>
              </w:rPr>
              <w:t>操作要求</w:t>
            </w:r>
          </w:p>
        </w:tc>
      </w:tr>
      <w:tr>
        <w:tc>
          <w:tcPr>
            <w:tcW w:type="dxa" w:w="5184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  <w:t>到货验收</w:t>
            </w:r>
          </w:p>
        </w:tc>
        <w:tc>
          <w:tcPr>
            <w:tcW w:type="dxa" w:w="5184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  <w:t>按合同清单核对型号、数量、外观、配件、序列号和运输损伤</w:t>
            </w:r>
          </w:p>
        </w:tc>
      </w:tr>
      <w:tr>
        <w:tc>
          <w:tcPr>
            <w:tcW w:type="dxa" w:w="5184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  <w:t>点位复核</w:t>
            </w:r>
          </w:p>
        </w:tc>
        <w:tc>
          <w:tcPr>
            <w:tcW w:type="dxa" w:w="5184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  <w:t>按《设备点位图》核对餐台、配电箱、RJ45、交换机、强弱电和走线</w:t>
            </w:r>
          </w:p>
        </w:tc>
      </w:tr>
      <w:tr>
        <w:tc>
          <w:tcPr>
            <w:tcW w:type="dxa" w:w="5184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  <w:t>设备安装</w:t>
            </w:r>
          </w:p>
        </w:tc>
        <w:tc>
          <w:tcPr>
            <w:tcW w:type="dxa" w:w="5184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  <w:t>安装称重台、布菲炉、绑盘终端、POS、收货秤、留样称、晨检仪、交换机等</w:t>
            </w:r>
          </w:p>
        </w:tc>
      </w:tr>
      <w:tr>
        <w:tc>
          <w:tcPr>
            <w:tcW w:type="dxa" w:w="5184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  <w:t>网络接入</w:t>
            </w:r>
          </w:p>
        </w:tc>
        <w:tc>
          <w:tcPr>
            <w:tcW w:type="dxa" w:w="5184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  <w:t>每台设备完成 IP/网络/网关/DNS 或 DHCP 策略配置，接入业务 VLAN 或指定网络</w:t>
            </w:r>
          </w:p>
        </w:tc>
      </w:tr>
      <w:tr>
        <w:tc>
          <w:tcPr>
            <w:tcW w:type="dxa" w:w="5184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  <w:t>通电测试</w:t>
            </w:r>
          </w:p>
        </w:tc>
        <w:tc>
          <w:tcPr>
            <w:tcW w:type="dxa" w:w="5184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  <w:t>检查单台功耗、配电箱、漏保、线缆温升和设备启动状态</w:t>
            </w:r>
          </w:p>
        </w:tc>
      </w:tr>
    </w:tbl>
    <w:p/>
    <w:p>
      <w:pPr>
        <w:pStyle w:val="Heading1"/>
      </w:pPr>
      <w:r>
        <w:rPr>
          <w:rFonts w:ascii="Microsoft YaHei" w:hAnsi="Microsoft YaHei" w:eastAsia="微软雅黑"/>
        </w:rPr>
        <w:t>五、软件部署与上线检查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5184"/>
            <w:vAlign w:val="center"/>
            <w:shd w:fill="D9EAF7"/>
          </w:tcPr>
          <w:p>
            <w:r/>
            <w:r>
              <w:rPr>
                <w:rFonts w:ascii="Microsoft YaHei" w:hAnsi="Microsoft YaHei" w:eastAsia="微软雅黑"/>
                <w:b/>
                <w:sz w:val="18"/>
              </w:rPr>
              <w:t>检查项</w:t>
            </w:r>
          </w:p>
        </w:tc>
        <w:tc>
          <w:tcPr>
            <w:tcW w:type="dxa" w:w="5184"/>
            <w:vAlign w:val="center"/>
            <w:shd w:fill="D9EAF7"/>
          </w:tcPr>
          <w:p>
            <w:r/>
            <w:r>
              <w:rPr>
                <w:rFonts w:ascii="Microsoft YaHei" w:hAnsi="Microsoft YaHei" w:eastAsia="微软雅黑"/>
                <w:b/>
                <w:sz w:val="18"/>
              </w:rPr>
              <w:t>要求</w:t>
            </w:r>
          </w:p>
        </w:tc>
      </w:tr>
      <w:tr>
        <w:tc>
          <w:tcPr>
            <w:tcW w:type="dxa" w:w="5184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  <w:t>基础环境</w:t>
            </w:r>
          </w:p>
        </w:tc>
        <w:tc>
          <w:tcPr>
            <w:tcW w:type="dxa" w:w="5184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  <w:t>安装系统补丁、时间同步、磁盘分区、防火墙、日志目录、运行用户</w:t>
            </w:r>
          </w:p>
        </w:tc>
      </w:tr>
      <w:tr>
        <w:tc>
          <w:tcPr>
            <w:tcW w:type="dxa" w:w="5184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  <w:t>应用部署</w:t>
            </w:r>
          </w:p>
        </w:tc>
        <w:tc>
          <w:tcPr>
            <w:tcW w:type="dxa" w:w="5184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  <w:t>部署 PC 管理端、移动端/小程序后端、进销存服务和接口服务</w:t>
            </w:r>
          </w:p>
        </w:tc>
      </w:tr>
      <w:tr>
        <w:tc>
          <w:tcPr>
            <w:tcW w:type="dxa" w:w="5184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  <w:t>数据库与备份</w:t>
            </w:r>
          </w:p>
        </w:tc>
        <w:tc>
          <w:tcPr>
            <w:tcW w:type="dxa" w:w="5184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  <w:t>初始化数据库，配置每日备份、保留周期、恢复演练和备份告警</w:t>
            </w:r>
          </w:p>
        </w:tc>
      </w:tr>
      <w:tr>
        <w:tc>
          <w:tcPr>
            <w:tcW w:type="dxa" w:w="5184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  <w:t>接口配置</w:t>
            </w:r>
          </w:p>
        </w:tc>
        <w:tc>
          <w:tcPr>
            <w:tcW w:type="dxa" w:w="5184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  <w:t>配置一卡通 base_url、appid、商户号、钱包号、设备号、签名策略，敏感值现场填写</w:t>
            </w:r>
          </w:p>
        </w:tc>
      </w:tr>
      <w:tr>
        <w:tc>
          <w:tcPr>
            <w:tcW w:type="dxa" w:w="5184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  <w:t>上线自检</w:t>
            </w:r>
          </w:p>
        </w:tc>
        <w:tc>
          <w:tcPr>
            <w:tcW w:type="dxa" w:w="5184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  <w:t>登录、菜单、权限、设备在线、消费闭环、采购/库存、报表、数据中台推送</w:t>
            </w:r>
          </w:p>
        </w:tc>
      </w:tr>
    </w:tbl>
    <w:p/>
    <w:p>
      <w:pPr>
        <w:pStyle w:val="Heading1"/>
      </w:pPr>
      <w:r>
        <w:rPr>
          <w:rFonts w:ascii="Microsoft YaHei" w:hAnsi="Microsoft YaHei" w:eastAsia="微软雅黑"/>
        </w:rPr>
        <w:t>签字确认</w:t>
      </w:r>
    </w:p>
    <w:p>
      <w:r>
        <w:rPr>
          <w:rFonts w:ascii="Microsoft YaHei" w:hAnsi="Microsoft YaHei" w:eastAsia="微软雅黑"/>
          <w:b w:val="0"/>
          <w:sz w:val="21"/>
        </w:rPr>
        <w:t>双方确认：本文件所列范围、前置条件、检查/测试方法、结果记录和待整改事项已经过阅读确认。未填写或标注待确认的事项，不构成已验收通过。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592"/>
        <w:gridCol w:w="2592"/>
        <w:gridCol w:w="2592"/>
        <w:gridCol w:w="2592"/>
      </w:tblGrid>
      <w:tr>
        <w:tc>
          <w:tcPr>
            <w:tcW w:type="dxa" w:w="2592"/>
            <w:vAlign w:val="center"/>
            <w:shd w:fill="D9EAF7"/>
          </w:tcPr>
          <w:p>
            <w:r/>
            <w:r>
              <w:rPr>
                <w:rFonts w:ascii="Microsoft YaHei" w:hAnsi="Microsoft YaHei" w:eastAsia="微软雅黑"/>
                <w:b/>
                <w:sz w:val="18"/>
              </w:rPr>
              <w:t>角色</w:t>
            </w:r>
          </w:p>
        </w:tc>
        <w:tc>
          <w:tcPr>
            <w:tcW w:type="dxa" w:w="2592"/>
            <w:vAlign w:val="center"/>
            <w:shd w:fill="D9EAF7"/>
          </w:tcPr>
          <w:p>
            <w:r/>
            <w:r>
              <w:rPr>
                <w:rFonts w:ascii="Microsoft YaHei" w:hAnsi="Microsoft YaHei" w:eastAsia="微软雅黑"/>
                <w:b/>
                <w:sz w:val="18"/>
              </w:rPr>
              <w:t>签字/盖章</w:t>
            </w:r>
          </w:p>
        </w:tc>
        <w:tc>
          <w:tcPr>
            <w:tcW w:type="dxa" w:w="2592"/>
            <w:vAlign w:val="center"/>
            <w:shd w:fill="D9EAF7"/>
          </w:tcPr>
          <w:p>
            <w:r/>
            <w:r>
              <w:rPr>
                <w:rFonts w:ascii="Microsoft YaHei" w:hAnsi="Microsoft YaHei" w:eastAsia="微软雅黑"/>
                <w:b/>
                <w:sz w:val="18"/>
              </w:rPr>
              <w:t>日期项</w:t>
            </w:r>
          </w:p>
        </w:tc>
        <w:tc>
          <w:tcPr>
            <w:tcW w:type="dxa" w:w="2592"/>
            <w:vAlign w:val="center"/>
            <w:shd w:fill="D9EAF7"/>
          </w:tcPr>
          <w:p>
            <w:r/>
            <w:r>
              <w:rPr>
                <w:rFonts w:ascii="Microsoft YaHei" w:hAnsi="Microsoft YaHei" w:eastAsia="微软雅黑"/>
                <w:b/>
                <w:sz w:val="18"/>
              </w:rPr>
              <w:t>日期</w:t>
            </w:r>
          </w:p>
        </w:tc>
      </w:tr>
      <w:tr>
        <w:tc>
          <w:tcPr>
            <w:tcW w:type="dxa" w:w="2592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  <w:t>需方项目负责人</w:t>
            </w:r>
          </w:p>
        </w:tc>
        <w:tc>
          <w:tcPr>
            <w:tcW w:type="dxa" w:w="2592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</w:r>
          </w:p>
        </w:tc>
        <w:tc>
          <w:tcPr>
            <w:tcW w:type="dxa" w:w="2592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  <w:t>日期</w:t>
            </w:r>
          </w:p>
        </w:tc>
        <w:tc>
          <w:tcPr>
            <w:tcW w:type="dxa" w:w="2592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</w:r>
          </w:p>
        </w:tc>
      </w:tr>
      <w:tr>
        <w:tc>
          <w:tcPr>
            <w:tcW w:type="dxa" w:w="2592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  <w:t>需方技术/信息中心确认人</w:t>
            </w:r>
          </w:p>
        </w:tc>
        <w:tc>
          <w:tcPr>
            <w:tcW w:type="dxa" w:w="2592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</w:r>
          </w:p>
        </w:tc>
        <w:tc>
          <w:tcPr>
            <w:tcW w:type="dxa" w:w="2592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  <w:t>日期</w:t>
            </w:r>
          </w:p>
        </w:tc>
        <w:tc>
          <w:tcPr>
            <w:tcW w:type="dxa" w:w="2592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</w:r>
          </w:p>
        </w:tc>
      </w:tr>
      <w:tr>
        <w:tc>
          <w:tcPr>
            <w:tcW w:type="dxa" w:w="2592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  <w:t>供方项目负责人</w:t>
            </w:r>
          </w:p>
        </w:tc>
        <w:tc>
          <w:tcPr>
            <w:tcW w:type="dxa" w:w="2592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</w:r>
          </w:p>
        </w:tc>
        <w:tc>
          <w:tcPr>
            <w:tcW w:type="dxa" w:w="2592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  <w:t>日期</w:t>
            </w:r>
          </w:p>
        </w:tc>
        <w:tc>
          <w:tcPr>
            <w:tcW w:type="dxa" w:w="2592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</w:r>
          </w:p>
        </w:tc>
      </w:tr>
      <w:tr>
        <w:tc>
          <w:tcPr>
            <w:tcW w:type="dxa" w:w="2592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  <w:t>供方实施/技术确认人</w:t>
            </w:r>
          </w:p>
        </w:tc>
        <w:tc>
          <w:tcPr>
            <w:tcW w:type="dxa" w:w="2592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</w:r>
          </w:p>
        </w:tc>
        <w:tc>
          <w:tcPr>
            <w:tcW w:type="dxa" w:w="2592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  <w:t>日期</w:t>
            </w:r>
          </w:p>
        </w:tc>
        <w:tc>
          <w:tcPr>
            <w:tcW w:type="dxa" w:w="2592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</w:r>
          </w:p>
        </w:tc>
      </w:tr>
    </w:tbl>
    <w:p/>
    <w:sectPr w:rsidR="00FC693F" w:rsidRPr="0006063C" w:rsidSect="00034616">
      <w:pgSz w:w="12240" w:h="15840"/>
      <w:pgMar w:top="936" w:right="936" w:bottom="936" w:left="93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icrosoft YaHei" w:hAnsi="Microsoft YaHei" w:eastAsia="微软雅黑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Microsoft YaHei" w:hAnsi="Microsoft YaHei" w:eastAsia="微软雅黑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Microsoft YaHei" w:hAnsi="Microsoft YaHei" w:eastAsia="微软雅黑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Microsoft YaHei" w:hAnsi="Microsoft YaHei" w:eastAsia="微软雅黑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