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 w:line="341" w:lineRule="auto"/>
        <w:jc w:val="center"/>
      </w:pPr>
      <w:r>
        <w:rPr>
          <w:rFonts w:ascii="PingFang SC" w:hAnsi="PingFang SC" w:eastAsia="PingFang SC"/>
          <w:b/>
          <w:color w:val="232323"/>
          <w:sz w:val="44"/>
        </w:rPr>
        <w:t>称重结算终端用户使用说明书</w:t>
      </w:r>
    </w:p>
    <w:p>
      <w:pPr>
        <w:spacing w:before="0" w:after="320" w:line="341" w:lineRule="auto"/>
        <w:jc w:val="center"/>
      </w:pPr>
      <w:r>
        <w:rPr>
          <w:rFonts w:ascii="PingFang SC" w:hAnsi="PingFang SC" w:eastAsia="PingFang SC"/>
          <w:b w:val="0"/>
          <w:color w:val="232323"/>
          <w:sz w:val="18"/>
        </w:rPr>
        <w:t>适用项目：SellWeight    截图规格：1920 × 1080</w:t>
      </w:r>
    </w:p>
    <w:p>
      <w:pPr>
        <w:spacing w:before="0" w:after="280" w:line="341" w:lineRule="auto"/>
        <w:jc w:val="both"/>
      </w:pPr>
      <w:r>
        <w:rPr>
          <w:rFonts w:ascii="PingFang SC" w:hAnsi="PingFang SC" w:eastAsia="PingFang SC"/>
          <w:b w:val="0"/>
          <w:color w:val="232323"/>
          <w:sz w:val="22"/>
        </w:rPr>
        <w:t>本文档面向食堂收银员、现场运营人员和设备维护人员，说明 SellWeight 称重结算终端从启动、称重/熟食结算、支付、订单查询到系统设置的主要操作方式。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88"/>
      </w:tblGrid>
      <w:tr>
        <w:tc>
          <w:tcPr>
            <w:tcW w:type="dxa" w:w="988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F3F0FA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72000" cy="307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首页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2000" cy="307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160" w:line="341" w:lineRule="auto"/>
        <w:jc w:val="center"/>
      </w:pPr>
      <w:r>
        <w:rPr>
          <w:rFonts w:ascii="PingFang SC" w:hAnsi="PingFang SC" w:eastAsia="PingFang SC"/>
          <w:b w:val="0"/>
          <w:color w:val="232323"/>
          <w:sz w:val="17"/>
        </w:rPr>
        <w:t>图 1 首页（真机实拍）：选择称重结算、熟食结算、订单管理或系统设置</w:t>
      </w:r>
    </w:p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一、启动与首页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设备启动并完成初始化后进入首页。首页提供“称重结算、熟食结算、订单管理、系统设置”四项主要入口；右下角网络图标用于查看当前网络状态。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收银员按当次业务选择结算入口。需要维护商品或系统参数时，点击“系统设置”并完成管理员密码验证。</w:t>
      </w:r>
    </w:p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二、称重结算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1. 点击首页“称重结算”。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2. 在右侧选择汤底、饮料/其他或需要的商品；需要独立金额时点击“手动输入金额”。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3. 将商品放上秤台，确认实时重量稳定；容器重量需先使用“去皮”扣除。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4. 核对左侧已选明细和合计金额；需重新开单时点击“清空”。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5. 点击“立即支付”，在账单确认页核对后选择现场启用的支付方式。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44"/>
        <w:gridCol w:w="4944"/>
      </w:tblGrid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称重结算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首页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2 称重结算页（真机实拍）：选择汤底、读取重量并核对明细</w:t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3 首页（真机实拍）：完成结算后可返回首页选择下一项业务</w:t>
            </w:r>
          </w:p>
        </w:tc>
      </w:tr>
    </w:tbl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三、称重结算支付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账单确认页用于核对商品、重量和总金额。如有误，返回结算页修改后再提交。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确认账单后按现场配置完成刷卡、扫码或人脸支付。支付处理中请勿重复点击、拔出设备或直接返回首页。</w:t>
      </w:r>
    </w:p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四、熟食结算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熟食称重商品固定以 500g 为计价基准。进入页面后先确认购物车为空；秤台有非零重量时先点击“归零”。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选择商品后放置熟食，待重量稳定且大于 0g，再点击“加入购物车”。可继续选择下一种商品并重复操作。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固定价熟食按数量计价；称重熟食按当前重量计算金额。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44"/>
        <w:gridCol w:w="4944"/>
      </w:tblGrid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熟食结算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称重结算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4 熟食结算页（真机实拍）：选择商品、归零、称重并加入购物车</w:t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5 称重结算页（真机实拍）：商品、实时重量与结算按钮同屏展示</w:t>
            </w:r>
          </w:p>
        </w:tc>
      </w:tr>
    </w:tbl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五、熟食购物车、对账与支付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同一熟食多次加入会合并为一项。购物车中可修改重量或数量、删除明细，也可增加不关联重量的“自定义金额”。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点击“立即支付”后先查看对账单，确认商品明细和总金额无误，再选择支付方式。商品名称、单价和计价方式应在设置页维护，不在购物车内修改。</w:t>
      </w:r>
    </w:p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六、订单管理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点击首页“订单管理”，选择查询日期后系统自动加载订单及汇总数据。可点击单笔订单查看明细；向下滑动列表时会继续加载更多数据。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订单管理依赖网络连接和正确的设备编号。切换日期后请等待当前日期的数据加载完成。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44"/>
        <w:gridCol w:w="4944"/>
      </w:tblGrid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-订单管理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首页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6 在线订单管理页（真机实拍）：按日期查看统计与在线订单</w:t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7 首页（真机实拍）：订单管理入口位于第三张业务卡片</w:t>
            </w:r>
          </w:p>
        </w:tc>
      </w:tr>
    </w:tbl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七、系统设置与商品维护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首页点击“系统设置”，通过密码验证后进入设置页。设置页提供“称重商品、汤底、熟食、商品、系统”页签。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熟食商品可维护名称、单价和销售方式；称重熟食的单价固定为元/500g。新增或修改商品后，应返回结算页确认商品列表、价格与计价方式显示正确。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接口地址、设备编号、配对信息和支付配置会影响系统运行，仅限授权运营或技术人员修改。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44"/>
        <w:gridCol w:w="4944"/>
      </w:tblGrid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系统设置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000" cy="1620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熟食结算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8 系统设置页（真机实拍）：维护称重商品、汤底、熟食、商品及系统参数</w:t>
            </w:r>
          </w:p>
        </w:tc>
        <w:tc>
          <w:tcPr>
            <w:tcW w:type="dxa" w:w="464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spacing w:before="40" w:after="160"/>
              <w:jc w:val="center"/>
            </w:pPr>
            <w:r>
              <w:rPr>
                <w:rFonts w:ascii="PingFang SC" w:hAnsi="PingFang SC" w:eastAsia="PingFang SC"/>
                <w:b w:val="0"/>
                <w:color w:val="646464"/>
                <w:sz w:val="17"/>
              </w:rPr>
              <w:t>图 9 熟食结算页（真机实拍）：维护完成后核对商品和计价方式</w:t>
            </w:r>
          </w:p>
        </w:tc>
      </w:tr>
    </w:tbl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八、日常注意事项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结算前确认商品、重量、数量和合计金额；支付发起后不要重复操作。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熟食称重时，加入下一件商品前应归零，避免上一件重量带入。</w:t>
      </w:r>
    </w:p>
    <w:p>
      <w:pPr>
        <w:spacing w:before="0" w:after="80" w:line="341" w:lineRule="auto"/>
      </w:pPr>
      <w:r>
        <w:rPr>
          <w:rFonts w:ascii="PingFang SC" w:hAnsi="PingFang SC" w:eastAsia="PingFang SC"/>
          <w:b w:val="0"/>
          <w:color w:val="232323"/>
          <w:sz w:val="21"/>
        </w:rPr>
        <w:t>网络异常时在线订单管理不可用，支付能力以现场设备和部署方式为准。</w:t>
      </w:r>
    </w:p>
    <w:p>
      <w:pPr>
        <w:keepNext/>
        <w:spacing w:before="280" w:after="140"/>
      </w:pPr>
      <w:r>
        <w:rPr>
          <w:rFonts w:ascii="PingFang SC" w:hAnsi="PingFang SC" w:eastAsia="PingFang SC"/>
          <w:b/>
          <w:color w:val="232323"/>
          <w:sz w:val="28"/>
        </w:rPr>
        <w:t>九、常见问题处理</w:t>
      </w:r>
    </w:p>
    <w:p>
      <w:pPr>
        <w:pStyle w:val="ListBullet"/>
        <w:spacing w:after="60" w:line="324" w:lineRule="auto"/>
      </w:pPr>
      <w:r>
        <w:rPr>
          <w:rFonts w:ascii="PingFang SC" w:hAnsi="PingFang SC" w:eastAsia="PingFang SC"/>
          <w:b w:val="0"/>
          <w:color w:val="232323"/>
          <w:sz w:val="21"/>
        </w:rPr>
        <w:t>称重值异常：检查秤台是否有遗留物、容器重量是否已去皮，以及秤体电源和连接。</w:t>
      </w:r>
    </w:p>
    <w:p>
      <w:pPr>
        <w:pStyle w:val="ListBullet"/>
        <w:spacing w:after="60" w:line="324" w:lineRule="auto"/>
      </w:pPr>
      <w:r>
        <w:rPr>
          <w:rFonts w:ascii="PingFang SC" w:hAnsi="PingFang SC" w:eastAsia="PingFang SC"/>
          <w:b w:val="0"/>
          <w:color w:val="232323"/>
          <w:sz w:val="21"/>
        </w:rPr>
        <w:t>无法加入熟食购物车：确认已选择商品、重量大于 0g 且秤重稳定。</w:t>
      </w:r>
    </w:p>
    <w:p>
      <w:pPr>
        <w:pStyle w:val="ListBullet"/>
        <w:spacing w:after="60" w:line="324" w:lineRule="auto"/>
      </w:pPr>
      <w:r>
        <w:rPr>
          <w:rFonts w:ascii="PingFang SC" w:hAnsi="PingFang SC" w:eastAsia="PingFang SC"/>
          <w:b w:val="0"/>
          <w:color w:val="232323"/>
          <w:sz w:val="21"/>
        </w:rPr>
        <w:t>支付方式不可用：检查网络、支付外设及系统设置中的支付配置。</w:t>
      </w:r>
    </w:p>
    <w:p>
      <w:pPr>
        <w:pStyle w:val="ListBullet"/>
        <w:spacing w:after="60" w:line="324" w:lineRule="auto"/>
      </w:pPr>
      <w:r>
        <w:rPr>
          <w:rFonts w:ascii="PingFang SC" w:hAnsi="PingFang SC" w:eastAsia="PingFang SC"/>
          <w:b w:val="0"/>
          <w:color w:val="232323"/>
          <w:sz w:val="21"/>
        </w:rPr>
        <w:t>订单管理为空或报错：检查网络连接、设备编号和所选日期。</w:t>
      </w:r>
    </w:p>
    <w:p>
      <w:pPr>
        <w:pStyle w:val="ListBullet"/>
        <w:spacing w:after="60" w:line="324" w:lineRule="auto"/>
      </w:pPr>
      <w:r>
        <w:rPr>
          <w:rFonts w:ascii="PingFang SC" w:hAnsi="PingFang SC" w:eastAsia="PingFang SC"/>
          <w:b w:val="0"/>
          <w:color w:val="232323"/>
          <w:sz w:val="21"/>
        </w:rPr>
        <w:t>商品列表为空：进入系统设置确认已新增商品且配置正确。</w:t>
      </w:r>
    </w:p>
    <w:p>
      <w:pPr>
        <w:pStyle w:val="ListBullet"/>
        <w:spacing w:after="60" w:line="324" w:lineRule="auto"/>
      </w:pPr>
      <w:r>
        <w:rPr>
          <w:rFonts w:ascii="PingFang SC" w:hAnsi="PingFang SC" w:eastAsia="PingFang SC"/>
          <w:b w:val="0"/>
          <w:color w:val="232323"/>
          <w:sz w:val="21"/>
        </w:rPr>
        <w:t>问题仍未恢复：记录页面提示、发生时间和操作步骤，联系技术支持处理。</w:t>
      </w:r>
    </w:p>
    <w:p>
      <w:pPr>
        <w:spacing w:before="160" w:after="0" w:line="341" w:lineRule="auto"/>
        <w:jc w:val="right"/>
      </w:pPr>
      <w:r>
        <w:rPr>
          <w:rFonts w:ascii="PingFang SC" w:hAnsi="PingFang SC" w:eastAsia="PingFang SC"/>
          <w:b w:val="0"/>
          <w:color w:val="232323"/>
          <w:sz w:val="17"/>
        </w:rPr>
        <w:t>文档生成日期：2026-08-18</w:t>
      </w:r>
    </w:p>
    <w:sectPr w:rsidR="00FC693F" w:rsidRPr="0006063C" w:rsidSect="00034616">
      <w:footerReference w:type="default" r:id="rId24"/>
      <w:pgSz w:w="11906" w:h="16838"/>
      <w:pgMar w:top="935" w:right="1009" w:bottom="935" w:left="10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ingFang SC" w:hAnsi="PingFang SC" w:eastAsia="PingFang SC"/>
        <w:b w:val="0"/>
        <w:color w:val="7D7D7D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宋体" w:hAnsi="宋体" w:eastAsia="宋体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00" w:line="276" w:lineRule="auto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76" w:lineRule="auto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76" w:lineRule="auto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footer" Target="footer1.xml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