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0" w:after="160"/>
        <w:jc w:val="center"/>
      </w:pPr>
      <w:r>
        <w:rPr>
          <w:rFonts w:ascii="黑体" w:hAnsi="黑体" w:eastAsia="黑体"/>
          <w:b/>
          <w:sz w:val="40"/>
        </w:rPr>
        <w:t>点餐终端</w:t>
      </w:r>
    </w:p>
    <w:p>
      <w:pPr>
        <w:pStyle w:val="3"/>
        <w:spacing w:before="0" w:after="360"/>
        <w:jc w:val="center"/>
      </w:pPr>
      <w:r>
        <w:rPr>
          <w:rFonts w:ascii="黑体" w:hAnsi="黑体" w:eastAsia="黑体"/>
          <w:b/>
          <w:sz w:val="32"/>
        </w:rPr>
        <w:t>功能操作手册</w:t>
      </w:r>
    </w:p>
    <w:p>
      <w:pPr>
        <w:pStyle w:val="3"/>
        <w:spacing w:before="240" w:after="140"/>
      </w:pPr>
      <w:r>
        <w:t>一、概述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点餐终端 V1.0 用于智慧营养食堂、企事业单位食堂、学校食堂和园区餐厅等场景，围绕现场自助点餐业务，将档口选择、菜品浏览、购物车、订单确认、取餐方式选择、刷卡/扫码/刷脸支付、支付成功展示、小票打印、订单查询和设备联调集中在同一软件内完成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系统面向前台用餐人员、现场运营人员和设备联调人员。用餐人员主要完成点餐、支付和取餐；运营人员主要维护接口地址、设备配对、支付方式和展示参数；联调人员可通过功能验证页检查扫码器、刷卡器和打印机的串口连接状态。</w:t>
      </w:r>
    </w:p>
    <w:p>
      <w:pPr>
        <w:pStyle w:val="3"/>
        <w:spacing w:before="240" w:after="140"/>
      </w:pPr>
      <w:r>
        <w:t>二、主要功能与界面对应说明</w:t>
      </w:r>
    </w:p>
    <w:p>
      <w:pPr>
        <w:pStyle w:val="4"/>
        <w:spacing w:before="160" w:after="100"/>
      </w:pPr>
      <w:r>
        <w:t>1. 启动与首页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应用启动后进入“智能点餐终端”启动页，页面展示当前版本号并显示初始化提示，约 2 秒后自动进入首页。首页以“CPT康比特 / 智慧营养健康餐厅”为主视觉，主要操作入口为“开始点餐”。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点击“开始点餐”进入档口选择页面；长按首页顶部品牌区域可弹出管理员密码输入框，验证后进入系统设置页面。首页同时会启动心跳任务，用于维持设备与后台的基础联通状态。</w:t>
      </w:r>
    </w:p>
    <w:p>
      <w:pPr>
        <w:pStyle w:val="4"/>
        <w:spacing w:before="160" w:after="100"/>
      </w:pPr>
      <w:r>
        <w:t>2. 档口选择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档口选择页面用于展示当前设备可用的食堂、餐次和档口信息。系统根据设备编号向后台获取档口列表，顶部显示当前餐次信息，食堂通过页签切换，档口以卡片形式展示。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操作人员或用餐人员选择目标档口后，点击档口卡片或“进入点餐”进入菜品点餐页面。若设备尚未完成配对或设备编号为空，页面会提示暂时无法获取档口。页面右上角提供订单查询入口，可在不进入点餐流程的情况下查询历史订单。</w:t>
      </w:r>
    </w:p>
    <w:p>
      <w:pPr>
        <w:pStyle w:val="4"/>
        <w:spacing w:before="160" w:after="100"/>
      </w:pPr>
      <w:r>
        <w:t>3. 菜品点餐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菜品点餐页面用于按档口展示当前餐次可点菜品。页面支持按“全部、主食、素菜、荤菜、蛋奶坚果、水果、汤饮”等分类浏览，也支持按营养标签筛选和按价格排序。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菜品卡片展示菜品名称、价格、单位、营养信息、剩余份数或售罄状态。点击菜品可查看菜品详情，详情页展示每 100g 营养成分和推荐标签；点击加购按钮可将菜品加入购物车。若菜品售罄、重量异常或达到可订上限，系统会阻止加购并给出提示。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页面底部购物车区域汇总已选菜品数量、合计金额和营养汇总。点击购物车可查看已选菜品并调整数量；点击“去结算”进入订单确认页。若购物车为空，系统提示“请先选择菜品”。</w:t>
      </w:r>
    </w:p>
    <w:p>
      <w:pPr>
        <w:pStyle w:val="4"/>
        <w:spacing w:before="160" w:after="100"/>
      </w:pPr>
      <w:r>
        <w:t>4. 购物车与订单确认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订单确认页用于核对已选菜品、数量、金额、取餐方式和订单备注。页面会根据购物车内容向后台确认订单信息，后台返回菜品价格、可订数量、取餐方式及可能的打包费等信息后，才允许继续支付。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用户可在订单确认页增减菜品数量、清空购物车、选择取餐方式，并在备注栏输入特殊要求，备注最多 200 个字符。取餐方式由后台返回，例如堂食、自提/打包或取餐柜等；若当前订单信息不完整或后台无可用取餐方式，“确认并支付”会保持不可用状态。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核对无误后点击“确认并支付”，系统会携带档口、餐次、菜品、金额、备注、取餐方式和打包费等信息进入支付方式选择页。</w:t>
      </w:r>
    </w:p>
    <w:p>
      <w:pPr>
        <w:pStyle w:val="4"/>
        <w:spacing w:before="160" w:after="100"/>
      </w:pPr>
      <w:r>
        <w:t>5. 支付方式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支付方式页展示本单应付金额和可用支付方式。可用支付方式由系统设置中的“支付设置”控制，支持刷卡支付、扫码支付和刷脸支付；若全部关闭，页面会提示当前未启用任何支付方式。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选择刷卡支付后，系统连接刷卡器并等待用户将卡片放置在读卡区；选择扫码支付后，系统连接扫码器并提示将付款码放置在扫码器正上方约 10cm 处；选择刷脸支付后，页面显示人脸识别遮罩并提示用户正对摄像头。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支付页包含倒计时机制，当前支付等待时间为 60 秒。超时会自动取消订单并返回首页；用户也可点击取消支付或返回待机。支付过程中系统会解析刷卡卡号或扫码付款码，校验订单信息后调用点餐机支付接口。支付成功后进入支付成功页，支付失败时弹出失败提示并支持重新支付或返回首页。</w:t>
      </w:r>
    </w:p>
    <w:p>
      <w:pPr>
        <w:pStyle w:val="4"/>
        <w:spacing w:before="160" w:after="100"/>
      </w:pPr>
      <w:r>
        <w:t>6. 支付成功与小票打印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支付成功页展示取餐号、取餐档口、订单金额、支付时间和膳食营养提示。系统会自动清空购物车，并尝试连接打印机输出点餐小票。页面顶部展示打印状态，若打印机缺纸、开盖、过热、电压异常或连接失败，会提示现场人员检查设备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用户可点击“查看订单”进入订单查询页，也可点击“返回首页”。页面默认 10 秒后自动返回首页；若小票仍在打印中，退出当前页面前会弹出确认提示，避免用户误以为小票已完成输出。</w:t>
      </w:r>
    </w:p>
    <w:p>
      <w:pPr>
        <w:pStyle w:val="4"/>
        <w:spacing w:before="160" w:after="100"/>
      </w:pPr>
      <w:r>
        <w:t>7. 订单查询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订单查询页用于按手机号后四位或订单号查询订单。输入关键词后点击“查询”或键盘搜索键，系统调用订单查询接口并展示取餐号、档口、订单金额、支付时间、订单编号和订单状态。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页面空状态会提示“请输入信息查询您的订单”；未查到数据时显示“未查询到相关订单”。页面文案提示当前仅支持查询最近 3 天的订单记录。订单列表中提供“补打小票”入口，便于现场处理小票丢失或打印异常后的补打场景。</w:t>
      </w:r>
    </w:p>
    <w:p>
      <w:pPr>
        <w:pStyle w:val="4"/>
        <w:spacing w:before="160" w:after="100"/>
      </w:pPr>
      <w:r>
        <w:t>8. 系统设置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系统设置页通过首页品牌区长按进入，主要包含“基础设置、支付设置、设备调试”三个页签。基础设置用于维护接口地址、配对码、设备编号、人脸激活码、人脸识别时间、订单保存时长、语音提示、菜名播报、营养展示和当前版本信息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接口地址修改后，系统会清空原有配对配置；输入配对码后，系统向后台获取设备配对信息，并记录设备编号、MQTT 配置、支付鉴权参数等关键配置。人脸识别时间支持 5 秒或 10 秒，订单保存时长支持 0 天、7 天或 30 天。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支付设置用于启用或关闭刷卡、扫码、刷脸支付，并设置支付结果弹框停留时长，当前可选 1 秒、3 秒和 5 秒。设备调试页保留刷卡测试入口，并可跳转到功能验证页进行完整硬件联调。</w:t>
      </w:r>
    </w:p>
    <w:p>
      <w:pPr>
        <w:pStyle w:val="4"/>
        <w:spacing w:before="160" w:after="100"/>
      </w:pPr>
      <w:r>
        <w:t>9. 功能验证与硬件联调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功能验证页用于现场联调扫码器、刷卡器和打印机。扫码器、刷卡器和打印机均使用串口连接，页面会展示连接方式、串口路径、波特率、连接状态、最近操作、最近接收时间、累计接收次数、累计接收字节数和原始 16 进制数据。</w:t>
      </w:r>
    </w:p>
    <w:tbl>
      <w:tblPr>
        <w:tblStyle w:val="33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2"/>
        <w:gridCol w:w="2292"/>
        <w:gridCol w:w="2292"/>
        <w:gridCol w:w="2292"/>
      </w:tblGrid>
      <w:tr>
        <w:tc>
          <w:tcPr>
            <w:tcW w:type="dxa" w:w="16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EDED"/>
          </w:tcPr>
          <w:p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设备</w:t>
            </w:r>
          </w:p>
        </w:tc>
        <w:tc>
          <w:tcPr>
            <w:tcW w:type="dxa" w:w="19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EDED"/>
          </w:tcPr>
          <w:p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串口路径</w:t>
            </w:r>
          </w:p>
        </w:tc>
        <w:tc>
          <w:tcPr>
            <w:tcW w:type="dxa" w:w="1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EDED"/>
          </w:tcPr>
          <w:p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波特率</w:t>
            </w:r>
          </w:p>
        </w:tc>
        <w:tc>
          <w:tcPr>
            <w:tcW w:type="dxa" w:w="518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EDED"/>
          </w:tcPr>
          <w:p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页面操作</w:t>
            </w:r>
          </w:p>
        </w:tc>
      </w:tr>
      <w:tr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扫码器</w:t>
            </w:r>
          </w:p>
        </w:tc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/dev/ttyS3</w:t>
            </w:r>
          </w:p>
        </w:tc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9600</w:t>
            </w:r>
          </w:p>
        </w:tc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连接扫码器、断开扫码器，查看付款码解析结果</w:t>
            </w:r>
          </w:p>
        </w:tc>
      </w:tr>
      <w:tr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刷卡器</w:t>
            </w:r>
          </w:p>
        </w:tc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/dev/ttyS5</w:t>
            </w:r>
          </w:p>
        </w:tc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9600</w:t>
            </w:r>
          </w:p>
        </w:tc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连接刷卡器、断开刷卡器，查看卡号解析结果</w:t>
            </w:r>
          </w:p>
        </w:tc>
      </w:tr>
      <w:tr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打印机</w:t>
            </w:r>
          </w:p>
        </w:tc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/dev/ttyS4</w:t>
            </w:r>
          </w:p>
        </w:tc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9600</w:t>
            </w:r>
          </w:p>
        </w:tc>
        <w:tc>
          <w:tcPr>
            <w:tcW w:type="dxa" w:w="22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连接打印机、断开打印机、打印测试、票据测试</w:t>
            </w:r>
          </w:p>
        </w:tc>
      </w:tr>
    </w:tbl>
    <w:p/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打印机验证区额外展示 FirmwareVersion、ResolutionInfo、Printer Error Status、Printer Info Status、PrinterReceived 和 PrinterPrinted 等回调信息。联调时建议先连接设备，再执行测试打印或票据测试，并观察状态区是否有缺纸、开盖、切刀异常、机芯异常或过热提示。</w:t>
      </w:r>
    </w:p>
    <w:p>
      <w:pPr>
        <w:pStyle w:val="4"/>
        <w:spacing w:before="160" w:after="100"/>
      </w:pPr>
      <w:r>
        <w:t>10. 异常提示与处理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系统会在关键节点给出明确提示。常见异常包括网络不可用、接口地址错误、设备未配对、设备编号为空、档口或菜品列表为空、购物车为空、取餐方式不可用、订单金额异常、支付方式未启用、扫码付款码格式异常、余额不足和打印机状态异常等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出现网络或接口异常时，优先检查设备网络、接口地址和配对信息；出现串口设备异常时，优先检查对应串口、线缆、电源和设备占用状态；出现打印异常时，优先检查纸卷、上盖、切刀、纸路和电源。支付失败后可按页面提示重新支付，或返回首页重新发起点餐流程。</w:t>
      </w:r>
    </w:p>
    <w:p>
      <w:pPr>
        <w:pStyle w:val="3"/>
        <w:spacing w:before="240" w:after="140"/>
      </w:pPr>
      <w:r>
        <w:t>三、标准操作流程</w:t>
      </w:r>
    </w:p>
    <w:p>
      <w:pPr>
        <w:pStyle w:val="4"/>
        <w:spacing w:before="160" w:after="100"/>
      </w:pPr>
      <w:r>
        <w:t>1. 首次部署流程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进入首页后长按品牌区，输入管理员密码进入系统设置。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在“基础设置”中确认接口地址，输入配对码并等待配对成功，确认设备编号已写入。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在“支付设置”中按现场要求启用刷卡、扫码或刷脸支付，并设置支付结果弹框停留时长。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在“设备调试”中打开功能验证页，分别连接扫码器、刷卡器和打印机，完成扫码、刷卡和打印测试。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返回首页，点击“开始点餐”，确认档口和菜品可正常加载。</w:t>
      </w:r>
    </w:p>
    <w:p>
      <w:pPr>
        <w:pStyle w:val="4"/>
        <w:spacing w:before="160" w:after="100"/>
      </w:pPr>
      <w:r>
        <w:t>2. 日常点餐流程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首页点击“开始点餐”，进入档口选择页。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选择食堂页签和目标档口，点击“进入点餐”。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在菜品列表中按分类、营养标签或价格排序选择菜品，加入购物车。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点击“去结算”，在订单确认页核对菜品数量、取餐方式、金额和备注。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点击“确认并支付”，选择刷卡、扫码或刷脸支付并等待支付结果。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支付成功后查看取餐号和打印状态，按需查看订单或等待自动返回首页。</w:t>
      </w:r>
    </w:p>
    <w:p>
      <w:pPr>
        <w:pStyle w:val="4"/>
        <w:spacing w:before="160" w:after="100"/>
      </w:pPr>
      <w:r>
        <w:t>3. 订单查询与补打流程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从档口选择页、菜品页或支付成功页进入订单查询。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输入手机号后四位或订单号，点击“查询”。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核对订单金额、支付时间、订单编号和状态。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如需补打，点击订单项中的“补打小票”入口，并确认打印机已连接且状态正常。</w:t>
      </w:r>
    </w:p>
    <w:p>
      <w:pPr>
        <w:pStyle w:val="4"/>
        <w:spacing w:before="160" w:after="100"/>
      </w:pPr>
      <w:r>
        <w:t>4. 设备联调流程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从设置页进入“设备调试”，点击“打开功能验证页”。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按现场需要分别点击“连接扫码器”“连接刷卡器”“连接打印机”。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扫码或刷卡后查看原始 16 进制数据和解析结果，确认协议解析正常。</w:t>
      </w:r>
    </w:p>
    <w:p>
      <w:pPr>
        <w:spacing w:after="80"/>
        <w:ind w:left="331" w:hanging="187"/>
      </w:pPr>
      <w:r>
        <w:rPr>
          <w:rFonts w:ascii="宋体" w:hAnsi="宋体" w:eastAsia="宋体"/>
          <w:b w:val="0"/>
          <w:sz w:val="22"/>
        </w:rPr>
        <w:t>• 打印机连接成功后执行“打印测试”或“票据测试”，确认出纸、中文编码、状态回调和打印完成回调正常。</w:t>
      </w:r>
    </w:p>
    <w:p>
      <w:pPr>
        <w:pStyle w:val="3"/>
        <w:spacing w:before="240" w:after="140"/>
      </w:pPr>
      <w:r>
        <w:t>四、维护注意事项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支付方式、营养展示、语音提示、订单保存时长等均为本机配置项，设备更换、系统重装或清除应用数据后需要重新确认。接口地址修改会影响配对信息和后续接口调用，修改前应确认目标环境地址正确。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扫码器、刷卡器和打印机串口路径在当前项目中固定配置，现场硬件接线或主板版本变化后，应先通过功能验证页确认实际串口是否一致。若设备提示已连接但无数据，建议检查外设供电、串口线序、波特率和是否被其他进程占用。</w:t>
      </w:r>
    </w:p>
    <w:p>
      <w:pPr>
        <w:spacing w:after="120"/>
        <w:ind w:firstLine="440"/>
      </w:pPr>
      <w:r>
        <w:rPr>
          <w:rFonts w:ascii="宋体" w:hAnsi="宋体" w:eastAsia="宋体"/>
          <w:b w:val="0"/>
          <w:sz w:val="22"/>
        </w:rPr>
        <w:t>订单支付和小票打印依赖后台返回的订单号、取餐号、支付时间、取餐方式和菜品明细。若出现小票字段为空，应优先核对订单支付接口返回数据；若出现订单查询为空，应先确认查询关键词、后台订单数据和页面提示的查询时间范围。</w:t>
      </w:r>
    </w:p>
    <w:sectPr>
      <w:pgSz w:w="11906" w:h="16838"/>
      <w:pgMar w:top="1296" w:right="1368" w:bottom="1296" w:left="136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FFF71B1"/>
    <w:rsid w:val="776DD61A"/>
    <w:rsid w:val="77FD8D4B"/>
    <w:rsid w:val="7F95FC8B"/>
    <w:rsid w:val="7FEBAA67"/>
    <w:rsid w:val="AEF69CBE"/>
    <w:rsid w:val="EE9EABA0"/>
    <w:rsid w:val="FD7B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 w:before="0"/>
      <w:jc w:val="left"/>
    </w:pPr>
    <w:rPr>
      <w:rFonts w:ascii="宋体" w:hAnsi="宋体" w:eastAsia="宋体" w:cstheme="minorBidi"/>
      <w:b w:val="0"/>
      <w:color w:val="00000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0" w:after="160" w:line="276" w:lineRule="auto"/>
      <w:outlineLvl w:val="0"/>
    </w:pPr>
    <w:rPr>
      <w:rFonts w:asciiTheme="majorHAnsi" w:hAnsiTheme="majorHAnsi" w:eastAsiaTheme="majorEastAsia" w:cstheme="majorBidi" w:ascii="黑体" w:hAnsi="黑体" w:eastAsia="黑体"/>
      <w:b/>
      <w:bCs/>
      <w:color w:val="000000"/>
      <w:sz w:val="30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0" w:after="160" w:line="276" w:lineRule="auto"/>
      <w:outlineLvl w:val="1"/>
    </w:pPr>
    <w:rPr>
      <w:rFonts w:asciiTheme="majorHAnsi" w:hAnsiTheme="majorHAnsi" w:eastAsiaTheme="majorEastAsia" w:cstheme="majorBidi" w:ascii="黑体" w:hAnsi="黑体" w:eastAsia="黑体"/>
      <w:b/>
      <w:bCs/>
      <w:color w:val="000000"/>
      <w:sz w:val="25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0" w:after="160" w:line="276" w:lineRule="auto"/>
      <w:outlineLvl w:val="2"/>
    </w:pPr>
    <w:rPr>
      <w:rFonts w:asciiTheme="majorHAnsi" w:hAnsiTheme="majorHAnsi" w:eastAsiaTheme="majorEastAsia" w:cstheme="majorBidi" w:ascii="黑体" w:hAnsi="黑体" w:eastAsia="黑体"/>
      <w:b/>
      <w:bCs/>
      <w:color w:val="000000"/>
      <w:sz w:val="23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163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佚名</cp:lastModifiedBy>
  <dcterms:modified xsi:type="dcterms:W3CDTF">2026-06-22T09:30:23Z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2C7D08DF1D1457C161B82F6A62E10247_42</vt:lpwstr>
  </property>
</Properties>
</file>