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e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80" w:after="160"/>
        <w:jc w:val="center"/>
      </w:pPr>
      <w:r>
        <w:rPr>
          <w:rFonts w:ascii="黑体" w:hAnsi="黑体" w:eastAsia="黑体"/>
          <w:b/>
          <w:sz w:val="40"/>
        </w:rPr>
        <w:t>点餐终端</w:t>
      </w:r>
    </w:p>
    <w:p>
      <w:pPr>
        <w:pStyle w:val="3"/>
        <w:spacing w:before="0" w:after="360"/>
        <w:jc w:val="center"/>
      </w:pPr>
      <w:r>
        <w:rPr>
          <w:rFonts w:ascii="黑体" w:hAnsi="黑体" w:eastAsia="黑体"/>
          <w:b/>
          <w:sz w:val="32"/>
        </w:rPr>
        <w:t>功能操作手册</w:t>
      </w:r>
    </w:p>
    <w:p>
      <w:pPr>
        <w:pStyle w:val="3"/>
        <w:spacing w:before="240" w:after="140"/>
      </w:pPr>
      <w:r>
        <w:t>一、概述</w:t>
      </w:r>
    </w:p>
    <w:p>
      <w:pPr>
        <w:spacing w:after="120"/>
        <w:ind w:firstLine="440"/>
      </w:pPr>
      <w:r>
        <w:rPr>
          <w:rFonts w:ascii="宋体" w:hAnsi="宋体" w:eastAsia="宋体"/>
          <w:b w:val="0"/>
          <w:sz w:val="22"/>
        </w:rPr>
        <w:t>点餐终端 V1.0 用于智慧营养食堂、企事业单位食堂、学校食堂和园区餐厅等场景，围绕现场自助点餐业务，将档口选择、菜品浏览、购物车、订单确认、取餐方式选择、刷卡/扫码/刷脸支付、支付成功展示、小票打印、订单查询和设备联调集中在同一软件内完成。</w:t>
      </w:r>
    </w:p>
    <w:p>
      <w:pPr>
        <w:spacing w:after="120"/>
        <w:ind w:firstLine="440"/>
      </w:pPr>
      <w:r>
        <w:rPr>
          <w:rFonts w:ascii="宋体" w:hAnsi="宋体" w:eastAsia="宋体"/>
          <w:b w:val="0"/>
          <w:sz w:val="22"/>
        </w:rPr>
        <w:t>系统面向前台用餐人员、现场运营人员和设备联调人员。用餐人员主要完成点餐、支付和取餐；运营人员主要维护接口地址、设备配对、支付方式和展示参数；联调人员可通过功能验证页检查扫码器、刷卡器和打印机的串口连接状态。</w:t>
      </w:r>
    </w:p>
    <w:p>
      <w:pPr>
        <w:pStyle w:val="3"/>
        <w:spacing w:before="240" w:after="140"/>
      </w:pPr>
      <w:r>
        <w:t>二、主要功能与界面对应说明</w:t>
      </w:r>
    </w:p>
    <w:p>
      <w:pPr>
        <w:pStyle w:val="4"/>
        <w:spacing w:before="160" w:after="100"/>
      </w:pPr>
      <w:r>
        <w:t>1. 启动与首页</w:t>
      </w:r>
    </w:p>
    <w:p>
      <w:pPr>
        <w:spacing w:after="120"/>
        <w:ind w:firstLine="440"/>
      </w:pPr>
      <w:r>
        <w:rPr>
          <w:rFonts w:ascii="宋体" w:hAnsi="宋体" w:eastAsia="宋体"/>
          <w:b w:val="0"/>
          <w:sz w:val="22"/>
        </w:rPr>
        <w:t>应用启动后进入“智能点餐终端”启动页，页面展示当前版本号并显示初始化提示，约 2 秒后自动进入首页。首页以“CPT康比特 / 智慧营养健康餐厅”为主视觉，主要操作入口为“开始点餐”。</w:t>
      </w:r>
    </w:p>
    <w:p>
      <w:pPr>
        <w:spacing w:after="120"/>
        <w:ind w:firstLine="440"/>
      </w:pPr>
      <w:r>
        <w:rPr>
          <w:rFonts w:ascii="宋体" w:hAnsi="宋体" w:eastAsia="宋体"/>
          <w:b w:val="0"/>
          <w:sz w:val="22"/>
        </w:rPr>
        <w:t>点击“开始点餐”进入档口选择页面；长按首页顶部品牌区域可弹出管理员密码输入框，验证后进入系统设置页面。首页同时会启动心跳任务，用于维持设备与后台的基础联通状态。</w:t>
      </w:r>
    </w:p>
    <w:p>
      <w:pPr>
        <w:pStyle w:val="4"/>
        <w:spacing w:before="160" w:after="100"/>
      </w:pPr>
      <w:r>
        <w:t>2. 档口选择</w:t>
      </w:r>
    </w:p>
    <w:p>
      <w:pPr>
        <w:spacing w:after="120"/>
        <w:ind w:firstLine="440"/>
      </w:pPr>
      <w:r>
        <w:rPr>
          <w:rFonts w:ascii="宋体" w:hAnsi="宋体" w:eastAsia="宋体"/>
          <w:b w:val="0"/>
          <w:sz w:val="22"/>
        </w:rPr>
        <w:t>档口选择页面用于展示当前设备可用的食堂、餐次和档口信息。系统根据设备编号向后台获取档口列表，顶部显示当前餐次信息，食堂通过页签切换，档口以卡片形式展示。</w:t>
      </w:r>
    </w:p>
    <w:p>
      <w:pPr>
        <w:spacing w:after="120"/>
        <w:ind w:firstLine="440"/>
      </w:pPr>
      <w:r>
        <w:rPr>
          <w:rFonts w:ascii="宋体" w:hAnsi="宋体" w:eastAsia="宋体"/>
          <w:b w:val="0"/>
          <w:sz w:val="22"/>
        </w:rPr>
        <w:t>操作人员或用餐人员选择目标档口后，点击档口卡片或“进入点餐”进入菜品点餐页面。若设备尚未完成配对或设备编号为空，页面会提示暂时无法获取档口。页面右上角提供订单查询入口，可在不进入点餐流程的情况下查询历史订单。</w:t>
      </w:r>
    </w:p>
    <w:p>
      <w:pPr>
        <w:pStyle w:val="4"/>
        <w:spacing w:before="160" w:after="100"/>
      </w:pPr>
      <w:r>
        <w:t>3. 菜品点餐</w:t>
      </w:r>
    </w:p>
    <w:p>
      <w:pPr>
        <w:spacing w:after="120"/>
        <w:ind w:firstLine="440"/>
      </w:pPr>
      <w:r>
        <w:rPr>
          <w:rFonts w:ascii="宋体" w:hAnsi="宋体" w:eastAsia="宋体"/>
          <w:b w:val="0"/>
          <w:sz w:val="22"/>
        </w:rPr>
        <w:t>菜品点餐页面用于按档口展示当前餐次可点菜品。页面支持按“全部、主食、素菜、荤菜、蛋奶坚果、水果、汤饮”等分类浏览，也支持按营养标签筛选和按价格排序。</w:t>
      </w:r>
    </w:p>
    <w:p>
      <w:pPr>
        <w:spacing w:after="120"/>
        <w:ind w:firstLine="440"/>
      </w:pPr>
      <w:r>
        <w:rPr>
          <w:rFonts w:ascii="宋体" w:hAnsi="宋体" w:eastAsia="宋体"/>
          <w:b w:val="0"/>
          <w:sz w:val="22"/>
        </w:rPr>
        <w:t>菜品卡片展示菜品名称、价格、单位、营养信息、剩余份数或售罄状态。点击菜品可查看菜品详情，详情页展示每 100g 营养成分和推荐标签；点击加购按钮可将菜品加入购物车。若菜品售罄、重量异常或达到可订上限，系统会阻止加购并给出提示。</w:t>
      </w:r>
    </w:p>
    <w:p>
      <w:pPr>
        <w:spacing w:after="120"/>
        <w:ind w:firstLine="440"/>
      </w:pPr>
      <w:r>
        <w:rPr>
          <w:rFonts w:ascii="宋体" w:hAnsi="宋体" w:eastAsia="宋体"/>
          <w:b w:val="0"/>
          <w:sz w:val="22"/>
        </w:rPr>
        <w:t>页面底部购物车区域汇总已选菜品数量、合计金额和营养汇总。点击购物车可查看已选菜品并调整数量；点击“去结算”进入订单确认页。若购物车为空，系统提示“请先选择菜品”。</w:t>
      </w:r>
    </w:p>
    <w:p>
      <w:pPr>
        <w:pStyle w:val="4"/>
        <w:spacing w:before="160" w:after="100"/>
      </w:pPr>
      <w:r>
        <w:t>4. 购物车与订单确认</w:t>
      </w:r>
    </w:p>
    <w:p>
      <w:pPr>
        <w:spacing w:after="120"/>
        <w:ind w:firstLine="440"/>
      </w:pPr>
      <w:r>
        <w:rPr>
          <w:rFonts w:ascii="宋体" w:hAnsi="宋体" w:eastAsia="宋体"/>
          <w:b w:val="0"/>
          <w:sz w:val="22"/>
        </w:rPr>
        <w:t>订单确认页用于核对已选菜品、数量、金额、取餐方式和订单备注。页面会根据购物车内容向后台确认订单信息，后台返回菜品价格、可订数量、取餐方式及可能的打包费等信息后，才允许继续支付。</w:t>
      </w:r>
    </w:p>
    <w:p>
      <w:pPr>
        <w:spacing w:after="120"/>
        <w:ind w:firstLine="440"/>
      </w:pPr>
      <w:r>
        <w:rPr>
          <w:rFonts w:ascii="宋体" w:hAnsi="宋体" w:eastAsia="宋体"/>
          <w:b w:val="0"/>
          <w:sz w:val="22"/>
        </w:rPr>
        <w:t>用户可在订单确认页增减菜品数量、清空购物车、选择取餐方式，并在备注栏输入特殊要求，备注最多 200 个字符。取餐方式由后台返回，例如堂食、自提/打包或取餐柜等；若当前订单信息不完整或后台无可用取餐方式，“确认并支付”会保持不可用状态。</w:t>
      </w:r>
    </w:p>
    <w:p>
      <w:pPr>
        <w:spacing w:after="120"/>
        <w:ind w:firstLine="440"/>
      </w:pPr>
      <w:r>
        <w:rPr>
          <w:rFonts w:ascii="宋体" w:hAnsi="宋体" w:eastAsia="宋体"/>
          <w:b w:val="0"/>
          <w:sz w:val="22"/>
        </w:rPr>
        <w:t>核对无误后点击“确认并支付”，系统会携带档口、餐次、菜品、金额、备注、取餐方式和打包费等信息进入支付方式选择页。</w:t>
      </w:r>
    </w:p>
    <w:p>
      <w:pPr>
        <w:pStyle w:val="4"/>
        <w:spacing w:before="160" w:after="100"/>
      </w:pPr>
      <w:r>
        <w:t>5. 支付方式</w:t>
      </w:r>
    </w:p>
    <w:p>
      <w:pPr>
        <w:spacing w:after="120"/>
        <w:ind w:firstLine="440"/>
      </w:pPr>
      <w:r>
        <w:rPr>
          <w:rFonts w:ascii="宋体" w:hAnsi="宋体" w:eastAsia="宋体"/>
          <w:b w:val="0"/>
          <w:sz w:val="22"/>
        </w:rPr>
        <w:t>支付方式页展示本单应付金额和可用支付方式。可用支付方式由系统设置中的“支付设置”控制，支持刷卡支付、扫码支付和刷脸支付；若全部关闭，页面会提示当前未启用任何支付方式。</w:t>
      </w:r>
    </w:p>
    <w:p>
      <w:pPr>
        <w:spacing w:after="120"/>
        <w:ind w:firstLine="440"/>
      </w:pPr>
      <w:r>
        <w:rPr>
          <w:rFonts w:ascii="宋体" w:hAnsi="宋体" w:eastAsia="宋体"/>
          <w:b w:val="0"/>
          <w:sz w:val="22"/>
        </w:rPr>
        <w:t>选择刷卡支付后，系统连接刷卡器并等待用户将卡片放置在读卡区；选择扫码支付后，系统连接扫码器并提示将付款码放置在扫码器正上方约 10cm 处；选择刷脸支付后，页面显示人脸识别遮罩并提示用户正对摄像头。</w:t>
      </w:r>
    </w:p>
    <w:p>
      <w:pPr>
        <w:spacing w:after="120"/>
        <w:ind w:firstLine="440"/>
      </w:pPr>
      <w:r>
        <w:rPr>
          <w:rFonts w:ascii="宋体" w:hAnsi="宋体" w:eastAsia="宋体"/>
          <w:b w:val="0"/>
          <w:sz w:val="22"/>
        </w:rPr>
        <w:t>支付页包含倒计时机制，当前支付等待时间为 60 秒。超时会自动取消订单并返回首页；用户也可点击取消支付或返回待机。支付过程中系统会解析刷卡卡号或扫码付款码，校验订单信息后调用点餐机支付接口。支付成功后进入支付成功页，支付失败时弹出失败提示并支持重新支付或返回首页。</w:t>
      </w:r>
    </w:p>
    <w:p>
      <w:pPr>
        <w:pStyle w:val="4"/>
        <w:spacing w:before="160" w:after="100"/>
      </w:pPr>
      <w:r>
        <w:t>6. 支付成功与小票打印</w:t>
      </w:r>
    </w:p>
    <w:p>
      <w:pPr>
        <w:spacing w:after="120"/>
        <w:ind w:firstLine="440"/>
      </w:pPr>
      <w:r>
        <w:rPr>
          <w:rFonts w:ascii="宋体" w:hAnsi="宋体" w:eastAsia="宋体"/>
          <w:b w:val="0"/>
          <w:sz w:val="22"/>
        </w:rPr>
        <w:t>支付成功页展示取餐号、取餐档口、订单金额、支付时间和膳食营养提示。系统会自动清空购物车，并尝试连接打印机输出点餐小票。页面顶部展示打印状态，若打印机缺纸、开盖、过热、电压异常或连接失败，会提示现场人员检查设备。</w:t>
      </w:r>
    </w:p>
    <w:p>
      <w:pPr>
        <w:spacing w:after="120"/>
        <w:ind w:firstLine="440"/>
      </w:pPr>
      <w:r>
        <w:rPr>
          <w:rFonts w:ascii="宋体" w:hAnsi="宋体" w:eastAsia="宋体"/>
          <w:b w:val="0"/>
          <w:sz w:val="22"/>
        </w:rPr>
        <w:t>用户可点击“查看订单”进入订单查询页，也可点击“返回首页”。页面默认 10 秒后自动返回首页；若小票仍在打印中，退出当前页面前会弹出确认提示，避免用户误以为小票已完成输出。</w:t>
      </w:r>
    </w:p>
    <w:p>
      <w:pPr>
        <w:pStyle w:val="4"/>
        <w:spacing w:before="160" w:after="100"/>
      </w:pPr>
      <w:r>
        <w:t>7. 订单查询</w:t>
      </w:r>
    </w:p>
    <w:p>
      <w:pPr>
        <w:spacing w:after="120"/>
        <w:ind w:firstLine="440"/>
      </w:pPr>
      <w:r>
        <w:rPr>
          <w:rFonts w:ascii="宋体" w:hAnsi="宋体" w:eastAsia="宋体"/>
          <w:b w:val="0"/>
          <w:sz w:val="22"/>
        </w:rPr>
        <w:t>订单查询页用于按手机号后四位或订单号查询订单。输入关键词后点击“查询”或键盘搜索键，系统调用订单查询接口并展示取餐号、档口、订单金额、支付时间、订单编号和订单状态。</w:t>
      </w:r>
    </w:p>
    <w:p>
      <w:pPr>
        <w:spacing w:after="120"/>
        <w:ind w:firstLine="440"/>
      </w:pPr>
      <w:r>
        <w:rPr>
          <w:rFonts w:ascii="宋体" w:hAnsi="宋体" w:eastAsia="宋体"/>
          <w:b w:val="0"/>
          <w:sz w:val="22"/>
        </w:rPr>
        <w:t>页面空状态会提示“请输入信息查询您的订单”；未查到数据时显示“未查询到相关订单”。页面文案提示当前仅支持查询最近 3 天的订单记录。订单列表中提供“补打小票”入口，便于现场处理小票丢失或打印异常后的补打场景。</w:t>
      </w:r>
    </w:p>
    <w:p>
      <w:pPr>
        <w:pStyle w:val="4"/>
        <w:spacing w:before="160" w:after="100"/>
      </w:pPr>
      <w:r>
        <w:t>8. 系统设置</w:t>
      </w:r>
    </w:p>
    <w:p>
      <w:pPr>
        <w:spacing w:after="120"/>
        <w:ind w:firstLine="440"/>
      </w:pPr>
      <w:r>
        <w:rPr>
          <w:rFonts w:ascii="宋体" w:hAnsi="宋体" w:eastAsia="宋体"/>
          <w:b w:val="0"/>
          <w:sz w:val="22"/>
        </w:rPr>
        <w:t>系统设置页通过首页品牌区长按进入，主要包含“基础设置、支付设置、设备调试”三个页签。基础设置用于维护接口地址、配对码、设备编号、人脸激活码、人脸识别时间、订单保存时长、语音提示、菜名播报、营养展示和当前版本信息。</w:t>
      </w:r>
    </w:p>
    <w:p>
      <w:pPr>
        <w:spacing w:after="120"/>
        <w:ind w:firstLine="440"/>
      </w:pPr>
      <w:r>
        <w:rPr>
          <w:rFonts w:ascii="宋体" w:hAnsi="宋体" w:eastAsia="宋体"/>
          <w:b w:val="0"/>
          <w:sz w:val="22"/>
        </w:rPr>
        <w:t>接口地址修改后，系统会清空原有配对配置；输入配对码后，系统向后台获取设备配对信息，并记录设备编号、MQTT 配置、支付鉴权参数等关键配置。人脸识别时间支持 5 秒或 10 秒，订单保存时长支持 0 天、7 天或 30 天。</w:t>
      </w:r>
    </w:p>
    <w:p>
      <w:pPr>
        <w:spacing w:after="120"/>
        <w:ind w:firstLine="440"/>
      </w:pPr>
      <w:r>
        <w:rPr>
          <w:rFonts w:ascii="宋体" w:hAnsi="宋体" w:eastAsia="宋体"/>
          <w:b w:val="0"/>
          <w:sz w:val="22"/>
        </w:rPr>
        <w:t>支付设置用于启用或关闭刷卡、扫码、刷脸支付，并设置支付结果弹框停留时长，当前可选 1 秒、3 秒和 5 秒。设备调试页保留刷卡测试入口，并可跳转到功能验证页进行完整硬件联调。</w:t>
      </w:r>
    </w:p>
    <w:p>
      <w:pPr>
        <w:pStyle w:val="4"/>
        <w:spacing w:before="160" w:after="100"/>
      </w:pPr>
      <w:r>
        <w:t>9. 功能验证与硬件联调</w:t>
      </w:r>
    </w:p>
    <w:p>
      <w:pPr>
        <w:spacing w:after="120"/>
        <w:ind w:firstLine="440"/>
      </w:pPr>
      <w:r>
        <w:rPr>
          <w:rFonts w:ascii="宋体" w:hAnsi="宋体" w:eastAsia="宋体"/>
          <w:b w:val="0"/>
          <w:sz w:val="22"/>
        </w:rPr>
        <w:t>功能验证页用于现场联调扫码器、刷卡器和打印机。扫码器、刷卡器和打印机均使用串口连接，页面会展示连接方式、串口路径、波特率、连接状态、最近操作、最近接收时间、累计接收次数、累计接收字节数和原始 16 进制数据。</w:t>
      </w:r>
    </w:p>
    <w:tbl>
      <w:tblPr>
        <w:tblStyle w:val="33"/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2292"/>
        <w:gridCol w:w="2292"/>
        <w:gridCol w:w="2292"/>
        <w:gridCol w:w="2292"/>
      </w:tblGrid>
      <w:tr>
        <w:tc>
          <w:tcPr>
            <w:tcW w:type="dxa" w:w="1656"/>
            <w:vAlign w:val="center"/>
            <w:tcMar>
              <w:top w:w="90" w:type="dxa"/>
              <w:start w:w="120" w:type="dxa"/>
              <w:bottom w:w="90" w:type="dxa"/>
              <w:end w:w="120" w:type="dxa"/>
            </w:tcMar>
            <w:shd w:fill="EDEDED"/>
          </w:tcPr>
          <w:p>
            <w:pPr>
              <w:spacing w:after="0"/>
              <w:jc w:val="center"/>
            </w:pPr>
            <w:r/>
            <w:r>
              <w:rPr>
                <w:rFonts w:ascii="宋体" w:hAnsi="宋体" w:eastAsia="宋体"/>
                <w:b/>
                <w:sz w:val="21"/>
              </w:rPr>
              <w:t>设备</w:t>
            </w:r>
          </w:p>
        </w:tc>
        <w:tc>
          <w:tcPr>
            <w:tcW w:type="dxa" w:w="1944"/>
            <w:vAlign w:val="center"/>
            <w:tcMar>
              <w:top w:w="90" w:type="dxa"/>
              <w:start w:w="120" w:type="dxa"/>
              <w:bottom w:w="90" w:type="dxa"/>
              <w:end w:w="120" w:type="dxa"/>
            </w:tcMar>
            <w:shd w:fill="EDEDED"/>
          </w:tcPr>
          <w:p>
            <w:pPr>
              <w:spacing w:after="0"/>
              <w:jc w:val="center"/>
            </w:pPr>
            <w:r/>
            <w:r>
              <w:rPr>
                <w:rFonts w:ascii="宋体" w:hAnsi="宋体" w:eastAsia="宋体"/>
                <w:b/>
                <w:sz w:val="21"/>
              </w:rPr>
              <w:t>串口路径</w:t>
            </w:r>
          </w:p>
        </w:tc>
        <w:tc>
          <w:tcPr>
            <w:tcW w:type="dxa" w:w="1440"/>
            <w:vAlign w:val="center"/>
            <w:tcMar>
              <w:top w:w="90" w:type="dxa"/>
              <w:start w:w="120" w:type="dxa"/>
              <w:bottom w:w="90" w:type="dxa"/>
              <w:end w:w="120" w:type="dxa"/>
            </w:tcMar>
            <w:shd w:fill="EDEDED"/>
          </w:tcPr>
          <w:p>
            <w:pPr>
              <w:spacing w:after="0"/>
              <w:jc w:val="center"/>
            </w:pPr>
            <w:r/>
            <w:r>
              <w:rPr>
                <w:rFonts w:ascii="宋体" w:hAnsi="宋体" w:eastAsia="宋体"/>
                <w:b/>
                <w:sz w:val="21"/>
              </w:rPr>
              <w:t>波特率</w:t>
            </w:r>
          </w:p>
        </w:tc>
        <w:tc>
          <w:tcPr>
            <w:tcW w:type="dxa" w:w="5184"/>
            <w:vAlign w:val="center"/>
            <w:tcMar>
              <w:top w:w="90" w:type="dxa"/>
              <w:start w:w="120" w:type="dxa"/>
              <w:bottom w:w="90" w:type="dxa"/>
              <w:end w:w="120" w:type="dxa"/>
            </w:tcMar>
            <w:shd w:fill="EDEDED"/>
          </w:tcPr>
          <w:p>
            <w:pPr>
              <w:spacing w:after="0"/>
              <w:jc w:val="center"/>
            </w:pPr>
            <w:r/>
            <w:r>
              <w:rPr>
                <w:rFonts w:ascii="宋体" w:hAnsi="宋体" w:eastAsia="宋体"/>
                <w:b/>
                <w:sz w:val="21"/>
              </w:rPr>
              <w:t>页面操作</w:t>
            </w:r>
          </w:p>
        </w:tc>
      </w:tr>
      <w:tr>
        <w:tc>
          <w:tcPr>
            <w:tcW w:type="dxa" w:w="2292"/>
            <w:vAlign w:val="center"/>
            <w:tcMar>
              <w:top w:w="90" w:type="dxa"/>
              <w:start w:w="120" w:type="dxa"/>
              <w:bottom w:w="90" w:type="dxa"/>
              <w:end w:w="120" w:type="dxa"/>
            </w:tcMar>
          </w:tcPr>
          <w:p>
            <w:pPr>
              <w:spacing w:after="0"/>
              <w:jc w:val="left"/>
            </w:pPr>
            <w:r/>
            <w:r>
              <w:rPr>
                <w:rFonts w:ascii="宋体" w:hAnsi="宋体" w:eastAsia="宋体"/>
                <w:b w:val="0"/>
                <w:sz w:val="21"/>
              </w:rPr>
              <w:t>扫码器</w:t>
            </w:r>
          </w:p>
        </w:tc>
        <w:tc>
          <w:tcPr>
            <w:tcW w:type="dxa" w:w="2292"/>
            <w:vAlign w:val="center"/>
            <w:tcMar>
              <w:top w:w="90" w:type="dxa"/>
              <w:start w:w="120" w:type="dxa"/>
              <w:bottom w:w="90" w:type="dxa"/>
              <w:end w:w="120" w:type="dxa"/>
            </w:tcMar>
          </w:tcPr>
          <w:p>
            <w:pPr>
              <w:spacing w:after="0"/>
              <w:jc w:val="left"/>
            </w:pPr>
            <w:r/>
            <w:r>
              <w:rPr>
                <w:rFonts w:ascii="宋体" w:hAnsi="宋体" w:eastAsia="宋体"/>
                <w:b w:val="0"/>
                <w:sz w:val="21"/>
              </w:rPr>
              <w:t>/dev/ttyS3</w:t>
            </w:r>
          </w:p>
        </w:tc>
        <w:tc>
          <w:tcPr>
            <w:tcW w:type="dxa" w:w="2292"/>
            <w:vAlign w:val="center"/>
            <w:tcMar>
              <w:top w:w="90" w:type="dxa"/>
              <w:start w:w="120" w:type="dxa"/>
              <w:bottom w:w="90" w:type="dxa"/>
              <w:end w:w="120" w:type="dxa"/>
            </w:tcMar>
          </w:tcPr>
          <w:p>
            <w:pPr>
              <w:spacing w:after="0"/>
              <w:jc w:val="left"/>
            </w:pPr>
            <w:r/>
            <w:r>
              <w:rPr>
                <w:rFonts w:ascii="宋体" w:hAnsi="宋体" w:eastAsia="宋体"/>
                <w:b w:val="0"/>
                <w:sz w:val="21"/>
              </w:rPr>
              <w:t>9600</w:t>
            </w:r>
          </w:p>
        </w:tc>
        <w:tc>
          <w:tcPr>
            <w:tcW w:type="dxa" w:w="2292"/>
            <w:vAlign w:val="center"/>
            <w:tcMar>
              <w:top w:w="90" w:type="dxa"/>
              <w:start w:w="120" w:type="dxa"/>
              <w:bottom w:w="90" w:type="dxa"/>
              <w:end w:w="120" w:type="dxa"/>
            </w:tcMar>
          </w:tcPr>
          <w:p>
            <w:pPr>
              <w:spacing w:after="0"/>
              <w:jc w:val="left"/>
            </w:pPr>
            <w:r/>
            <w:r>
              <w:rPr>
                <w:rFonts w:ascii="宋体" w:hAnsi="宋体" w:eastAsia="宋体"/>
                <w:b w:val="0"/>
                <w:sz w:val="21"/>
              </w:rPr>
              <w:t>连接扫码器、断开扫码器，查看付款码解析结果</w:t>
            </w:r>
          </w:p>
        </w:tc>
      </w:tr>
      <w:tr>
        <w:tc>
          <w:tcPr>
            <w:tcW w:type="dxa" w:w="2292"/>
            <w:vAlign w:val="center"/>
            <w:tcMar>
              <w:top w:w="90" w:type="dxa"/>
              <w:start w:w="120" w:type="dxa"/>
              <w:bottom w:w="90" w:type="dxa"/>
              <w:end w:w="120" w:type="dxa"/>
            </w:tcMar>
          </w:tcPr>
          <w:p>
            <w:pPr>
              <w:spacing w:after="0"/>
              <w:jc w:val="left"/>
            </w:pPr>
            <w:r/>
            <w:r>
              <w:rPr>
                <w:rFonts w:ascii="宋体" w:hAnsi="宋体" w:eastAsia="宋体"/>
                <w:b w:val="0"/>
                <w:sz w:val="21"/>
              </w:rPr>
              <w:t>刷卡器</w:t>
            </w:r>
          </w:p>
        </w:tc>
        <w:tc>
          <w:tcPr>
            <w:tcW w:type="dxa" w:w="2292"/>
            <w:vAlign w:val="center"/>
            <w:tcMar>
              <w:top w:w="90" w:type="dxa"/>
              <w:start w:w="120" w:type="dxa"/>
              <w:bottom w:w="90" w:type="dxa"/>
              <w:end w:w="120" w:type="dxa"/>
            </w:tcMar>
          </w:tcPr>
          <w:p>
            <w:pPr>
              <w:spacing w:after="0"/>
              <w:jc w:val="left"/>
            </w:pPr>
            <w:r/>
            <w:r>
              <w:rPr>
                <w:rFonts w:ascii="宋体" w:hAnsi="宋体" w:eastAsia="宋体"/>
                <w:b w:val="0"/>
                <w:sz w:val="21"/>
              </w:rPr>
              <w:t>/dev/ttyS5</w:t>
            </w:r>
          </w:p>
        </w:tc>
        <w:tc>
          <w:tcPr>
            <w:tcW w:type="dxa" w:w="2292"/>
            <w:vAlign w:val="center"/>
            <w:tcMar>
              <w:top w:w="90" w:type="dxa"/>
              <w:start w:w="120" w:type="dxa"/>
              <w:bottom w:w="90" w:type="dxa"/>
              <w:end w:w="120" w:type="dxa"/>
            </w:tcMar>
          </w:tcPr>
          <w:p>
            <w:pPr>
              <w:spacing w:after="0"/>
              <w:jc w:val="left"/>
            </w:pPr>
            <w:r/>
            <w:r>
              <w:rPr>
                <w:rFonts w:ascii="宋体" w:hAnsi="宋体" w:eastAsia="宋体"/>
                <w:b w:val="0"/>
                <w:sz w:val="21"/>
              </w:rPr>
              <w:t>9600</w:t>
            </w:r>
          </w:p>
        </w:tc>
        <w:tc>
          <w:tcPr>
            <w:tcW w:type="dxa" w:w="2292"/>
            <w:vAlign w:val="center"/>
            <w:tcMar>
              <w:top w:w="90" w:type="dxa"/>
              <w:start w:w="120" w:type="dxa"/>
              <w:bottom w:w="90" w:type="dxa"/>
              <w:end w:w="120" w:type="dxa"/>
            </w:tcMar>
          </w:tcPr>
          <w:p>
            <w:pPr>
              <w:spacing w:after="0"/>
              <w:jc w:val="left"/>
            </w:pPr>
            <w:r/>
            <w:r>
              <w:rPr>
                <w:rFonts w:ascii="宋体" w:hAnsi="宋体" w:eastAsia="宋体"/>
                <w:b w:val="0"/>
                <w:sz w:val="21"/>
              </w:rPr>
              <w:t>连接刷卡器、断开刷卡器，查看卡号解析结果</w:t>
            </w:r>
          </w:p>
        </w:tc>
      </w:tr>
      <w:tr>
        <w:tc>
          <w:tcPr>
            <w:tcW w:type="dxa" w:w="2292"/>
            <w:vAlign w:val="center"/>
            <w:tcMar>
              <w:top w:w="90" w:type="dxa"/>
              <w:start w:w="120" w:type="dxa"/>
              <w:bottom w:w="90" w:type="dxa"/>
              <w:end w:w="120" w:type="dxa"/>
            </w:tcMar>
          </w:tcPr>
          <w:p>
            <w:pPr>
              <w:spacing w:after="0"/>
              <w:jc w:val="left"/>
            </w:pPr>
            <w:r/>
            <w:r>
              <w:rPr>
                <w:rFonts w:ascii="宋体" w:hAnsi="宋体" w:eastAsia="宋体"/>
                <w:b w:val="0"/>
                <w:sz w:val="21"/>
              </w:rPr>
              <w:t>打印机</w:t>
            </w:r>
          </w:p>
        </w:tc>
        <w:tc>
          <w:tcPr>
            <w:tcW w:type="dxa" w:w="2292"/>
            <w:vAlign w:val="center"/>
            <w:tcMar>
              <w:top w:w="90" w:type="dxa"/>
              <w:start w:w="120" w:type="dxa"/>
              <w:bottom w:w="90" w:type="dxa"/>
              <w:end w:w="120" w:type="dxa"/>
            </w:tcMar>
          </w:tcPr>
          <w:p>
            <w:pPr>
              <w:spacing w:after="0"/>
              <w:jc w:val="left"/>
            </w:pPr>
            <w:r/>
            <w:r>
              <w:rPr>
                <w:rFonts w:ascii="宋体" w:hAnsi="宋体" w:eastAsia="宋体"/>
                <w:b w:val="0"/>
                <w:sz w:val="21"/>
              </w:rPr>
              <w:t>/dev/ttyS4</w:t>
            </w:r>
          </w:p>
        </w:tc>
        <w:tc>
          <w:tcPr>
            <w:tcW w:type="dxa" w:w="2292"/>
            <w:vAlign w:val="center"/>
            <w:tcMar>
              <w:top w:w="90" w:type="dxa"/>
              <w:start w:w="120" w:type="dxa"/>
              <w:bottom w:w="90" w:type="dxa"/>
              <w:end w:w="120" w:type="dxa"/>
            </w:tcMar>
          </w:tcPr>
          <w:p>
            <w:pPr>
              <w:spacing w:after="0"/>
              <w:jc w:val="left"/>
            </w:pPr>
            <w:r/>
            <w:r>
              <w:rPr>
                <w:rFonts w:ascii="宋体" w:hAnsi="宋体" w:eastAsia="宋体"/>
                <w:b w:val="0"/>
                <w:sz w:val="21"/>
              </w:rPr>
              <w:t>9600</w:t>
            </w:r>
          </w:p>
        </w:tc>
        <w:tc>
          <w:tcPr>
            <w:tcW w:type="dxa" w:w="2292"/>
            <w:vAlign w:val="center"/>
            <w:tcMar>
              <w:top w:w="90" w:type="dxa"/>
              <w:start w:w="120" w:type="dxa"/>
              <w:bottom w:w="90" w:type="dxa"/>
              <w:end w:w="120" w:type="dxa"/>
            </w:tcMar>
          </w:tcPr>
          <w:p>
            <w:pPr>
              <w:spacing w:after="0"/>
              <w:jc w:val="left"/>
            </w:pPr>
            <w:r/>
            <w:r>
              <w:rPr>
                <w:rFonts w:ascii="宋体" w:hAnsi="宋体" w:eastAsia="宋体"/>
                <w:b w:val="0"/>
                <w:sz w:val="21"/>
              </w:rPr>
              <w:t>连接打印机、断开打印机、打印测试、票据测试</w:t>
            </w:r>
          </w:p>
        </w:tc>
      </w:tr>
    </w:tbl>
    <w:p/>
    <w:p>
      <w:pPr>
        <w:spacing w:after="120"/>
        <w:ind w:firstLine="440"/>
      </w:pPr>
      <w:r>
        <w:rPr>
          <w:rFonts w:ascii="宋体" w:hAnsi="宋体" w:eastAsia="宋体"/>
          <w:b w:val="0"/>
          <w:sz w:val="22"/>
        </w:rPr>
        <w:t>打印机验证区额外展示 FirmwareVersion、ResolutionInfo、Printer Error Status、Printer Info Status、PrinterReceived 和 PrinterPrinted 等回调信息。联调时建议先连接设备，再执行测试打印或票据测试，并观察状态区是否有缺纸、开盖、切刀异常、机芯异常或过热提示。</w:t>
      </w:r>
    </w:p>
    <w:p>
      <w:pPr>
        <w:pStyle w:val="4"/>
        <w:spacing w:before="160" w:after="100"/>
      </w:pPr>
      <w:r>
        <w:t>10. 异常提示与处理</w:t>
      </w:r>
    </w:p>
    <w:p>
      <w:pPr>
        <w:spacing w:after="120"/>
        <w:ind w:firstLine="440"/>
      </w:pPr>
      <w:r>
        <w:rPr>
          <w:rFonts w:ascii="宋体" w:hAnsi="宋体" w:eastAsia="宋体"/>
          <w:b w:val="0"/>
          <w:sz w:val="22"/>
        </w:rPr>
        <w:t>系统会在关键节点给出明确提示。常见异常包括网络不可用、接口地址错误、设备未配对、设备编号为空、档口或菜品列表为空、购物车为空、取餐方式不可用、订单金额异常、支付方式未启用、扫码付款码格式异常、余额不足和打印机状态异常等。</w:t>
      </w:r>
    </w:p>
    <w:p>
      <w:pPr>
        <w:spacing w:after="120"/>
        <w:ind w:firstLine="440"/>
      </w:pPr>
      <w:r>
        <w:rPr>
          <w:rFonts w:ascii="宋体" w:hAnsi="宋体" w:eastAsia="宋体"/>
          <w:b w:val="0"/>
          <w:sz w:val="22"/>
        </w:rPr>
        <w:t>出现网络或接口异常时，优先检查设备网络、接口地址和配对信息；出现串口设备异常时，优先检查对应串口、线缆、电源和设备占用状态；出现打印异常时，优先检查纸卷、上盖、切刀、纸路和电源。支付失败后可按页面提示重新支付，或返回首页重新发起点餐流程。</w:t>
      </w:r>
    </w:p>
    <w:p>
      <w:pPr>
        <w:pStyle w:val="3"/>
        <w:spacing w:before="240" w:after="140"/>
      </w:pPr>
      <w:r>
        <w:t>三、标准操作流程</w:t>
      </w:r>
    </w:p>
    <w:p>
      <w:pPr>
        <w:pStyle w:val="4"/>
        <w:spacing w:before="160" w:after="100"/>
      </w:pPr>
      <w:r>
        <w:t>1. 首次部署流程</w:t>
      </w:r>
    </w:p>
    <w:p>
      <w:pPr>
        <w:spacing w:after="80"/>
        <w:ind w:left="331" w:hanging="187"/>
      </w:pPr>
      <w:r>
        <w:rPr>
          <w:rFonts w:ascii="宋体" w:hAnsi="宋体" w:eastAsia="宋体"/>
          <w:b w:val="0"/>
          <w:sz w:val="22"/>
        </w:rPr>
        <w:t>• 进入首页后长按品牌区，输入管理员密码进入系统设置。</w:t>
      </w:r>
    </w:p>
    <w:p>
      <w:pPr>
        <w:spacing w:after="80"/>
        <w:ind w:left="331" w:hanging="187"/>
      </w:pPr>
      <w:r>
        <w:rPr>
          <w:rFonts w:ascii="宋体" w:hAnsi="宋体" w:eastAsia="宋体"/>
          <w:b w:val="0"/>
          <w:sz w:val="22"/>
        </w:rPr>
        <w:t>• 在“基础设置”中确认接口地址，输入配对码并等待配对成功，确认设备编号已写入。</w:t>
      </w:r>
    </w:p>
    <w:p>
      <w:pPr>
        <w:spacing w:after="80"/>
        <w:ind w:left="331" w:hanging="187"/>
      </w:pPr>
      <w:r>
        <w:rPr>
          <w:rFonts w:ascii="宋体" w:hAnsi="宋体" w:eastAsia="宋体"/>
          <w:b w:val="0"/>
          <w:sz w:val="22"/>
        </w:rPr>
        <w:t>• 在“支付设置”中按现场要求启用刷卡、扫码或刷脸支付，并设置支付结果弹框停留时长。</w:t>
      </w:r>
    </w:p>
    <w:p>
      <w:pPr>
        <w:spacing w:after="80"/>
        <w:ind w:left="331" w:hanging="187"/>
      </w:pPr>
      <w:r>
        <w:rPr>
          <w:rFonts w:ascii="宋体" w:hAnsi="宋体" w:eastAsia="宋体"/>
          <w:b w:val="0"/>
          <w:sz w:val="22"/>
        </w:rPr>
        <w:t>• 在“设备调试”中打开功能验证页，分别连接扫码器、刷卡器和打印机，完成扫码、刷卡和打印测试。</w:t>
      </w:r>
    </w:p>
    <w:p>
      <w:pPr>
        <w:spacing w:after="80"/>
        <w:ind w:left="331" w:hanging="187"/>
      </w:pPr>
      <w:r>
        <w:rPr>
          <w:rFonts w:ascii="宋体" w:hAnsi="宋体" w:eastAsia="宋体"/>
          <w:b w:val="0"/>
          <w:sz w:val="22"/>
        </w:rPr>
        <w:t>• 返回首页，点击“开始点餐”，确认档口和菜品可正常加载。</w:t>
      </w:r>
    </w:p>
    <w:p>
      <w:pPr>
        <w:pStyle w:val="4"/>
        <w:spacing w:before="160" w:after="100"/>
      </w:pPr>
      <w:r>
        <w:t>2. 日常点餐流程</w:t>
      </w:r>
    </w:p>
    <w:p>
      <w:pPr>
        <w:spacing w:after="80"/>
        <w:ind w:left="331" w:hanging="187"/>
      </w:pPr>
      <w:r>
        <w:rPr>
          <w:rFonts w:ascii="宋体" w:hAnsi="宋体" w:eastAsia="宋体"/>
          <w:b w:val="0"/>
          <w:sz w:val="22"/>
        </w:rPr>
        <w:t>• 首页点击“开始点餐”，进入档口选择页。</w:t>
      </w:r>
    </w:p>
    <w:p>
      <w:pPr>
        <w:spacing w:after="80"/>
        <w:ind w:left="331" w:hanging="187"/>
      </w:pPr>
      <w:r>
        <w:rPr>
          <w:rFonts w:ascii="宋体" w:hAnsi="宋体" w:eastAsia="宋体"/>
          <w:b w:val="0"/>
          <w:sz w:val="22"/>
        </w:rPr>
        <w:t>• 选择食堂页签和目标档口，点击“进入点餐”。</w:t>
      </w:r>
    </w:p>
    <w:p>
      <w:pPr>
        <w:spacing w:after="80"/>
        <w:ind w:left="331" w:hanging="187"/>
      </w:pPr>
      <w:r>
        <w:rPr>
          <w:rFonts w:ascii="宋体" w:hAnsi="宋体" w:eastAsia="宋体"/>
          <w:b w:val="0"/>
          <w:sz w:val="22"/>
        </w:rPr>
        <w:t>• 在菜品列表中按分类、营养标签或价格排序选择菜品，加入购物车。</w:t>
      </w:r>
    </w:p>
    <w:p>
      <w:pPr>
        <w:spacing w:after="80"/>
        <w:ind w:left="331" w:hanging="187"/>
      </w:pPr>
      <w:r>
        <w:rPr>
          <w:rFonts w:ascii="宋体" w:hAnsi="宋体" w:eastAsia="宋体"/>
          <w:b w:val="0"/>
          <w:sz w:val="22"/>
        </w:rPr>
        <w:t>• 点击“去结算”，在订单确认页核对菜品数量、取餐方式、金额和备注。</w:t>
      </w:r>
    </w:p>
    <w:p>
      <w:pPr>
        <w:spacing w:after="80"/>
        <w:ind w:left="331" w:hanging="187"/>
      </w:pPr>
      <w:r>
        <w:rPr>
          <w:rFonts w:ascii="宋体" w:hAnsi="宋体" w:eastAsia="宋体"/>
          <w:b w:val="0"/>
          <w:sz w:val="22"/>
        </w:rPr>
        <w:t>• 点击“确认并支付”，选择刷卡、扫码或刷脸支付并等待支付结果。</w:t>
      </w:r>
    </w:p>
    <w:p>
      <w:pPr>
        <w:spacing w:after="80"/>
        <w:ind w:left="331" w:hanging="187"/>
      </w:pPr>
      <w:r>
        <w:rPr>
          <w:rFonts w:ascii="宋体" w:hAnsi="宋体" w:eastAsia="宋体"/>
          <w:b w:val="0"/>
          <w:sz w:val="22"/>
        </w:rPr>
        <w:t>• 支付成功后查看取餐号和打印状态，按需查看订单或等待自动返回首页。</w:t>
      </w:r>
    </w:p>
    <w:p>
      <w:pPr>
        <w:pStyle w:val="4"/>
        <w:spacing w:before="160" w:after="100"/>
      </w:pPr>
      <w:r>
        <w:t>3. 订单查询与补打流程</w:t>
      </w:r>
    </w:p>
    <w:p>
      <w:pPr>
        <w:spacing w:after="80"/>
        <w:ind w:left="331" w:hanging="187"/>
      </w:pPr>
      <w:r>
        <w:rPr>
          <w:rFonts w:ascii="宋体" w:hAnsi="宋体" w:eastAsia="宋体"/>
          <w:b w:val="0"/>
          <w:sz w:val="22"/>
        </w:rPr>
        <w:t>• 从档口选择页、菜品页或支付成功页进入订单查询。</w:t>
      </w:r>
    </w:p>
    <w:p>
      <w:pPr>
        <w:spacing w:after="80"/>
        <w:ind w:left="331" w:hanging="187"/>
      </w:pPr>
      <w:r>
        <w:rPr>
          <w:rFonts w:ascii="宋体" w:hAnsi="宋体" w:eastAsia="宋体"/>
          <w:b w:val="0"/>
          <w:sz w:val="22"/>
        </w:rPr>
        <w:t>• 输入手机号后四位或订单号，点击“查询”。</w:t>
      </w:r>
    </w:p>
    <w:p>
      <w:pPr>
        <w:spacing w:after="80"/>
        <w:ind w:left="331" w:hanging="187"/>
      </w:pPr>
      <w:r>
        <w:rPr>
          <w:rFonts w:ascii="宋体" w:hAnsi="宋体" w:eastAsia="宋体"/>
          <w:b w:val="0"/>
          <w:sz w:val="22"/>
        </w:rPr>
        <w:t>• 核对订单金额、支付时间、订单编号和状态。</w:t>
      </w:r>
    </w:p>
    <w:p>
      <w:pPr>
        <w:spacing w:after="80"/>
        <w:ind w:left="331" w:hanging="187"/>
      </w:pPr>
      <w:r>
        <w:rPr>
          <w:rFonts w:ascii="宋体" w:hAnsi="宋体" w:eastAsia="宋体"/>
          <w:b w:val="0"/>
          <w:sz w:val="22"/>
        </w:rPr>
        <w:t>• 如需补打，点击订单项中的“补打小票”入口，并确认打印机已连接且状态正常。</w:t>
      </w:r>
    </w:p>
    <w:p>
      <w:pPr>
        <w:pStyle w:val="4"/>
        <w:spacing w:before="160" w:after="100"/>
      </w:pPr>
      <w:r>
        <w:t>4. 设备联调流程</w:t>
      </w:r>
    </w:p>
    <w:p>
      <w:pPr>
        <w:spacing w:after="80"/>
        <w:ind w:left="331" w:hanging="187"/>
      </w:pPr>
      <w:r>
        <w:rPr>
          <w:rFonts w:ascii="宋体" w:hAnsi="宋体" w:eastAsia="宋体"/>
          <w:b w:val="0"/>
          <w:sz w:val="22"/>
        </w:rPr>
        <w:t>• 从设置页进入“设备调试”，点击“打开功能验证页”。</w:t>
      </w:r>
    </w:p>
    <w:p>
      <w:pPr>
        <w:spacing w:after="80"/>
        <w:ind w:left="331" w:hanging="187"/>
      </w:pPr>
      <w:r>
        <w:rPr>
          <w:rFonts w:ascii="宋体" w:hAnsi="宋体" w:eastAsia="宋体"/>
          <w:b w:val="0"/>
          <w:sz w:val="22"/>
        </w:rPr>
        <w:t>• 按现场需要分别点击“连接扫码器”“连接刷卡器”“连接打印机”。</w:t>
      </w:r>
    </w:p>
    <w:p>
      <w:pPr>
        <w:spacing w:after="80"/>
        <w:ind w:left="331" w:hanging="187"/>
      </w:pPr>
      <w:r>
        <w:rPr>
          <w:rFonts w:ascii="宋体" w:hAnsi="宋体" w:eastAsia="宋体"/>
          <w:b w:val="0"/>
          <w:sz w:val="22"/>
        </w:rPr>
        <w:t>• 扫码或刷卡后查看原始 16 进制数据和解析结果，确认协议解析正常。</w:t>
      </w:r>
    </w:p>
    <w:p>
      <w:pPr>
        <w:spacing w:after="80"/>
        <w:ind w:left="331" w:hanging="187"/>
      </w:pPr>
      <w:r>
        <w:rPr>
          <w:rFonts w:ascii="宋体" w:hAnsi="宋体" w:eastAsia="宋体"/>
          <w:b w:val="0"/>
          <w:sz w:val="22"/>
        </w:rPr>
        <w:t>• 打印机连接成功后执行“打印测试”或“票据测试”，确认出纸、中文编码、状态回调和打印完成回调正常。</w:t>
      </w:r>
    </w:p>
    <w:p>
      <w:pPr>
        <w:pStyle w:val="3"/>
        <w:spacing w:before="240" w:after="140"/>
      </w:pPr>
      <w:r>
        <w:t>四、维护注意事项</w:t>
      </w:r>
    </w:p>
    <w:p>
      <w:pPr>
        <w:spacing w:after="120"/>
        <w:ind w:firstLine="440"/>
      </w:pPr>
      <w:r>
        <w:rPr>
          <w:rFonts w:ascii="宋体" w:hAnsi="宋体" w:eastAsia="宋体"/>
          <w:b w:val="0"/>
          <w:sz w:val="22"/>
        </w:rPr>
        <w:t>支付方式、营养展示、语音提示、订单保存时长等均为本机配置项，设备更换、系统重装或清除应用数据后需要重新确认。接口地址修改会影响配对信息和后续接口调用，修改前应确认目标环境地址正确。</w:t>
      </w:r>
    </w:p>
    <w:p>
      <w:pPr>
        <w:spacing w:after="120"/>
        <w:ind w:firstLine="440"/>
      </w:pPr>
      <w:r>
        <w:rPr>
          <w:rFonts w:ascii="宋体" w:hAnsi="宋体" w:eastAsia="宋体"/>
          <w:b w:val="0"/>
          <w:sz w:val="22"/>
        </w:rPr>
        <w:t>扫码器、刷卡器和打印机串口路径在当前项目中固定配置，现场硬件接线或主板版本变化后，应先通过功能验证页确认实际串口是否一致。若设备提示已连接但无数据，建议检查外设供电、串口线序、波特率和是否被其他进程占用。</w:t>
      </w:r>
    </w:p>
    <w:p>
      <w:pPr>
        <w:spacing w:after="120"/>
        <w:ind w:firstLine="440"/>
      </w:pPr>
      <w:r>
        <w:rPr>
          <w:rFonts w:ascii="宋体" w:hAnsi="宋体" w:eastAsia="宋体"/>
          <w:b w:val="0"/>
          <w:sz w:val="22"/>
        </w:rPr>
        <w:t>订单支付和小票打印依赖后台返回的订单号、取餐号、支付时间、取餐方式和菜品明细。若出现小票字段为空，应优先核对订单支付接口返回数据；若出现订单查询为空，应先确认查询关键词、后台订单数据和页面提示的查询时间范围。</w:t>
      </w:r>
    </w:p>
    <w:sectPr>
      <w:pgSz w:w="11906" w:h="16838"/>
      <w:pgMar w:top="1296" w:right="1368" w:bottom="1296" w:left="1368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苹方-简"/>
    <w:panose1 w:val="02040503050406030204"/>
    <w:charset w:val="00"/>
    <w:family w:val="auto"/>
    <w:pitch w:val="default"/>
    <w:sig w:usb0="00000000" w:usb1="00000000" w:usb2="00000000" w:usb3="00000000" w:csb0="0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ＭＳ 明朝">
    <w:altName w:val="Hiragino Sans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Hiragino Sans">
    <w:panose1 w:val="020B0300000000000000"/>
    <w:charset w:val="80"/>
    <w:family w:val="auto"/>
    <w:pitch w:val="default"/>
    <w:sig w:usb0="E00002FF" w:usb1="7AE7FFFF" w:usb2="00000012" w:usb3="00000000" w:csb0="0002000D" w:csb1="00000000"/>
  </w:font>
  <w:font w:name="ＭＳ 明朝">
    <w:altName w:val="Hiragino San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ongti SC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ＭＳ ゴシック">
    <w:altName w:val="Hiragino Sans"/>
    <w:panose1 w:val="00000000000000000000"/>
    <w:charset w:val="80"/>
    <w:family w:val="modern"/>
    <w:pitch w:val="default"/>
    <w:sig w:usb0="00000000" w:usb1="00000000" w:usb2="00000010" w:usb3="00000000" w:csb0="00020000" w:csb1="00000000"/>
  </w:font>
  <w:font w:name="Courier">
    <w:altName w:val="苹方-简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 Regular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ＭＳ 明朝">
    <w:altName w:val="Hiragino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ＭＳ ゴシック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24" w:lineRule="auto"/>
      </w:pPr>
      <w:r>
        <w:separator/>
      </w:r>
    </w:p>
  </w:footnote>
  <w:footnote w:type="continuationSeparator" w:id="1">
    <w:p>
      <w:pPr>
        <w:spacing w:before="0" w:after="0" w:line="324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0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8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3"/>
  <w:doNotDisplayPageBoundaries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3FFF71B1"/>
    <w:rsid w:val="776DD61A"/>
    <w:rsid w:val="77FD8D4B"/>
    <w:rsid w:val="7F95FC8B"/>
    <w:rsid w:val="7FEBAA67"/>
    <w:rsid w:val="AEF69CBE"/>
    <w:rsid w:val="EE9EABA0"/>
    <w:rsid w:val="FD7B6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semiHidden="0" w:name="macro"/>
    <w:lsdException w:uiPriority="99" w:name="toa heading"/>
    <w:lsdException w:uiPriority="99" w:semiHidden="0" w:name="List"/>
    <w:lsdException w:uiPriority="99" w:semiHidden="0" w:name="List Bullet"/>
    <w:lsdException w:uiPriority="99" w:semiHidden="0" w:name="List Number"/>
    <w:lsdException w:uiPriority="99" w:semiHidden="0" w:name="List 2"/>
    <w:lsdException w:uiPriority="99" w:semiHidden="0" w:name="List 3"/>
    <w:lsdException w:uiPriority="99" w:name="List 4"/>
    <w:lsdException w:uiPriority="99" w:name="List 5"/>
    <w:lsdException w:uiPriority="99" w:semiHidden="0" w:name="List Bullet 2"/>
    <w:lsdException w:uiPriority="99" w:semiHidden="0" w:name="List Bullet 3"/>
    <w:lsdException w:uiPriority="99" w:name="List Bullet 4"/>
    <w:lsdException w:uiPriority="99" w:name="List Bullet 5"/>
    <w:lsdException w:uiPriority="99" w:semiHidden="0" w:name="List Number 2"/>
    <w:lsdException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semiHidden="0" w:name="Body Text"/>
    <w:lsdException w:uiPriority="99" w:name="Body Text Indent"/>
    <w:lsdException w:uiPriority="99" w:semiHidden="0" w:name="List Continue"/>
    <w:lsdException w:uiPriority="99" w:semiHidden="0" w:name="List Continue 2"/>
    <w:lsdException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semiHidden="0" w:name="Body Text 2"/>
    <w:lsdException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20" w:line="276" w:lineRule="auto" w:before="0"/>
      <w:jc w:val="left"/>
    </w:pPr>
    <w:rPr>
      <w:rFonts w:ascii="宋体" w:hAnsi="宋体" w:eastAsia="宋体" w:cstheme="minorBidi"/>
      <w:b w:val="0"/>
      <w:color w:val="000000"/>
      <w:sz w:val="22"/>
      <w:szCs w:val="22"/>
      <w:lang w:val="en-US" w:eastAsia="en-US" w:bidi="ar-SA"/>
    </w:rPr>
  </w:style>
  <w:style w:type="paragraph" w:styleId="3">
    <w:name w:val="heading 1"/>
    <w:basedOn w:val="1"/>
    <w:next w:val="1"/>
    <w:link w:val="138"/>
    <w:qFormat/>
    <w:uiPriority w:val="9"/>
    <w:pPr>
      <w:keepNext/>
      <w:keepLines/>
      <w:spacing w:before="0" w:after="160" w:line="276" w:lineRule="auto"/>
      <w:outlineLvl w:val="0"/>
    </w:pPr>
    <w:rPr>
      <w:rFonts w:asciiTheme="majorHAnsi" w:hAnsiTheme="majorHAnsi" w:eastAsiaTheme="majorEastAsia" w:cstheme="majorBidi" w:ascii="黑体" w:hAnsi="黑体" w:eastAsia="黑体"/>
      <w:b/>
      <w:bCs/>
      <w:color w:val="000000"/>
      <w:sz w:val="30"/>
      <w:szCs w:val="28"/>
    </w:rPr>
  </w:style>
  <w:style w:type="paragraph" w:styleId="4">
    <w:name w:val="heading 2"/>
    <w:basedOn w:val="1"/>
    <w:next w:val="1"/>
    <w:link w:val="139"/>
    <w:unhideWhenUsed/>
    <w:qFormat/>
    <w:uiPriority w:val="9"/>
    <w:pPr>
      <w:keepNext/>
      <w:keepLines/>
      <w:spacing w:before="0" w:after="160" w:line="276" w:lineRule="auto"/>
      <w:outlineLvl w:val="1"/>
    </w:pPr>
    <w:rPr>
      <w:rFonts w:asciiTheme="majorHAnsi" w:hAnsiTheme="majorHAnsi" w:eastAsiaTheme="majorEastAsia" w:cstheme="majorBidi" w:ascii="黑体" w:hAnsi="黑体" w:eastAsia="黑体"/>
      <w:b/>
      <w:bCs/>
      <w:color w:val="000000"/>
      <w:sz w:val="25"/>
      <w:szCs w:val="26"/>
    </w:rPr>
  </w:style>
  <w:style w:type="paragraph" w:styleId="5">
    <w:name w:val="heading 3"/>
    <w:basedOn w:val="1"/>
    <w:next w:val="1"/>
    <w:link w:val="140"/>
    <w:unhideWhenUsed/>
    <w:qFormat/>
    <w:uiPriority w:val="9"/>
    <w:pPr>
      <w:keepNext/>
      <w:keepLines/>
      <w:spacing w:before="0" w:after="160" w:line="276" w:lineRule="auto"/>
      <w:outlineLvl w:val="2"/>
    </w:pPr>
    <w:rPr>
      <w:rFonts w:asciiTheme="majorHAnsi" w:hAnsiTheme="majorHAnsi" w:eastAsiaTheme="majorEastAsia" w:cstheme="majorBidi" w:ascii="黑体" w:hAnsi="黑体" w:eastAsia="黑体"/>
      <w:b/>
      <w:bCs/>
      <w:color w:val="000000"/>
      <w:sz w:val="23"/>
    </w:rPr>
  </w:style>
  <w:style w:type="paragraph" w:styleId="6">
    <w:name w:val="heading 4"/>
    <w:basedOn w:val="1"/>
    <w:next w:val="1"/>
    <w:link w:val="150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1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2">
    <w:name w:val="Default Paragraph Font"/>
    <w:semiHidden/>
    <w:unhideWhenUsed/>
    <w:uiPriority w:val="1"/>
  </w:style>
  <w:style w:type="table" w:default="1" w:styleId="3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7"/>
    <w:unhideWhenUsed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12">
    <w:name w:val="List 3"/>
    <w:basedOn w:val="1"/>
    <w:unhideWhenUsed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uiPriority w:val="99"/>
    <w:pPr>
      <w:numPr>
        <w:ilvl w:val="0"/>
        <w:numId w:val="2"/>
      </w:numPr>
      <w:contextualSpacing/>
    </w:p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uiPriority w:val="99"/>
    <w:pPr>
      <w:numPr>
        <w:ilvl w:val="0"/>
        <w:numId w:val="3"/>
      </w:numPr>
      <w:contextualSpacing/>
    </w:pPr>
  </w:style>
  <w:style w:type="paragraph" w:styleId="17">
    <w:name w:val="Body Text 3"/>
    <w:basedOn w:val="1"/>
    <w:link w:val="146"/>
    <w:unhideWhenUsed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uiPriority w:val="99"/>
    <w:pPr>
      <w:numPr>
        <w:ilvl w:val="0"/>
        <w:numId w:val="4"/>
      </w:numPr>
      <w:contextualSpacing/>
    </w:pPr>
  </w:style>
  <w:style w:type="paragraph" w:styleId="19">
    <w:name w:val="Body Text"/>
    <w:basedOn w:val="1"/>
    <w:link w:val="144"/>
    <w:unhideWhenUsed/>
    <w:uiPriority w:val="99"/>
    <w:pPr>
      <w:spacing w:after="120"/>
    </w:pPr>
  </w:style>
  <w:style w:type="paragraph" w:styleId="20">
    <w:name w:val="List Number 3"/>
    <w:basedOn w:val="1"/>
    <w:unhideWhenUsed/>
    <w:uiPriority w:val="99"/>
    <w:pPr>
      <w:numPr>
        <w:ilvl w:val="0"/>
        <w:numId w:val="5"/>
      </w:numPr>
      <w:contextualSpacing/>
    </w:pPr>
  </w:style>
  <w:style w:type="paragraph" w:styleId="21">
    <w:name w:val="List 2"/>
    <w:basedOn w:val="1"/>
    <w:unhideWhenUsed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uiPriority w:val="99"/>
    <w:pPr>
      <w:numPr>
        <w:ilvl w:val="0"/>
        <w:numId w:val="6"/>
      </w:numPr>
      <w:contextualSpacing/>
    </w:pPr>
  </w:style>
  <w:style w:type="paragraph" w:styleId="24">
    <w:name w:val="footer"/>
    <w:basedOn w:val="1"/>
    <w:link w:val="136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5">
    <w:name w:val="header"/>
    <w:basedOn w:val="1"/>
    <w:link w:val="135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Subtitle"/>
    <w:basedOn w:val="1"/>
    <w:next w:val="1"/>
    <w:link w:val="142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27">
    <w:name w:val="List"/>
    <w:basedOn w:val="1"/>
    <w:unhideWhenUsed/>
    <w:uiPriority w:val="99"/>
    <w:pPr>
      <w:ind w:left="360" w:hanging="360"/>
      <w:contextualSpacing/>
    </w:pPr>
  </w:style>
  <w:style w:type="paragraph" w:styleId="28">
    <w:name w:val="Body Text 2"/>
    <w:basedOn w:val="1"/>
    <w:link w:val="145"/>
    <w:unhideWhenUsed/>
    <w:uiPriority w:val="99"/>
    <w:pPr>
      <w:spacing w:after="120" w:line="480" w:lineRule="auto"/>
    </w:pPr>
  </w:style>
  <w:style w:type="paragraph" w:styleId="29">
    <w:name w:val="List Continue 2"/>
    <w:basedOn w:val="1"/>
    <w:unhideWhenUsed/>
    <w:uiPriority w:val="99"/>
    <w:pPr>
      <w:spacing w:after="120"/>
      <w:ind w:left="720"/>
      <w:contextualSpacing/>
    </w:pPr>
  </w:style>
  <w:style w:type="paragraph" w:styleId="30">
    <w:name w:val="List Continue 3"/>
    <w:basedOn w:val="1"/>
    <w:unhideWhenUsed/>
    <w:uiPriority w:val="99"/>
    <w:pPr>
      <w:spacing w:after="120"/>
      <w:ind w:left="1080"/>
      <w:contextualSpacing/>
    </w:pPr>
  </w:style>
  <w:style w:type="paragraph" w:styleId="31">
    <w:name w:val="Title"/>
    <w:basedOn w:val="1"/>
    <w:next w:val="1"/>
    <w:link w:val="141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33">
    <w:name w:val="Table Grid"/>
    <w:basedOn w:val="3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4">
    <w:name w:val="Light Shading"/>
    <w:basedOn w:val="32"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5">
    <w:name w:val="Light Shading Accent 1"/>
    <w:basedOn w:val="32"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6">
    <w:name w:val="Light Shading Accent 2"/>
    <w:basedOn w:val="32"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7">
    <w:name w:val="Light Shading Accent 3"/>
    <w:basedOn w:val="32"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8">
    <w:name w:val="Light Shading Accent 4"/>
    <w:basedOn w:val="32"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39">
    <w:name w:val="Light Shading Accent 5"/>
    <w:basedOn w:val="32"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0">
    <w:name w:val="Light Shading Accent 6"/>
    <w:basedOn w:val="32"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1">
    <w:name w:val="Light List"/>
    <w:basedOn w:val="32"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2">
    <w:name w:val="Light List Accent 1"/>
    <w:basedOn w:val="32"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3">
    <w:name w:val="Light List Accent 2"/>
    <w:basedOn w:val="32"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4">
    <w:name w:val="Light List Accent 3"/>
    <w:basedOn w:val="32"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5">
    <w:name w:val="Light List Accent 4"/>
    <w:basedOn w:val="32"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6">
    <w:name w:val="Light List Accent 5"/>
    <w:basedOn w:val="32"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7">
    <w:name w:val="Light List Accent 6"/>
    <w:basedOn w:val="32"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48">
    <w:name w:val="Light Grid"/>
    <w:basedOn w:val="32"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49">
    <w:name w:val="Light Grid Accent 1"/>
    <w:basedOn w:val="32"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0">
    <w:name w:val="Light Grid Accent 2"/>
    <w:basedOn w:val="32"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1">
    <w:name w:val="Light Grid Accent 3"/>
    <w:basedOn w:val="32"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2">
    <w:name w:val="Light Grid Accent 4"/>
    <w:basedOn w:val="32"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3">
    <w:name w:val="Light Grid Accent 5"/>
    <w:basedOn w:val="32"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4">
    <w:name w:val="Light Grid Accent 6"/>
    <w:basedOn w:val="32"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5">
    <w:name w:val="Medium Shading 1"/>
    <w:basedOn w:val="32"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1 Accent 1"/>
    <w:basedOn w:val="32"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7">
    <w:name w:val="Medium Shading 1 Accent 2"/>
    <w:basedOn w:val="32"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1 Accent 3"/>
    <w:basedOn w:val="32"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4"/>
    <w:basedOn w:val="32"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5"/>
    <w:basedOn w:val="32"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6"/>
    <w:basedOn w:val="32"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3">
    <w:name w:val="Medium Shading 2 Accent 1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4">
    <w:name w:val="Medium Shading 2 Accent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3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4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5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6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Lis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0">
    <w:name w:val="Medium List 1 Accen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1">
    <w:name w:val="Medium List 1 Accent 2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2">
    <w:name w:val="Medium List 1 Accent 3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3">
    <w:name w:val="Medium List 1 Accent 4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4">
    <w:name w:val="Medium List 1 Accent 5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5">
    <w:name w:val="Medium List 1 Accent 6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6">
    <w:name w:val="Medium Lis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1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3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4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5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6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Grid 1"/>
    <w:basedOn w:val="32"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4">
    <w:name w:val="Medium Grid 1 Accent 1"/>
    <w:basedOn w:val="32"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5">
    <w:name w:val="Medium Grid 1 Accent 2"/>
    <w:basedOn w:val="32"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6">
    <w:name w:val="Medium Grid 1 Accent 3"/>
    <w:basedOn w:val="32"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7">
    <w:name w:val="Medium Grid 1 Accent 4"/>
    <w:basedOn w:val="32"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8">
    <w:name w:val="Medium Grid 1 Accent 5"/>
    <w:basedOn w:val="32"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9">
    <w:name w:val="Medium Grid 1 Accent 6"/>
    <w:basedOn w:val="32"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0">
    <w:name w:val="Medium Grid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1">
    <w:name w:val="Medium Grid 2 Accent 1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3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4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5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6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98">
    <w:name w:val="Medium Grid 3 Accent 1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99">
    <w:name w:val="Medium Grid 3 Accent 2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0">
    <w:name w:val="Medium Grid 3 Accent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1">
    <w:name w:val="Medium Grid 3 Accent 4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2">
    <w:name w:val="Medium Grid 3 Accent 5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3">
    <w:name w:val="Medium Grid 3 Accent 6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4">
    <w:name w:val="Dark List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5">
    <w:name w:val="Dark List Accent 1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6">
    <w:name w:val="Dark List Accent 2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7">
    <w:name w:val="Dark List Accent 3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08">
    <w:name w:val="Dark List Accent 4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09">
    <w:name w:val="Dark List Accent 5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0">
    <w:name w:val="Dark List Accent 6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1">
    <w:name w:val="Colorful Shading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2">
    <w:name w:val="Colorful Shading Accent 1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3">
    <w:name w:val="Colorful Shading Accent 2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3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5">
    <w:name w:val="Colorful Shading Accent 4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5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6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List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9">
    <w:name w:val="Colorful List Accent 1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0">
    <w:name w:val="Colorful List Accent 2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1">
    <w:name w:val="Colorful List Accent 3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2">
    <w:name w:val="Colorful List Accent 4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3">
    <w:name w:val="Colorful List Accent 5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4">
    <w:name w:val="Colorful List Accent 6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5">
    <w:name w:val="Colorful Grid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6">
    <w:name w:val="Colorful Grid Accent 1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27">
    <w:name w:val="Colorful Grid Accent 2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28">
    <w:name w:val="Colorful Grid Accent 3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9">
    <w:name w:val="Colorful Grid Accent 4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0">
    <w:name w:val="Colorful Grid Accent 5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1">
    <w:name w:val="Colorful Grid Accent 6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3">
    <w:name w:val="Strong"/>
    <w:basedOn w:val="132"/>
    <w:qFormat/>
    <w:uiPriority w:val="22"/>
    <w:rPr>
      <w:b/>
      <w:bCs/>
    </w:rPr>
  </w:style>
  <w:style w:type="character" w:styleId="134">
    <w:name w:val="Emphasis"/>
    <w:basedOn w:val="132"/>
    <w:qFormat/>
    <w:uiPriority w:val="20"/>
    <w:rPr>
      <w:i/>
      <w:iCs/>
    </w:rPr>
  </w:style>
  <w:style w:type="character" w:customStyle="1" w:styleId="135">
    <w:name w:val="Header Char"/>
    <w:basedOn w:val="132"/>
    <w:link w:val="25"/>
    <w:uiPriority w:val="99"/>
  </w:style>
  <w:style w:type="character" w:customStyle="1" w:styleId="136">
    <w:name w:val="Footer Char"/>
    <w:basedOn w:val="132"/>
    <w:link w:val="24"/>
    <w:uiPriority w:val="99"/>
  </w:style>
  <w:style w:type="paragraph" w:styleId="13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8">
    <w:name w:val="Heading 1 Char"/>
    <w:basedOn w:val="132"/>
    <w:link w:val="3"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39">
    <w:name w:val="Heading 2 Char"/>
    <w:basedOn w:val="132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0">
    <w:name w:val="Heading 3 Char"/>
    <w:basedOn w:val="132"/>
    <w:link w:val="5"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1">
    <w:name w:val="Title Char"/>
    <w:basedOn w:val="132"/>
    <w:link w:val="31"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2">
    <w:name w:val="Subtitle Char"/>
    <w:basedOn w:val="132"/>
    <w:link w:val="26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3">
    <w:name w:val="List Paragraph"/>
    <w:basedOn w:val="1"/>
    <w:qFormat/>
    <w:uiPriority w:val="34"/>
    <w:pPr>
      <w:ind w:left="720"/>
      <w:contextualSpacing/>
    </w:pPr>
  </w:style>
  <w:style w:type="character" w:customStyle="1" w:styleId="144">
    <w:name w:val="Body Text Char"/>
    <w:basedOn w:val="132"/>
    <w:link w:val="19"/>
    <w:uiPriority w:val="99"/>
  </w:style>
  <w:style w:type="character" w:customStyle="1" w:styleId="145">
    <w:name w:val="Body Text 2 Char"/>
    <w:basedOn w:val="132"/>
    <w:link w:val="28"/>
    <w:uiPriority w:val="99"/>
  </w:style>
  <w:style w:type="character" w:customStyle="1" w:styleId="146">
    <w:name w:val="Body Text 3 Char"/>
    <w:basedOn w:val="132"/>
    <w:link w:val="17"/>
    <w:uiPriority w:val="99"/>
    <w:rPr>
      <w:sz w:val="16"/>
      <w:szCs w:val="16"/>
    </w:rPr>
  </w:style>
  <w:style w:type="character" w:customStyle="1" w:styleId="147">
    <w:name w:val="Macro Text Char"/>
    <w:basedOn w:val="132"/>
    <w:link w:val="2"/>
    <w:uiPriority w:val="99"/>
    <w:rPr>
      <w:rFonts w:ascii="Courier" w:hAnsi="Courier"/>
      <w:sz w:val="20"/>
      <w:szCs w:val="20"/>
    </w:rPr>
  </w:style>
  <w:style w:type="paragraph" w:styleId="148">
    <w:name w:val="Quote"/>
    <w:basedOn w:val="1"/>
    <w:next w:val="1"/>
    <w:link w:val="14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49">
    <w:name w:val="Quote Char"/>
    <w:basedOn w:val="132"/>
    <w:link w:val="148"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0">
    <w:name w:val="Heading 4 Char"/>
    <w:basedOn w:val="132"/>
    <w:link w:val="6"/>
    <w:semiHidden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1">
    <w:name w:val="Heading 5 Char"/>
    <w:basedOn w:val="132"/>
    <w:link w:val="7"/>
    <w:semiHidden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2">
    <w:name w:val="Heading 6 Char"/>
    <w:basedOn w:val="132"/>
    <w:link w:val="8"/>
    <w:semiHidden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3">
    <w:name w:val="Heading 7 Char"/>
    <w:basedOn w:val="132"/>
    <w:link w:val="9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4">
    <w:name w:val="Heading 8 Char"/>
    <w:basedOn w:val="132"/>
    <w:link w:val="10"/>
    <w:semiHidden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5">
    <w:name w:val="Heading 9 Char"/>
    <w:basedOn w:val="132"/>
    <w:link w:val="11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6">
    <w:name w:val="Intense Quote"/>
    <w:basedOn w:val="1"/>
    <w:next w:val="1"/>
    <w:link w:val="157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7">
    <w:name w:val="Intense Quote Char"/>
    <w:basedOn w:val="132"/>
    <w:link w:val="156"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8">
    <w:name w:val="Subtle Emphasis"/>
    <w:basedOn w:val="132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59">
    <w:name w:val="Intense Emphasis"/>
    <w:basedOn w:val="132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0">
    <w:name w:val="Subtle Reference"/>
    <w:basedOn w:val="132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1">
    <w:name w:val="Intense Reference"/>
    <w:basedOn w:val="132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2">
    <w:name w:val="Book Title"/>
    <w:basedOn w:val="132"/>
    <w:qFormat/>
    <w:uiPriority w:val="33"/>
    <w:rPr>
      <w:b/>
      <w:bCs/>
      <w:smallCaps/>
      <w:spacing w:val="5"/>
    </w:rPr>
  </w:style>
  <w:style w:type="paragraph" w:customStyle="1" w:styleId="163">
    <w:name w:val="TOC Heading"/>
    <w:basedOn w:val="3"/>
    <w:next w:val="1"/>
    <w:semiHidden/>
    <w:unhideWhenUsed/>
    <w:qFormat/>
    <w:uiPriority w:val="39"/>
    <w:pPr>
      <w:outlineLvl w:val="9"/>
    </w:pPr>
  </w:style>
</w:styles>
</file>

<file path=word/_rels/document.xml.rels><?xml version='1.0' encoding='UTF-8' standalone='yes'?>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163</TotalTime>
  <ScaleCrop>false</ScaleCrop>
  <LinksUpToDate>false</LinksUpToDate>
  <CharactersWithSpaces>0</CharactersWithSpaces>
  <Application>WPS Office_12.1.26016.26016_F1E327BC-269C-435d-A152-05C5408002CA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2013-12-24T15:15:00Z</dcterms:created>
  <dc:creator>python-docx</dc:creator>
  <dc:description>generated by python-docx</dc:description>
  <cp:lastModifiedBy>佚名</cp:lastModifiedBy>
  <dcterms:modified xsi:type="dcterms:W3CDTF">2026-06-22T09:30:23Z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2052-12.1.26016.26016</vt:lpwstr>
  </property>
  <property fmtid="{D5CDD505-2E9C-101B-9397-08002B2CF9AE}" pid="3" name="ICV">
    <vt:lpwstr>2C7D08DF1D1457C161B82F6A62E10247_42</vt:lpwstr>
  </property>
</Properties>
</file>