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Calibri" w:hAnsi="Calibri" w:eastAsia="Microsoft YaHei"/>
          <w:b/>
          <w:sz w:val="48"/>
        </w:rPr>
        <w:t>智慧食堂消费终端系统</w:t>
      </w:r>
    </w:p>
    <w:p>
      <w:pPr>
        <w:spacing w:after="160"/>
        <w:jc w:val="center"/>
      </w:pPr>
      <w:r>
        <w:rPr>
          <w:rFonts w:ascii="Calibri" w:hAnsi="Calibri" w:eastAsia="Microsoft YaHei"/>
          <w:b/>
          <w:color w:val="2E74B5"/>
          <w:sz w:val="36"/>
        </w:rPr>
        <w:t>用户使用说明书（简版配图版）</w:t>
      </w:r>
    </w:p>
    <w:p>
      <w:pPr>
        <w:spacing w:after="240"/>
        <w:jc w:val="center"/>
      </w:pPr>
      <w:r>
        <w:rPr>
          <w:rFonts w:ascii="Calibri" w:hAnsi="Calibri" w:eastAsia="Microsoft YaHei"/>
          <w:color w:val="667085"/>
          <w:sz w:val="18"/>
        </w:rPr>
        <w:t>版本：V1.0    适用项目：CusumptionMachine    日期：2026年07月08日</w:t>
      </w:r>
    </w:p>
    <w:p>
      <w:pPr>
        <w:pStyle w:val="Heading1"/>
      </w:pPr>
      <w:r>
        <w:t>一、系统概述</w:t>
      </w:r>
    </w:p>
    <w:p>
      <w:r>
        <w:drawing>
          <wp:inline xmlns:a="http://schemas.openxmlformats.org/drawingml/2006/main" xmlns:pic="http://schemas.openxmlformats.org/drawingml/2006/picture">
            <wp:extent cx="5989320" cy="33689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_hom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89320" cy="33689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00"/>
        <w:jc w:val="center"/>
      </w:pPr>
      <w:r>
        <w:rPr>
          <w:rFonts w:ascii="Calibri" w:hAnsi="Calibri" w:eastAsia="Microsoft YaHei"/>
          <w:color w:val="667085"/>
          <w:sz w:val="17"/>
        </w:rPr>
        <w:t>图 1 首页业务入口示意图</w:t>
      </w:r>
    </w:p>
    <w:p>
      <w:r>
        <w:t>本系统用于食堂档口和餐饮窗口的消费结算，支持菜单消费、定额消费、自定义消费、刷卡、扫码、人脸支付、余额查询、出餐、订餐核销和订单管理。</w:t>
      </w:r>
    </w:p>
    <w:p>
      <w:pPr>
        <w:pStyle w:val="ListNumber"/>
        <w:numPr>
          <w:ilvl w:val="0"/>
          <w:numId w:val="10"/>
        </w:numPr>
      </w:pPr>
      <w:r>
        <w:t>现场收银员优先使用首页业务入口。</w:t>
      </w:r>
    </w:p>
    <w:p>
      <w:pPr>
        <w:pStyle w:val="ListNumber"/>
        <w:numPr>
          <w:ilvl w:val="0"/>
          <w:numId w:val="10"/>
        </w:numPr>
      </w:pPr>
      <w:r>
        <w:t>运维人员通过设置页完成 API、配对码、支付方式和人脸激活配置。</w:t>
      </w:r>
    </w:p>
    <w:p>
      <w:pPr>
        <w:pStyle w:val="ListNumber"/>
        <w:numPr>
          <w:ilvl w:val="0"/>
          <w:numId w:val="10"/>
        </w:numPr>
      </w:pPr>
      <w:r>
        <w:t>管理人员通过订单管理进行日终核账。</w:t>
      </w:r>
    </w:p>
    <w:p>
      <w:pPr>
        <w:pStyle w:val="Heading1"/>
      </w:pPr>
      <w:r>
        <w:t>二、首次配置</w:t>
      </w:r>
    </w:p>
    <w:p>
      <w:r>
        <w:drawing>
          <wp:inline xmlns:a="http://schemas.openxmlformats.org/drawingml/2006/main" xmlns:pic="http://schemas.openxmlformats.org/drawingml/2006/picture">
            <wp:extent cx="5989320" cy="3368992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2_setting_real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89320" cy="33689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00"/>
        <w:jc w:val="center"/>
      </w:pPr>
      <w:r>
        <w:rPr>
          <w:rFonts w:ascii="Calibri" w:hAnsi="Calibri" w:eastAsia="Microsoft YaHei"/>
          <w:color w:val="667085"/>
          <w:sz w:val="17"/>
        </w:rPr>
        <w:t>图 2 基础设置页面</w:t>
      </w:r>
    </w:p>
    <w:p>
      <w:r>
        <w:t>首次使用或重新配对时，先进入设置页完成基础配置。未完成关键配置时，系统不允许返回业务首页。</w:t>
      </w:r>
    </w:p>
    <w:p>
      <w:pPr>
        <w:pStyle w:val="ListNumber"/>
        <w:numPr>
          <w:ilvl w:val="0"/>
          <w:numId w:val="11"/>
        </w:numPr>
      </w:pPr>
      <w:r>
        <w:t>填写 API 地址。</w:t>
      </w:r>
    </w:p>
    <w:p>
      <w:pPr>
        <w:pStyle w:val="ListNumber"/>
        <w:numPr>
          <w:ilvl w:val="0"/>
          <w:numId w:val="11"/>
        </w:numPr>
      </w:pPr>
      <w:r>
        <w:t>输入配对码，获取设备编号。</w:t>
      </w:r>
    </w:p>
    <w:p>
      <w:pPr>
        <w:pStyle w:val="ListNumber"/>
        <w:numPr>
          <w:ilvl w:val="0"/>
          <w:numId w:val="11"/>
        </w:numPr>
      </w:pPr>
      <w:r>
        <w:t>需要人脸支付时填写人脸识别激活码。</w:t>
      </w:r>
    </w:p>
    <w:p>
      <w:pPr>
        <w:pStyle w:val="ListNumber"/>
        <w:numPr>
          <w:ilvl w:val="0"/>
          <w:numId w:val="11"/>
        </w:numPr>
      </w:pPr>
      <w:r>
        <w:t>设置人脸识别时间、订单保存时长、语音和营养展示。</w:t>
      </w:r>
    </w:p>
    <w:p>
      <w:pPr>
        <w:pStyle w:val="ListNumber"/>
        <w:numPr>
          <w:ilvl w:val="0"/>
          <w:numId w:val="11"/>
        </w:numPr>
      </w:pPr>
      <w:r>
        <w:t>进入支付设置，至少开启一种支付方式。</w:t>
      </w:r>
    </w:p>
    <w:p>
      <w:pPr>
        <w:pStyle w:val="Heading1"/>
      </w:pPr>
      <w:r>
        <w:t>三、菜单消费</w:t>
      </w:r>
    </w:p>
    <w:p>
      <w:r>
        <w:drawing>
          <wp:inline xmlns:a="http://schemas.openxmlformats.org/drawingml/2006/main" xmlns:pic="http://schemas.openxmlformats.org/drawingml/2006/picture">
            <wp:extent cx="5989320" cy="3368992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_menu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89320" cy="33689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00"/>
        <w:jc w:val="center"/>
      </w:pPr>
      <w:r>
        <w:rPr>
          <w:rFonts w:ascii="Calibri" w:hAnsi="Calibri" w:eastAsia="Microsoft YaHei"/>
          <w:color w:val="667085"/>
          <w:sz w:val="17"/>
        </w:rPr>
        <w:t>图 3 菜单消费页面示意图</w:t>
      </w:r>
    </w:p>
    <w:p>
      <w:r>
        <w:t>菜单消费适合按菜品明细收款。操作人员选择菜品后，系统自动汇总购物车金额。</w:t>
      </w:r>
    </w:p>
    <w:p>
      <w:pPr>
        <w:pStyle w:val="ListNumber"/>
        <w:numPr>
          <w:ilvl w:val="0"/>
          <w:numId w:val="12"/>
        </w:numPr>
      </w:pPr>
      <w:r>
        <w:t>点击“菜单消费”。</w:t>
      </w:r>
    </w:p>
    <w:p>
      <w:pPr>
        <w:pStyle w:val="ListNumber"/>
        <w:numPr>
          <w:ilvl w:val="0"/>
          <w:numId w:val="12"/>
        </w:numPr>
      </w:pPr>
      <w:r>
        <w:t>选择菜品加入购物车；临时金额可用“新增商品”。</w:t>
      </w:r>
    </w:p>
    <w:p>
      <w:pPr>
        <w:pStyle w:val="ListNumber"/>
        <w:numPr>
          <w:ilvl w:val="0"/>
          <w:numId w:val="12"/>
        </w:numPr>
      </w:pPr>
      <w:r>
        <w:t>核对合计金额后点击“快速支付”。</w:t>
      </w:r>
    </w:p>
    <w:p>
      <w:pPr>
        <w:pStyle w:val="ListNumber"/>
        <w:numPr>
          <w:ilvl w:val="0"/>
          <w:numId w:val="12"/>
        </w:numPr>
      </w:pPr>
      <w:r>
        <w:t>选择刷卡、扫码或人脸支付，等待结果弹框。</w:t>
      </w:r>
    </w:p>
    <w:p>
      <w:pPr>
        <w:pStyle w:val="Heading1"/>
      </w:pPr>
      <w:r>
        <w:t>四、定额/自定义消费</w:t>
      </w:r>
    </w:p>
    <w:p>
      <w:r>
        <w:drawing>
          <wp:inline xmlns:a="http://schemas.openxmlformats.org/drawingml/2006/main" xmlns:pic="http://schemas.openxmlformats.org/drawingml/2006/picture">
            <wp:extent cx="5989320" cy="3368992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_quota_fre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89320" cy="33689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00"/>
        <w:jc w:val="center"/>
      </w:pPr>
      <w:r>
        <w:rPr>
          <w:rFonts w:ascii="Calibri" w:hAnsi="Calibri" w:eastAsia="Microsoft YaHei"/>
          <w:color w:val="667085"/>
          <w:sz w:val="17"/>
        </w:rPr>
        <w:t>图 4 定额与自定义消费示意图</w:t>
      </w:r>
    </w:p>
    <w:p>
      <w:r>
        <w:t>定额消费用于固定餐标，自定义消费用于临时金额或补录金额。</w:t>
      </w:r>
    </w:p>
    <w:p>
      <w:pPr>
        <w:pStyle w:val="ListNumber"/>
        <w:numPr>
          <w:ilvl w:val="0"/>
          <w:numId w:val="13"/>
        </w:numPr>
      </w:pPr>
      <w:r>
        <w:t>从首页进入对应消费模式。</w:t>
      </w:r>
    </w:p>
    <w:p>
      <w:pPr>
        <w:pStyle w:val="ListNumber"/>
        <w:numPr>
          <w:ilvl w:val="0"/>
          <w:numId w:val="13"/>
        </w:numPr>
      </w:pPr>
      <w:r>
        <w:t>输入或确认本次应收金额。</w:t>
      </w:r>
    </w:p>
    <w:p>
      <w:pPr>
        <w:pStyle w:val="ListNumber"/>
        <w:numPr>
          <w:ilvl w:val="0"/>
          <w:numId w:val="13"/>
        </w:numPr>
      </w:pPr>
      <w:r>
        <w:t>完成刷卡、扫码或人脸支付。</w:t>
      </w:r>
    </w:p>
    <w:p>
      <w:pPr>
        <w:pStyle w:val="ListNumber"/>
        <w:numPr>
          <w:ilvl w:val="0"/>
          <w:numId w:val="13"/>
        </w:numPr>
      </w:pPr>
      <w:r>
        <w:t>支付成功后系统自动保存订单。</w:t>
      </w:r>
    </w:p>
    <w:p>
      <w:pPr>
        <w:pStyle w:val="Heading1"/>
      </w:pPr>
      <w:r>
        <w:t>五、余额查询</w:t>
      </w:r>
    </w:p>
    <w:p>
      <w:r>
        <w:drawing>
          <wp:inline xmlns:a="http://schemas.openxmlformats.org/drawingml/2006/main" xmlns:pic="http://schemas.openxmlformats.org/drawingml/2006/picture">
            <wp:extent cx="5989320" cy="3368992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_balanc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89320" cy="33689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00"/>
        <w:jc w:val="center"/>
      </w:pPr>
      <w:r>
        <w:rPr>
          <w:rFonts w:ascii="Calibri" w:hAnsi="Calibri" w:eastAsia="Microsoft YaHei"/>
          <w:color w:val="667085"/>
          <w:sz w:val="17"/>
        </w:rPr>
        <w:t>图 5 余额查询页面示意图</w:t>
      </w:r>
    </w:p>
    <w:p>
      <w:r>
        <w:t>余额查询用于现场快速查看人员账户余额。</w:t>
      </w:r>
    </w:p>
    <w:p>
      <w:pPr>
        <w:pStyle w:val="ListNumber"/>
        <w:numPr>
          <w:ilvl w:val="0"/>
          <w:numId w:val="14"/>
        </w:numPr>
      </w:pPr>
      <w:r>
        <w:t>点击“余额查询”。</w:t>
      </w:r>
    </w:p>
    <w:p>
      <w:pPr>
        <w:pStyle w:val="ListNumber"/>
        <w:numPr>
          <w:ilvl w:val="0"/>
          <w:numId w:val="14"/>
        </w:numPr>
      </w:pPr>
      <w:r>
        <w:t>让顾客刷卡。</w:t>
      </w:r>
    </w:p>
    <w:p>
      <w:pPr>
        <w:pStyle w:val="ListNumber"/>
        <w:numPr>
          <w:ilvl w:val="0"/>
          <w:numId w:val="14"/>
        </w:numPr>
      </w:pPr>
      <w:r>
        <w:t>查看姓名、部门、现金余额和补贴余额。</w:t>
      </w:r>
    </w:p>
    <w:p>
      <w:pPr>
        <w:pStyle w:val="ListNumber"/>
        <w:numPr>
          <w:ilvl w:val="0"/>
          <w:numId w:val="14"/>
        </w:numPr>
      </w:pPr>
      <w:r>
        <w:t>如提示不可用，检查刷卡支付开关、网络和人员卡号绑定。</w:t>
      </w:r>
    </w:p>
    <w:p>
      <w:pPr>
        <w:pStyle w:val="Heading1"/>
      </w:pPr>
      <w:r>
        <w:t>六、出餐</w:t>
      </w:r>
    </w:p>
    <w:p>
      <w:r>
        <w:drawing>
          <wp:inline xmlns:a="http://schemas.openxmlformats.org/drawingml/2006/main" xmlns:pic="http://schemas.openxmlformats.org/drawingml/2006/picture">
            <wp:extent cx="5989320" cy="3368992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6_meal_served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89320" cy="33689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00"/>
        <w:jc w:val="center"/>
      </w:pPr>
      <w:r>
        <w:rPr>
          <w:rFonts w:ascii="Calibri" w:hAnsi="Calibri" w:eastAsia="Microsoft YaHei"/>
          <w:color w:val="667085"/>
          <w:sz w:val="17"/>
        </w:rPr>
        <w:t>图 6 出餐页面示意图</w:t>
      </w:r>
    </w:p>
    <w:p>
      <w:r>
        <w:t>出餐用于扫描订单码并更新订单状态。</w:t>
      </w:r>
    </w:p>
    <w:p>
      <w:pPr>
        <w:pStyle w:val="ListNumber"/>
        <w:numPr>
          <w:ilvl w:val="0"/>
          <w:numId w:val="15"/>
        </w:numPr>
      </w:pPr>
      <w:r>
        <w:t>点击出餐入口。</w:t>
      </w:r>
    </w:p>
    <w:p>
      <w:pPr>
        <w:pStyle w:val="ListNumber"/>
        <w:numPr>
          <w:ilvl w:val="0"/>
          <w:numId w:val="15"/>
        </w:numPr>
      </w:pPr>
      <w:r>
        <w:t>扫描订单码，或手动输入订单号后确认。</w:t>
      </w:r>
    </w:p>
    <w:p>
      <w:pPr>
        <w:pStyle w:val="ListNumber"/>
        <w:numPr>
          <w:ilvl w:val="0"/>
          <w:numId w:val="15"/>
        </w:numPr>
      </w:pPr>
      <w:r>
        <w:t>成功时查看订单号和叫号次数；失败时按提示核对订单状态。</w:t>
      </w:r>
    </w:p>
    <w:p>
      <w:pPr>
        <w:pStyle w:val="Heading1"/>
      </w:pPr>
      <w:r>
        <w:t>七、订餐核销</w:t>
      </w:r>
    </w:p>
    <w:p>
      <w:r>
        <w:drawing>
          <wp:inline xmlns:a="http://schemas.openxmlformats.org/drawingml/2006/main" xmlns:pic="http://schemas.openxmlformats.org/drawingml/2006/picture">
            <wp:extent cx="5989320" cy="3368992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8_order_verify_real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89320" cy="33689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00"/>
        <w:jc w:val="center"/>
      </w:pPr>
      <w:r>
        <w:rPr>
          <w:rFonts w:ascii="Calibri" w:hAnsi="Calibri" w:eastAsia="Microsoft YaHei"/>
          <w:color w:val="667085"/>
          <w:sz w:val="17"/>
        </w:rPr>
        <w:t>图 7 订餐核销页面</w:t>
      </w:r>
    </w:p>
    <w:p>
      <w:r>
        <w:t>订餐核销支持扫码、手动输入订单号，也支持人脸核销。页面进入后扫码能力已可用，二维码图标主要用于提示扫码。</w:t>
      </w:r>
    </w:p>
    <w:p>
      <w:pPr>
        <w:pStyle w:val="ListNumber"/>
        <w:numPr>
          <w:ilvl w:val="0"/>
          <w:numId w:val="16"/>
        </w:numPr>
      </w:pPr>
      <w:r>
        <w:t>进入“订餐核销”。</w:t>
      </w:r>
    </w:p>
    <w:p>
      <w:pPr>
        <w:pStyle w:val="ListNumber"/>
        <w:numPr>
          <w:ilvl w:val="0"/>
          <w:numId w:val="16"/>
        </w:numPr>
      </w:pPr>
      <w:r>
        <w:t>扫描订单二维码，或输入订单号点击“确认核销”。</w:t>
      </w:r>
    </w:p>
    <w:p>
      <w:pPr>
        <w:pStyle w:val="ListNumber"/>
        <w:numPr>
          <w:ilvl w:val="0"/>
          <w:numId w:val="16"/>
        </w:numPr>
      </w:pPr>
      <w:r>
        <w:t>按人员核销时点击人脸图标，识别成功后点击“去核销”。</w:t>
      </w:r>
    </w:p>
    <w:p>
      <w:pPr>
        <w:pStyle w:val="ListNumber"/>
        <w:numPr>
          <w:ilvl w:val="0"/>
          <w:numId w:val="16"/>
        </w:numPr>
      </w:pPr>
      <w:r>
        <w:t>查看核销成功或失败提示。</w:t>
      </w:r>
    </w:p>
    <w:p>
      <w:pPr>
        <w:pStyle w:val="Heading1"/>
      </w:pPr>
      <w:r>
        <w:t>八、订单管理</w:t>
      </w:r>
    </w:p>
    <w:p>
      <w:r>
        <w:drawing>
          <wp:inline xmlns:a="http://schemas.openxmlformats.org/drawingml/2006/main" xmlns:pic="http://schemas.openxmlformats.org/drawingml/2006/picture">
            <wp:extent cx="5989320" cy="3368992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7_order_manag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89320" cy="33689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00"/>
        <w:jc w:val="center"/>
      </w:pPr>
      <w:r>
        <w:rPr>
          <w:rFonts w:ascii="Calibri" w:hAnsi="Calibri" w:eastAsia="Microsoft YaHei"/>
          <w:color w:val="667085"/>
          <w:sz w:val="17"/>
        </w:rPr>
        <w:t>图 8 订单管理页面示意图</w:t>
      </w:r>
    </w:p>
    <w:p>
      <w:r>
        <w:t>订单管理用于查询订单明细和营业汇总，适合营业中查询和日终核账。</w:t>
      </w:r>
    </w:p>
    <w:p>
      <w:pPr>
        <w:pStyle w:val="ListNumber"/>
        <w:numPr>
          <w:ilvl w:val="0"/>
          <w:numId w:val="17"/>
        </w:numPr>
      </w:pPr>
      <w:r>
        <w:t>进入订单管理。</w:t>
      </w:r>
    </w:p>
    <w:p>
      <w:pPr>
        <w:pStyle w:val="ListNumber"/>
        <w:numPr>
          <w:ilvl w:val="0"/>
          <w:numId w:val="17"/>
        </w:numPr>
      </w:pPr>
      <w:r>
        <w:t>选择查询日期。</w:t>
      </w:r>
    </w:p>
    <w:p>
      <w:pPr>
        <w:pStyle w:val="ListNumber"/>
        <w:numPr>
          <w:ilvl w:val="0"/>
          <w:numId w:val="17"/>
        </w:numPr>
      </w:pPr>
      <w:r>
        <w:t>核对订单数、订单总额和订单明细。</w:t>
      </w:r>
    </w:p>
    <w:p>
      <w:pPr>
        <w:pStyle w:val="ListNumber"/>
        <w:numPr>
          <w:ilvl w:val="0"/>
          <w:numId w:val="17"/>
        </w:numPr>
      </w:pPr>
      <w:r>
        <w:t>网络订单依赖服务端，本地订单用于离线留存和补偿上传。</w:t>
      </w:r>
    </w:p>
    <w:p>
      <w:pPr>
        <w:pStyle w:val="Heading1"/>
      </w:pPr>
      <w:r>
        <w:t>九、人员与人脸管理</w:t>
      </w:r>
    </w:p>
    <w:p>
      <w:r>
        <w:drawing>
          <wp:inline xmlns:a="http://schemas.openxmlformats.org/drawingml/2006/main" xmlns:pic="http://schemas.openxmlformats.org/drawingml/2006/picture">
            <wp:extent cx="5989320" cy="3368992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9_face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89320" cy="33689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00"/>
        <w:jc w:val="center"/>
      </w:pPr>
      <w:r>
        <w:rPr>
          <w:rFonts w:ascii="Calibri" w:hAnsi="Calibri" w:eastAsia="Microsoft YaHei"/>
          <w:color w:val="667085"/>
          <w:sz w:val="17"/>
        </w:rPr>
        <w:t>图 9 人员与人脸管理示意图</w:t>
      </w:r>
    </w:p>
    <w:p>
      <w:r>
        <w:t>人员和人脸数据由系统启动、定时任务或 MQTT 推送同步。人脸支付前应确认摄像头、激活码和人员人脸数据均正常。</w:t>
      </w:r>
    </w:p>
    <w:p>
      <w:pPr>
        <w:pStyle w:val="ListNumber"/>
        <w:numPr>
          <w:ilvl w:val="0"/>
          <w:numId w:val="18"/>
        </w:numPr>
      </w:pPr>
      <w:r>
        <w:t>进入人员管理或设置页“查看人脸”。</w:t>
      </w:r>
    </w:p>
    <w:p>
      <w:pPr>
        <w:pStyle w:val="ListNumber"/>
        <w:numPr>
          <w:ilvl w:val="0"/>
          <w:numId w:val="18"/>
        </w:numPr>
      </w:pPr>
      <w:r>
        <w:t>查看已同步人员头像和姓名。</w:t>
      </w:r>
    </w:p>
    <w:p>
      <w:pPr>
        <w:pStyle w:val="ListNumber"/>
        <w:numPr>
          <w:ilvl w:val="0"/>
          <w:numId w:val="18"/>
        </w:numPr>
      </w:pPr>
      <w:r>
        <w:t>人脸识别失败时，先检查人员是否入库、光线和摄像头角度。</w:t>
      </w:r>
    </w:p>
    <w:p>
      <w:pPr>
        <w:pStyle w:val="Heading1"/>
      </w:pPr>
      <w:r>
        <w:t>十、常见问题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4997"/>
            <w:vAlign w:val="center"/>
            <w:shd w:fill="E8EEF5"/>
          </w:tcPr>
          <w:p>
            <w:pPr>
              <w:spacing w:after="0" w:line="264" w:lineRule="auto"/>
            </w:pPr>
            <w:r>
              <w:rPr>
                <w:rFonts w:ascii="Calibri" w:hAnsi="Calibri" w:eastAsia="Microsoft YaHei"/>
                <w:b/>
                <w:sz w:val="17"/>
              </w:rPr>
              <w:t>问题</w:t>
            </w:r>
          </w:p>
        </w:tc>
        <w:tc>
          <w:tcPr>
            <w:tcW w:type="dxa" w:w="4997"/>
            <w:vAlign w:val="center"/>
            <w:shd w:fill="E8EEF5"/>
          </w:tcPr>
          <w:p>
            <w:pPr>
              <w:spacing w:after="0" w:line="264" w:lineRule="auto"/>
            </w:pPr>
            <w:r>
              <w:rPr>
                <w:rFonts w:ascii="Calibri" w:hAnsi="Calibri" w:eastAsia="Microsoft YaHei"/>
                <w:b/>
                <w:sz w:val="17"/>
              </w:rPr>
              <w:t>处理方式</w:t>
            </w:r>
          </w:p>
        </w:tc>
      </w:tr>
      <w:tr>
        <w:tc>
          <w:tcPr>
            <w:tcW w:type="dxa" w:w="4997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YaHei"/>
                <w:b w:val="0"/>
                <w:sz w:val="17"/>
              </w:rPr>
              <w:t>无法退出设置页</w:t>
            </w:r>
          </w:p>
        </w:tc>
        <w:tc>
          <w:tcPr>
            <w:tcW w:type="dxa" w:w="4997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YaHei"/>
                <w:b w:val="0"/>
                <w:sz w:val="17"/>
              </w:rPr>
              <w:t>补齐 API 地址、配对码、设备编号，并至少开启一种支付方式；开启人脸支付时还要填写激活码。</w:t>
            </w:r>
          </w:p>
        </w:tc>
      </w:tr>
      <w:tr>
        <w:tc>
          <w:tcPr>
            <w:tcW w:type="dxa" w:w="4997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YaHei"/>
                <w:b w:val="0"/>
                <w:sz w:val="17"/>
              </w:rPr>
              <w:t>刷卡提示卡号不存在</w:t>
            </w:r>
          </w:p>
        </w:tc>
        <w:tc>
          <w:tcPr>
            <w:tcW w:type="dxa" w:w="4997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YaHei"/>
                <w:b w:val="0"/>
                <w:sz w:val="17"/>
              </w:rPr>
              <w:t>确认人员数据已同步，并在后台核对卡号绑定。</w:t>
            </w:r>
          </w:p>
        </w:tc>
      </w:tr>
      <w:tr>
        <w:tc>
          <w:tcPr>
            <w:tcW w:type="dxa" w:w="4997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YaHei"/>
                <w:b w:val="0"/>
                <w:sz w:val="17"/>
              </w:rPr>
              <w:t>扫码或订单号为空</w:t>
            </w:r>
          </w:p>
        </w:tc>
        <w:tc>
          <w:tcPr>
            <w:tcW w:type="dxa" w:w="4997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YaHei"/>
                <w:b w:val="0"/>
                <w:sz w:val="17"/>
              </w:rPr>
              <w:t>重新扫码，或手动输入订单号后确认。</w:t>
            </w:r>
          </w:p>
        </w:tc>
      </w:tr>
      <w:tr>
        <w:tc>
          <w:tcPr>
            <w:tcW w:type="dxa" w:w="4997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YaHei"/>
                <w:b w:val="0"/>
                <w:sz w:val="17"/>
              </w:rPr>
              <w:t>人脸识别失败</w:t>
            </w:r>
          </w:p>
        </w:tc>
        <w:tc>
          <w:tcPr>
            <w:tcW w:type="dxa" w:w="4997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YaHei"/>
                <w:b w:val="0"/>
                <w:sz w:val="17"/>
              </w:rPr>
              <w:t>确认摄像头、激活码、人员人脸数据、光线和站位。</w:t>
            </w:r>
          </w:p>
        </w:tc>
      </w:tr>
      <w:tr>
        <w:tc>
          <w:tcPr>
            <w:tcW w:type="dxa" w:w="4997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YaHei"/>
                <w:b w:val="0"/>
                <w:sz w:val="17"/>
              </w:rPr>
              <w:t>离线订单未及时上传</w:t>
            </w:r>
          </w:p>
        </w:tc>
        <w:tc>
          <w:tcPr>
            <w:tcW w:type="dxa" w:w="4997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YaHei"/>
                <w:b w:val="0"/>
                <w:sz w:val="17"/>
              </w:rPr>
              <w:t>恢复网络后等待系统补偿上传；长期未恢复时联系运维检查 MQTT 和日志。</w:t>
            </w:r>
          </w:p>
        </w:tc>
      </w:tr>
    </w:tbl>
    <w:p/>
    <w:sectPr w:rsidR="00FC693F" w:rsidRPr="0006063C" w:rsidSect="00034616">
      <w:footerReference w:type="default" r:id="rId18"/>
      <w:pgSz w:w="12240" w:h="15840"/>
      <w:pgMar w:top="1123" w:right="1123" w:bottom="1123" w:left="1123" w:header="648" w:footer="64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color w:val="667085"/>
        <w:sz w:val="17"/>
        <w:rFonts w:eastAsia="Microsoft YaHei"/>
      </w:rPr>
      <w:t>智慧食堂消费终端系统用户使用说明书（简版配图版）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7"/>
    <w:lvlOverride w:ilvl="0">
      <w:startOverride w:val="1"/>
    </w:lvlOverride>
  </w:num>
  <w:num w:numId="14">
    <w:abstractNumId w:val="7"/>
    <w:lvlOverride w:ilvl="0">
      <w:startOverride w:val="1"/>
    </w:lvlOverride>
  </w:num>
  <w:num w:numId="15">
    <w:abstractNumId w:val="7"/>
    <w:lvlOverride w:ilvl="0">
      <w:startOverride w:val="1"/>
    </w:lvlOverride>
  </w:num>
  <w:num w:numId="16">
    <w:abstractNumId w:val="7"/>
    <w:lvlOverride w:ilvl="0">
      <w:startOverride w:val="1"/>
    </w:lvlOverride>
  </w:num>
  <w:num w:numId="17">
    <w:abstractNumId w:val="7"/>
    <w:lvlOverride w:ilvl="0">
      <w:startOverride w:val="1"/>
    </w:lvlOverride>
  </w:num>
  <w:num w:numId="18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83" w:lineRule="auto" w:after="80"/>
    </w:pPr>
    <w:rPr>
      <w:rFonts w:ascii="Calibri" w:hAnsi="Calibri" w:eastAsia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 w:ascii="Calibri" w:hAnsi="Calibri" w:eastAsia="Microsoft YaHei"/>
      <w:b/>
      <w:bCs/>
      <w:color w:val="2E74B5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line="269" w:lineRule="auto" w:after="40"/>
      <w:contextualSpacing/>
    </w:pPr>
    <w:rPr>
      <w:rFonts w:ascii="Calibri" w:hAnsi="Calibri" w:eastAsia="Microsoft YaHei"/>
      <w:sz w:val="20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