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Calibri" w:hAnsi="Calibri" w:eastAsia="Microsoft YaHei"/>
          <w:b/>
          <w:sz w:val="46"/>
        </w:rPr>
        <w:t>智慧食堂消费终端系统</w:t>
      </w:r>
    </w:p>
    <w:p>
      <w:pPr>
        <w:spacing w:after="140"/>
        <w:jc w:val="center"/>
      </w:pPr>
      <w:r>
        <w:rPr>
          <w:rFonts w:ascii="Calibri" w:hAnsi="Calibri" w:eastAsia="Microsoft YaHei"/>
          <w:b/>
          <w:color w:val="2E74B5"/>
          <w:sz w:val="34"/>
        </w:rPr>
        <w:t>用户使用说明书（简版真实配图版）</w:t>
      </w:r>
    </w:p>
    <w:p>
      <w:pPr>
        <w:spacing w:after="200"/>
        <w:jc w:val="center"/>
      </w:pPr>
      <w:r>
        <w:rPr>
          <w:rFonts w:ascii="Calibri" w:hAnsi="Calibri" w:eastAsia="Microsoft YaHei"/>
          <w:color w:val="667085"/>
          <w:sz w:val="17"/>
        </w:rPr>
        <w:t>版本：V1.0    适用项目：CusumptionMachine    日期：2026年07月08日</w:t>
      </w:r>
    </w:p>
    <w:p>
      <w:pPr>
        <w:pStyle w:val="Heading1"/>
      </w:pPr>
      <w:r>
        <w:t>一、首页</w:t>
      </w:r>
    </w:p>
    <w:p>
      <w:r>
        <w:drawing>
          <wp:inline xmlns:a="http://schemas.openxmlformats.org/drawingml/2006/main" xmlns:pic="http://schemas.openxmlformats.org/drawingml/2006/picture">
            <wp:extent cx="6263640" cy="352157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hom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1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 w:eastAsia="Microsoft YaHei"/>
          <w:color w:val="667085"/>
          <w:sz w:val="16"/>
        </w:rPr>
        <w:t>图 1 首页真实页面</w:t>
      </w:r>
    </w:p>
    <w:p>
      <w:r>
        <w:t>首页用于选择日常业务入口。现场人员可进入定额消费、自定义消费、菜单消费、订单管理，也可使用底部快捷入口进入人脸消费、订餐核销和余额查询。</w:t>
      </w:r>
    </w:p>
    <w:p>
      <w:pPr>
        <w:pStyle w:val="ListNumber"/>
        <w:numPr>
          <w:ilvl w:val="0"/>
          <w:numId w:val="10"/>
        </w:numPr>
      </w:pPr>
      <w:r>
        <w:t>点击对应业务卡片进入操作页面。</w:t>
      </w:r>
    </w:p>
    <w:p>
      <w:pPr>
        <w:pStyle w:val="ListNumber"/>
        <w:numPr>
          <w:ilvl w:val="0"/>
          <w:numId w:val="10"/>
        </w:numPr>
      </w:pPr>
      <w:r>
        <w:t>右上角显示网络状态和时间。</w:t>
      </w:r>
    </w:p>
    <w:p>
      <w:pPr>
        <w:pStyle w:val="ListNumber"/>
        <w:numPr>
          <w:ilvl w:val="0"/>
          <w:numId w:val="10"/>
        </w:numPr>
      </w:pPr>
      <w:r>
        <w:t>点击顶部出餐按钮可进入扫码出餐。</w:t>
      </w:r>
    </w:p>
    <w:p>
      <w:pPr>
        <w:pStyle w:val="Heading1"/>
      </w:pPr>
      <w:r>
        <w:t>二、系统设置</w:t>
      </w:r>
    </w:p>
    <w:p>
      <w:r>
        <w:drawing>
          <wp:inline xmlns:a="http://schemas.openxmlformats.org/drawingml/2006/main" xmlns:pic="http://schemas.openxmlformats.org/drawingml/2006/picture">
            <wp:extent cx="6263640" cy="352157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setting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1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 w:eastAsia="Microsoft YaHei"/>
          <w:color w:val="667085"/>
          <w:sz w:val="16"/>
        </w:rPr>
        <w:t>图 2 基础设置真实页面</w:t>
      </w:r>
    </w:p>
    <w:p>
      <w:r>
        <w:t>首次使用或重新配对时，先完成基础设置和支付设置。未完成关键配置时，系统会限制返回业务首页。</w:t>
      </w:r>
    </w:p>
    <w:p>
      <w:pPr>
        <w:pStyle w:val="ListNumber"/>
        <w:numPr>
          <w:ilvl w:val="0"/>
          <w:numId w:val="11"/>
        </w:numPr>
      </w:pPr>
      <w:r>
        <w:t>填写 API 地址。</w:t>
      </w:r>
    </w:p>
    <w:p>
      <w:pPr>
        <w:pStyle w:val="ListNumber"/>
        <w:numPr>
          <w:ilvl w:val="0"/>
          <w:numId w:val="11"/>
        </w:numPr>
      </w:pPr>
      <w:r>
        <w:t>输入配对码，获取设备编号。</w:t>
      </w:r>
    </w:p>
    <w:p>
      <w:pPr>
        <w:pStyle w:val="ListNumber"/>
        <w:numPr>
          <w:ilvl w:val="0"/>
          <w:numId w:val="11"/>
        </w:numPr>
      </w:pPr>
      <w:r>
        <w:t>需要人脸支付时填写人脸识别激活码。</w:t>
      </w:r>
    </w:p>
    <w:p>
      <w:pPr>
        <w:pStyle w:val="ListNumber"/>
        <w:numPr>
          <w:ilvl w:val="0"/>
          <w:numId w:val="11"/>
        </w:numPr>
      </w:pPr>
      <w:r>
        <w:t>设置人脸识别时间、订单保存时长、语音和营养展示。</w:t>
      </w:r>
    </w:p>
    <w:p>
      <w:pPr>
        <w:pStyle w:val="ListNumber"/>
        <w:numPr>
          <w:ilvl w:val="0"/>
          <w:numId w:val="11"/>
        </w:numPr>
      </w:pPr>
      <w:r>
        <w:t>进入支付设置，至少开启一种支付方式。</w:t>
      </w:r>
    </w:p>
    <w:p>
      <w:pPr>
        <w:pStyle w:val="Heading1"/>
      </w:pPr>
      <w:r>
        <w:t>三、菜单消费</w:t>
      </w:r>
    </w:p>
    <w:p>
      <w:r>
        <w:drawing>
          <wp:inline xmlns:a="http://schemas.openxmlformats.org/drawingml/2006/main" xmlns:pic="http://schemas.openxmlformats.org/drawingml/2006/picture">
            <wp:extent cx="6263640" cy="352157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menu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1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 w:eastAsia="Microsoft YaHei"/>
          <w:color w:val="667085"/>
          <w:sz w:val="16"/>
        </w:rPr>
        <w:t>图 3 菜单消费真实页面</w:t>
      </w:r>
    </w:p>
    <w:p>
      <w:r>
        <w:t>菜单消费用于按菜品明细收款。左侧可按营养指标筛选，顶部可按菜品分类切换，右侧为购物车。</w:t>
      </w:r>
    </w:p>
    <w:p>
      <w:pPr>
        <w:pStyle w:val="ListNumber"/>
        <w:numPr>
          <w:ilvl w:val="0"/>
          <w:numId w:val="12"/>
        </w:numPr>
      </w:pPr>
      <w:r>
        <w:t>点击菜品加入购物车。</w:t>
      </w:r>
    </w:p>
    <w:p>
      <w:pPr>
        <w:pStyle w:val="ListNumber"/>
        <w:numPr>
          <w:ilvl w:val="0"/>
          <w:numId w:val="12"/>
        </w:numPr>
      </w:pPr>
      <w:r>
        <w:t>如需临时金额，点击“新增商品”并输入价格。</w:t>
      </w:r>
    </w:p>
    <w:p>
      <w:pPr>
        <w:pStyle w:val="ListNumber"/>
        <w:numPr>
          <w:ilvl w:val="0"/>
          <w:numId w:val="12"/>
        </w:numPr>
      </w:pPr>
      <w:r>
        <w:t>核对购物车和合计金额。</w:t>
      </w:r>
    </w:p>
    <w:p>
      <w:pPr>
        <w:pStyle w:val="ListNumber"/>
        <w:numPr>
          <w:ilvl w:val="0"/>
          <w:numId w:val="12"/>
        </w:numPr>
      </w:pPr>
      <w:r>
        <w:t>点击“快速支付”，选择刷卡、扫码或人脸支付。</w:t>
      </w:r>
    </w:p>
    <w:p>
      <w:pPr>
        <w:pStyle w:val="Heading1"/>
      </w:pPr>
      <w:r>
        <w:t>四、定额消费</w:t>
      </w:r>
    </w:p>
    <w:p>
      <w:r>
        <w:drawing>
          <wp:inline xmlns:a="http://schemas.openxmlformats.org/drawingml/2006/main" xmlns:pic="http://schemas.openxmlformats.org/drawingml/2006/picture">
            <wp:extent cx="6263640" cy="352157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quota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1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 w:eastAsia="Microsoft YaHei"/>
          <w:color w:val="667085"/>
          <w:sz w:val="16"/>
        </w:rPr>
        <w:t>图 4 定额消费真实页面</w:t>
      </w:r>
    </w:p>
    <w:p>
      <w:r>
        <w:t>定额消费用于固定餐标或固定金额快速收款。</w:t>
      </w:r>
    </w:p>
    <w:p>
      <w:pPr>
        <w:pStyle w:val="ListNumber"/>
        <w:numPr>
          <w:ilvl w:val="0"/>
          <w:numId w:val="13"/>
        </w:numPr>
      </w:pPr>
      <w:r>
        <w:t>进入定额消费。</w:t>
      </w:r>
    </w:p>
    <w:p>
      <w:pPr>
        <w:pStyle w:val="ListNumber"/>
        <w:numPr>
          <w:ilvl w:val="0"/>
          <w:numId w:val="13"/>
        </w:numPr>
      </w:pPr>
      <w:r>
        <w:t>点击“设置金额”维护本次固定金额。</w:t>
      </w:r>
    </w:p>
    <w:p>
      <w:pPr>
        <w:pStyle w:val="ListNumber"/>
        <w:numPr>
          <w:ilvl w:val="0"/>
          <w:numId w:val="13"/>
        </w:numPr>
      </w:pPr>
      <w:r>
        <w:t>确认金额后按现场配置完成支付。</w:t>
      </w:r>
    </w:p>
    <w:p>
      <w:pPr>
        <w:pStyle w:val="Heading1"/>
      </w:pPr>
      <w:r>
        <w:t>五、自定义消费</w:t>
      </w:r>
    </w:p>
    <w:p>
      <w:r>
        <w:drawing>
          <wp:inline xmlns:a="http://schemas.openxmlformats.org/drawingml/2006/main" xmlns:pic="http://schemas.openxmlformats.org/drawingml/2006/picture">
            <wp:extent cx="6263640" cy="352157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fre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1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 w:eastAsia="Microsoft YaHei"/>
          <w:color w:val="667085"/>
          <w:sz w:val="16"/>
        </w:rPr>
        <w:t>图 5 自定义消费真实页面</w:t>
      </w:r>
    </w:p>
    <w:p>
      <w:r>
        <w:t>自定义消费用于临时金额、补录金额或无菜品明细的快速收款。</w:t>
      </w:r>
    </w:p>
    <w:p>
      <w:pPr>
        <w:pStyle w:val="ListNumber"/>
        <w:numPr>
          <w:ilvl w:val="0"/>
          <w:numId w:val="14"/>
        </w:numPr>
      </w:pPr>
      <w:r>
        <w:t>进入自定义消费。</w:t>
      </w:r>
    </w:p>
    <w:p>
      <w:pPr>
        <w:pStyle w:val="ListNumber"/>
        <w:numPr>
          <w:ilvl w:val="0"/>
          <w:numId w:val="14"/>
        </w:numPr>
      </w:pPr>
      <w:r>
        <w:t>在金额区域输入本次应收金额。</w:t>
      </w:r>
    </w:p>
    <w:p>
      <w:pPr>
        <w:pStyle w:val="ListNumber"/>
        <w:numPr>
          <w:ilvl w:val="0"/>
          <w:numId w:val="14"/>
        </w:numPr>
      </w:pPr>
      <w:r>
        <w:t>确认金额后完成刷卡、扫码或人脸支付。</w:t>
      </w:r>
    </w:p>
    <w:p>
      <w:pPr>
        <w:pStyle w:val="Heading1"/>
      </w:pPr>
      <w:r>
        <w:t>六、余额查询</w:t>
      </w:r>
    </w:p>
    <w:p>
      <w:r>
        <w:drawing>
          <wp:inline xmlns:a="http://schemas.openxmlformats.org/drawingml/2006/main" xmlns:pic="http://schemas.openxmlformats.org/drawingml/2006/picture">
            <wp:extent cx="6263640" cy="352157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balanc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1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 w:eastAsia="Microsoft YaHei"/>
          <w:color w:val="667085"/>
          <w:sz w:val="16"/>
        </w:rPr>
        <w:t>图 6 余额查询真实页面</w:t>
      </w:r>
    </w:p>
    <w:p>
      <w:r>
        <w:t>余额查询用于现场快速查看人员账户余额。</w:t>
      </w:r>
    </w:p>
    <w:p>
      <w:pPr>
        <w:pStyle w:val="ListNumber"/>
        <w:numPr>
          <w:ilvl w:val="0"/>
          <w:numId w:val="15"/>
        </w:numPr>
      </w:pPr>
      <w:r>
        <w:t>进入余额查询。</w:t>
      </w:r>
    </w:p>
    <w:p>
      <w:pPr>
        <w:pStyle w:val="ListNumber"/>
        <w:numPr>
          <w:ilvl w:val="0"/>
          <w:numId w:val="15"/>
        </w:numPr>
      </w:pPr>
      <w:r>
        <w:t>提示顾客刷卡。</w:t>
      </w:r>
    </w:p>
    <w:p>
      <w:pPr>
        <w:pStyle w:val="ListNumber"/>
        <w:numPr>
          <w:ilvl w:val="0"/>
          <w:numId w:val="15"/>
        </w:numPr>
      </w:pPr>
      <w:r>
        <w:t>查看卡号、部门、持卡人、现金余额和补贴余额。</w:t>
      </w:r>
    </w:p>
    <w:p>
      <w:pPr>
        <w:pStyle w:val="ListNumber"/>
        <w:numPr>
          <w:ilvl w:val="0"/>
          <w:numId w:val="15"/>
        </w:numPr>
      </w:pPr>
      <w:r>
        <w:t>如无法查询，检查网络、刷卡支付开关和人员卡号绑定。</w:t>
      </w:r>
    </w:p>
    <w:p>
      <w:pPr>
        <w:pStyle w:val="Heading1"/>
      </w:pPr>
      <w:r>
        <w:t>七、扫码出餐</w:t>
      </w:r>
    </w:p>
    <w:p>
      <w:r>
        <w:drawing>
          <wp:inline xmlns:a="http://schemas.openxmlformats.org/drawingml/2006/main" xmlns:pic="http://schemas.openxmlformats.org/drawingml/2006/picture">
            <wp:extent cx="6263640" cy="352157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meal_served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1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 w:eastAsia="Microsoft YaHei"/>
          <w:color w:val="667085"/>
          <w:sz w:val="16"/>
        </w:rPr>
        <w:t>图 7 扫码出餐真实页面</w:t>
      </w:r>
    </w:p>
    <w:p>
      <w:r>
        <w:t>扫码出餐用于扫描订单二维码并更新订单状态。</w:t>
      </w:r>
    </w:p>
    <w:p>
      <w:pPr>
        <w:pStyle w:val="ListNumber"/>
        <w:numPr>
          <w:ilvl w:val="0"/>
          <w:numId w:val="16"/>
        </w:numPr>
      </w:pPr>
      <w:r>
        <w:t>进入扫码出餐。</w:t>
      </w:r>
    </w:p>
    <w:p>
      <w:pPr>
        <w:pStyle w:val="ListNumber"/>
        <w:numPr>
          <w:ilvl w:val="0"/>
          <w:numId w:val="16"/>
        </w:numPr>
      </w:pPr>
      <w:r>
        <w:t>扫描订单二维码，或手动输入券码。</w:t>
      </w:r>
    </w:p>
    <w:p>
      <w:pPr>
        <w:pStyle w:val="ListNumber"/>
        <w:numPr>
          <w:ilvl w:val="0"/>
          <w:numId w:val="16"/>
        </w:numPr>
      </w:pPr>
      <w:r>
        <w:t>点击“确认出餐”。</w:t>
      </w:r>
    </w:p>
    <w:p>
      <w:pPr>
        <w:pStyle w:val="ListNumber"/>
        <w:numPr>
          <w:ilvl w:val="0"/>
          <w:numId w:val="16"/>
        </w:numPr>
      </w:pPr>
      <w:r>
        <w:t>查看出餐成功或失败提示。</w:t>
      </w:r>
    </w:p>
    <w:p>
      <w:pPr>
        <w:pStyle w:val="Heading1"/>
      </w:pPr>
      <w:r>
        <w:t>八、订餐核销</w:t>
      </w:r>
    </w:p>
    <w:p>
      <w:r>
        <w:drawing>
          <wp:inline xmlns:a="http://schemas.openxmlformats.org/drawingml/2006/main" xmlns:pic="http://schemas.openxmlformats.org/drawingml/2006/picture">
            <wp:extent cx="6263640" cy="352157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_order_verify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1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 w:eastAsia="Microsoft YaHei"/>
          <w:color w:val="667085"/>
          <w:sz w:val="16"/>
        </w:rPr>
        <w:t>图 8 订餐核销真实页面</w:t>
      </w:r>
    </w:p>
    <w:p>
      <w:r>
        <w:t>订餐核销支持扫码、手动输入订单号和人脸核销。页面打开后扫码能力已可用。</w:t>
      </w:r>
    </w:p>
    <w:p>
      <w:pPr>
        <w:pStyle w:val="ListNumber"/>
        <w:numPr>
          <w:ilvl w:val="0"/>
          <w:numId w:val="17"/>
        </w:numPr>
      </w:pPr>
      <w:r>
        <w:t>进入订餐核销。</w:t>
      </w:r>
    </w:p>
    <w:p>
      <w:pPr>
        <w:pStyle w:val="ListNumber"/>
        <w:numPr>
          <w:ilvl w:val="0"/>
          <w:numId w:val="17"/>
        </w:numPr>
      </w:pPr>
      <w:r>
        <w:t>扫描订单二维码，或输入订单号点击“确认核销”。</w:t>
      </w:r>
    </w:p>
    <w:p>
      <w:pPr>
        <w:pStyle w:val="ListNumber"/>
        <w:numPr>
          <w:ilvl w:val="0"/>
          <w:numId w:val="17"/>
        </w:numPr>
      </w:pPr>
      <w:r>
        <w:t>按人员核销时点击人脸图标，识别成功后点击“去核销”。</w:t>
      </w:r>
    </w:p>
    <w:p>
      <w:pPr>
        <w:pStyle w:val="ListNumber"/>
        <w:numPr>
          <w:ilvl w:val="0"/>
          <w:numId w:val="17"/>
        </w:numPr>
      </w:pPr>
      <w:r>
        <w:t>查看核销成功或失败提示。</w:t>
      </w:r>
    </w:p>
    <w:p>
      <w:pPr>
        <w:pStyle w:val="Heading1"/>
      </w:pPr>
      <w:r>
        <w:t>九、订单管理</w:t>
      </w:r>
    </w:p>
    <w:p>
      <w:r>
        <w:drawing>
          <wp:inline xmlns:a="http://schemas.openxmlformats.org/drawingml/2006/main" xmlns:pic="http://schemas.openxmlformats.org/drawingml/2006/picture">
            <wp:extent cx="6263640" cy="352157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_order_man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1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 w:eastAsia="Microsoft YaHei"/>
          <w:color w:val="667085"/>
          <w:sz w:val="16"/>
        </w:rPr>
        <w:t>图 9 订单管理真实页面</w:t>
      </w:r>
    </w:p>
    <w:p>
      <w:r>
        <w:t>订单管理用于查询订单明细和营业汇总，适合营业中查询和日终核账。</w:t>
      </w:r>
    </w:p>
    <w:p>
      <w:pPr>
        <w:pStyle w:val="ListNumber"/>
        <w:numPr>
          <w:ilvl w:val="0"/>
          <w:numId w:val="18"/>
        </w:numPr>
      </w:pPr>
      <w:r>
        <w:t>进入订单管理。</w:t>
      </w:r>
    </w:p>
    <w:p>
      <w:pPr>
        <w:pStyle w:val="ListNumber"/>
        <w:numPr>
          <w:ilvl w:val="0"/>
          <w:numId w:val="18"/>
        </w:numPr>
      </w:pPr>
      <w:r>
        <w:t>选择查询日期。</w:t>
      </w:r>
    </w:p>
    <w:p>
      <w:pPr>
        <w:pStyle w:val="ListNumber"/>
        <w:numPr>
          <w:ilvl w:val="0"/>
          <w:numId w:val="18"/>
        </w:numPr>
      </w:pPr>
      <w:r>
        <w:t>核对本日订单笔数、订单总额和订单明细。</w:t>
      </w:r>
    </w:p>
    <w:p>
      <w:pPr>
        <w:pStyle w:val="ListNumber"/>
        <w:numPr>
          <w:ilvl w:val="0"/>
          <w:numId w:val="18"/>
        </w:numPr>
      </w:pPr>
      <w:r>
        <w:t>需要更多数据时向下滑动加载。</w:t>
      </w:r>
    </w:p>
    <w:p>
      <w:pPr>
        <w:pStyle w:val="Heading1"/>
      </w:pPr>
      <w:r>
        <w:t>十、人员与人脸管理</w:t>
      </w:r>
    </w:p>
    <w:p>
      <w:r>
        <w:drawing>
          <wp:inline xmlns:a="http://schemas.openxmlformats.org/drawingml/2006/main" xmlns:pic="http://schemas.openxmlformats.org/drawingml/2006/picture">
            <wp:extent cx="6263640" cy="352157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_face_manager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1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 w:eastAsia="Microsoft YaHei"/>
          <w:color w:val="667085"/>
          <w:sz w:val="16"/>
        </w:rPr>
        <w:t>图 10 人员与人脸管理真实页面</w:t>
      </w:r>
    </w:p>
    <w:p>
      <w:r>
        <w:t>人员与人脸管理用于查看本机已同步的人脸人员数据。人脸支付或人脸核销异常时，可先确认人员是否已同步。</w:t>
      </w:r>
    </w:p>
    <w:p>
      <w:pPr>
        <w:pStyle w:val="ListNumber"/>
        <w:numPr>
          <w:ilvl w:val="0"/>
          <w:numId w:val="19"/>
        </w:numPr>
      </w:pPr>
      <w:r>
        <w:t>进入人员管理，或在设置页点击“查看人脸”。</w:t>
      </w:r>
    </w:p>
    <w:p>
      <w:pPr>
        <w:pStyle w:val="ListNumber"/>
        <w:numPr>
          <w:ilvl w:val="0"/>
          <w:numId w:val="19"/>
        </w:numPr>
      </w:pPr>
      <w:r>
        <w:t>查看人员头像、姓名和本地 ID。</w:t>
      </w:r>
    </w:p>
    <w:p>
      <w:pPr>
        <w:pStyle w:val="ListNumber"/>
        <w:numPr>
          <w:ilvl w:val="0"/>
          <w:numId w:val="19"/>
        </w:numPr>
      </w:pPr>
      <w:r>
        <w:t>识别失败时检查摄像头、激活码、人员数据、光线和站位。</w:t>
      </w:r>
    </w:p>
    <w:p>
      <w:pPr>
        <w:pStyle w:val="Heading1"/>
      </w:pPr>
      <w:r>
        <w:t>十一、常见问题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vAlign w:val="center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/>
                <w:sz w:val="17"/>
              </w:rPr>
              <w:t>问题</w:t>
            </w:r>
          </w:p>
        </w:tc>
        <w:tc>
          <w:tcPr>
            <w:tcW w:type="dxa" w:w="5083"/>
            <w:vAlign w:val="center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/>
                <w:sz w:val="17"/>
              </w:rPr>
              <w:t>处理方式</w:t>
            </w:r>
          </w:p>
        </w:tc>
      </w:tr>
      <w:tr>
        <w:tc>
          <w:tcPr>
            <w:tcW w:type="dxa" w:w="5083"/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无法退出设置页</w:t>
            </w:r>
          </w:p>
        </w:tc>
        <w:tc>
          <w:tcPr>
            <w:tcW w:type="dxa" w:w="5083"/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补齐 API 地址、配对码、设备编号，并至少开启一种支付方式；开启人脸支付时还要填写激活码。</w:t>
            </w:r>
          </w:p>
        </w:tc>
      </w:tr>
      <w:tr>
        <w:tc>
          <w:tcPr>
            <w:tcW w:type="dxa" w:w="5083"/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刷卡提示卡号不存在</w:t>
            </w:r>
          </w:p>
        </w:tc>
        <w:tc>
          <w:tcPr>
            <w:tcW w:type="dxa" w:w="5083"/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确认人员数据已同步，并在后台核对卡号绑定。</w:t>
            </w:r>
          </w:p>
        </w:tc>
      </w:tr>
      <w:tr>
        <w:tc>
          <w:tcPr>
            <w:tcW w:type="dxa" w:w="5083"/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扫码或订单号为空</w:t>
            </w:r>
          </w:p>
        </w:tc>
        <w:tc>
          <w:tcPr>
            <w:tcW w:type="dxa" w:w="5083"/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重新扫码，或手动输入订单号后确认。</w:t>
            </w:r>
          </w:p>
        </w:tc>
      </w:tr>
      <w:tr>
        <w:tc>
          <w:tcPr>
            <w:tcW w:type="dxa" w:w="5083"/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人脸识别失败</w:t>
            </w:r>
          </w:p>
        </w:tc>
        <w:tc>
          <w:tcPr>
            <w:tcW w:type="dxa" w:w="5083"/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确认摄像头、激活码、人员人脸数据、光线和站位。</w:t>
            </w:r>
          </w:p>
        </w:tc>
      </w:tr>
      <w:tr>
        <w:tc>
          <w:tcPr>
            <w:tcW w:type="dxa" w:w="5083"/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离线订单未及时上传</w:t>
            </w:r>
          </w:p>
        </w:tc>
        <w:tc>
          <w:tcPr>
            <w:tcW w:type="dxa" w:w="5083"/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恢复网络后等待系统补偿上传；长期未恢复时联系运维检查 MQTT 和日志。</w:t>
            </w:r>
          </w:p>
        </w:tc>
      </w:tr>
    </w:tbl>
    <w:p/>
    <w:sectPr w:rsidR="00FC693F" w:rsidRPr="0006063C" w:rsidSect="00034616">
      <w:footerReference w:type="default" r:id="rId19"/>
      <w:pgSz w:w="12240" w:h="15840"/>
      <w:pgMar w:top="1037" w:right="1037" w:bottom="1037" w:left="1037" w:header="648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67085"/>
        <w:sz w:val="16"/>
        <w:rFonts w:eastAsia="Microsoft YaHei"/>
      </w:rPr>
      <w:t>智慧食堂消费终端系统用户使用说明书（简版真实配图版）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Calibri" w:hAnsi="Calibri" w:eastAsia="Microsoft YaHe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line="259" w:lineRule="auto" w:after="30"/>
      <w:contextualSpacing/>
    </w:pPr>
    <w:rPr>
      <w:rFonts w:ascii="Calibri" w:hAnsi="Calibri" w:eastAsia="Microsoft YaHe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