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60"/>
        <w:jc w:val="center"/>
      </w:pPr>
      <w:r>
        <w:rPr>
          <w:rFonts w:ascii="Calibri" w:hAnsi="Calibri" w:eastAsia="Microsoft YaHei"/>
          <w:b/>
          <w:color w:val="000000"/>
          <w:sz w:val="52"/>
        </w:rPr>
        <w:t>智慧食堂消费终端系统</w:t>
      </w:r>
    </w:p>
    <w:p>
      <w:pPr>
        <w:spacing w:after="240"/>
        <w:jc w:val="center"/>
      </w:pPr>
      <w:r>
        <w:rPr>
          <w:rFonts w:ascii="Calibri" w:hAnsi="Calibri" w:eastAsia="Microsoft YaHei"/>
          <w:b/>
          <w:color w:val="2E74B5"/>
          <w:sz w:val="44"/>
        </w:rPr>
        <w:t>用户使用说明书</w:t>
      </w:r>
    </w:p>
    <w:p>
      <w:pPr>
        <w:spacing w:after="400"/>
        <w:jc w:val="center"/>
      </w:pPr>
      <w:r>
        <w:rPr>
          <w:rFonts w:ascii="Calibri" w:hAnsi="Calibri" w:eastAsia="Microsoft YaHei"/>
          <w:color w:val="64748B"/>
          <w:sz w:val="20"/>
        </w:rPr>
        <w:t>版本：V1.0    适用项目：CusumptionMachine    日期：2026年07月08日</w:t>
      </w:r>
    </w:p>
    <w:p>
      <w:pPr>
        <w:pStyle w:val="Heading1"/>
      </w:pPr>
      <w:r>
        <w:t>一、概述</w:t>
      </w:r>
    </w:p>
    <w:p>
      <w:r>
        <w:t>智慧食堂消费终端系统用于食堂档口、餐饮窗口和团餐现场的快速消费结算。系统围绕消费终端的高频操作，将菜单消费、定额消费、自定义金额消费、刷卡支付、扫码支付、人脸支付、订餐核销、出餐处理、订单查询、人员人脸数据管理和基础参数配置集中在同一软件中完成。</w:t>
      </w:r>
    </w:p>
    <w:p>
      <w:r>
        <w:t>本说明书面向现场操作人员、食堂管理人员和设备运维人员，重点说明日常业务怎么操作、首次上线需要配置什么、异常情况如何处理。</w:t>
      </w:r>
    </w:p>
    <w:p>
      <w:pPr>
        <w:pStyle w:val="Heading1"/>
      </w:pPr>
      <w:r>
        <w:t>二、主要功能与界面对应说明</w:t>
      </w:r>
    </w:p>
    <w:p>
      <w:pPr>
        <w:pStyle w:val="Heading2"/>
      </w:pPr>
      <w:r>
        <w:t>1. 首页功能入口</w:t>
      </w:r>
    </w:p>
    <w:p>
      <w:r>
        <w:t>首页为消费终端主入口，集中展示菜单消费、定额消费、自定义消费和订单管理等业务卡片，并提供余额查询、出餐、订餐核销、人脸消费等快捷入口。页面顶部显示系统名称、网络状态、日期时间等信息，便于现场人员确认终端运行状态。</w:t>
      </w:r>
    </w:p>
    <w:p>
      <w:r>
        <w:t>点击首页设置图标可进入系统设置；设置页退出时会校验基础配置和支付方式，未完成关键配置时不能返回业务首页。</w:t>
      </w:r>
    </w:p>
    <w:p>
      <w:pPr>
        <w:pStyle w:val="Heading2"/>
      </w:pPr>
      <w:r>
        <w:t>2. 菜单消费</w:t>
      </w:r>
    </w:p>
    <w:p>
      <w:r>
        <w:t>菜单消费用于按菜品明细进行收款。操作人员进入“菜单消费”后，系统加载菜品列表，点击菜品加入购物车；也可以通过“新增商品”录入临时金额作为自定义菜品。核对购物车数量和合计金额后，点击“快速支付”进入收款流程。</w:t>
      </w:r>
    </w:p>
    <w:p>
      <w:r>
        <w:t>若开启菜名播报，点击菜品时设备会播报菜名；若启用营养展示，支付成功弹框可展示餐盘营养相关信息。</w:t>
      </w:r>
    </w:p>
    <w:p>
      <w:pPr>
        <w:pStyle w:val="Heading2"/>
      </w:pPr>
      <w:r>
        <w:t>3. 定额消费</w:t>
      </w:r>
    </w:p>
    <w:p>
      <w:r>
        <w:t>定额消费用于固定金额收款场景。操作人员进入“定额消费”后输入或确认固定消费金额，再选择刷卡、扫码或人脸方式完成支付。不同设备类型会自动使用带键盘或无键盘界面。</w:t>
      </w:r>
    </w:p>
    <w:p>
      <w:pPr>
        <w:pStyle w:val="Heading2"/>
      </w:pPr>
      <w:r>
        <w:t>4. 自定义消费</w:t>
      </w:r>
    </w:p>
    <w:p>
      <w:r>
        <w:t>自定义消费用于临时金额、补录金额或无菜品明细的快速收款。操作人员输入应收金额，系统校验金额后进入支付流程，并生成对应消费订单记录。</w:t>
      </w:r>
    </w:p>
    <w:p>
      <w:pPr>
        <w:pStyle w:val="Heading2"/>
      </w:pPr>
      <w:r>
        <w:t>5. 支付方式</w:t>
      </w:r>
    </w:p>
    <w:p>
      <w:r>
        <w:t>系统支持刷卡支付、扫码支付和人脸支付。支付设置中可多选启用支付方式；只启用一种方式时系统直接进入该支付方式，启用多种方式时会弹出支付方式选择界面。</w:t>
      </w:r>
    </w:p>
    <w:p>
      <w:r>
        <w:t>刷卡支付会读取卡号并查询本地人员；扫码支付会读取付款码或订单码；人脸支付会打开摄像头识别人员，识别成功后由操作人员确认支付或核销。</w:t>
      </w:r>
    </w:p>
    <w:p>
      <w:pPr>
        <w:pStyle w:val="Heading2"/>
      </w:pPr>
      <w:r>
        <w:t>6. 余额查询</w:t>
      </w:r>
    </w:p>
    <w:p>
      <w:r>
        <w:t>余额查询用于现场快速查询人员账户余额。进入“余额查询”后刷卡，系统按卡号向服务端查询并展示卡号、部门、姓名、现金余额、补贴余额等信息。若未开启刷卡支付或网络不可用，页面会提示对应异常。</w:t>
      </w:r>
    </w:p>
    <w:p>
      <w:pPr>
        <w:pStyle w:val="Heading2"/>
      </w:pPr>
      <w:r>
        <w:t>7. 出餐处理</w:t>
      </w:r>
    </w:p>
    <w:p>
      <w:r>
        <w:t>出餐页面用于将订单从备餐状态推进到待取餐状态。操作人员可扫描订单码，也可手动输入订单号后点击确认。出餐成功后系统展示订单号和叫号次数；失败时展示服务端返回的失败原因。</w:t>
      </w:r>
    </w:p>
    <w:p>
      <w:pPr>
        <w:pStyle w:val="Heading2"/>
      </w:pPr>
      <w:r>
        <w:t>8. 订餐核销</w:t>
      </w:r>
    </w:p>
    <w:p>
      <w:r>
        <w:t>订餐核销页面用于核销已有订餐订单，也支持现场生成消费订单并扣款。操作人员可扫描订单二维码、手动输入订单号，或点击人脸识别进行核销。二维码扫码在页面打开后即处于可用状态，点击二维码图标主要用于提示“请扫描订单二维码”。</w:t>
      </w:r>
    </w:p>
    <w:p>
      <w:r>
        <w:t>人脸核销会复用系统人脸识别弹框，确认按钮显示为“去核销”，不会影响其他消费页面的“去支付”文案。</w:t>
      </w:r>
    </w:p>
    <w:p>
      <w:pPr>
        <w:pStyle w:val="Heading2"/>
      </w:pPr>
      <w:r>
        <w:t>9. 人脸消费</w:t>
      </w:r>
    </w:p>
    <w:p>
      <w:r>
        <w:t>人脸消费用于顾客直接刷脸完成消费。启用该功能前必须保证设备有摄像头、人脸识别 SDK 已激活、人员和人脸数据已同步，并在支付设置中开启人脸支付。</w:t>
      </w:r>
    </w:p>
    <w:p>
      <w:pPr>
        <w:pStyle w:val="Heading2"/>
      </w:pPr>
      <w:r>
        <w:t>10. 订单管理</w:t>
      </w:r>
    </w:p>
    <w:p>
      <w:r>
        <w:t>订单管理用于查询消费订单和营业概况。页面默认显示今日订单，可按日期筛选，查看订单笔数、订单总额以及订单编号、消费人、消费时间、订单金额、实付金额、支付方式、订单来源等明细。首页卡片当前进入在线订单管理；本地订单用于离线留存和补偿上传。</w:t>
      </w:r>
    </w:p>
    <w:p>
      <w:pPr>
        <w:pStyle w:val="Heading2"/>
      </w:pPr>
      <w:r>
        <w:t>11. 人员与人脸管理</w:t>
      </w:r>
    </w:p>
    <w:p>
      <w:r>
        <w:t>人员与人脸数据由系统启动、定时任务或 MQTT 推送进行同步。进入“人员管理”或基础设置中的“查看人脸”，可查看本机已落地的人脸人员列表和头像。</w:t>
      </w:r>
    </w:p>
    <w:p>
      <w:pPr>
        <w:pStyle w:val="Heading2"/>
      </w:pPr>
      <w:r>
        <w:t>12. 系统设置</w:t>
      </w:r>
    </w:p>
    <w:p>
      <w:r>
        <w:t>系统设置分为基础设置、设备管理、支付设置三类。基础设置维护 API 地址、配对码、设备编号、人脸激活码、人脸识别超时时间、订单保存时长、语音开关、菜名播报、营养展示和版本更新；设备管理提供刷卡测试；支付设置维护支付方式和支付结果弹框显示时长。</w:t>
      </w:r>
    </w:p>
    <w:p>
      <w:pPr>
        <w:pStyle w:val="Heading1"/>
      </w:pPr>
      <w:r>
        <w:t>三、首次使用与基础配置</w:t>
      </w:r>
    </w:p>
    <w:p>
      <w:r>
        <w:t>首次安装或重新配对设备时，按以下顺序完成配置：</w:t>
      </w:r>
    </w:p>
    <w:p>
      <w:pPr>
        <w:pStyle w:val="ListNumber"/>
        <w:numPr>
          <w:ilvl w:val="0"/>
          <w:numId w:val="10"/>
        </w:numPr>
      </w:pPr>
      <w:r>
        <w:t>进入系统设置，打开“基础设置”。</w:t>
      </w:r>
    </w:p>
    <w:p>
      <w:pPr>
        <w:pStyle w:val="ListNumber"/>
        <w:numPr>
          <w:ilvl w:val="0"/>
          <w:numId w:val="10"/>
        </w:numPr>
      </w:pPr>
      <w:r>
        <w:t>填写 API 地址。API 地址切换后，当前数据可能被清空，切换前应确认现场允许重新同步。</w:t>
      </w:r>
    </w:p>
    <w:p>
      <w:pPr>
        <w:pStyle w:val="ListNumber"/>
        <w:numPr>
          <w:ilvl w:val="0"/>
          <w:numId w:val="10"/>
        </w:numPr>
      </w:pPr>
      <w:r>
        <w:t>填写配对码，系统获取并保存设备编号、餐厅信息、接口鉴权和 MQTT 等配置信息。</w:t>
      </w:r>
    </w:p>
    <w:p>
      <w:pPr>
        <w:pStyle w:val="ListNumber"/>
        <w:numPr>
          <w:ilvl w:val="0"/>
          <w:numId w:val="10"/>
        </w:numPr>
      </w:pPr>
      <w:r>
        <w:t>如需使用人脸支付或人脸核销，填写人脸识别激活码。</w:t>
      </w:r>
    </w:p>
    <w:p>
      <w:pPr>
        <w:pStyle w:val="ListNumber"/>
        <w:numPr>
          <w:ilvl w:val="0"/>
          <w:numId w:val="10"/>
        </w:numPr>
      </w:pPr>
      <w:r>
        <w:t>设置人脸识别超时时间，可按现场识别效率选择 5 秒或 10 秒。</w:t>
      </w:r>
    </w:p>
    <w:p>
      <w:pPr>
        <w:pStyle w:val="ListNumber"/>
        <w:numPr>
          <w:ilvl w:val="0"/>
          <w:numId w:val="10"/>
        </w:numPr>
      </w:pPr>
      <w:r>
        <w:t>设置订单保存时长，可选择 0 天、7 天或 30 天。</w:t>
      </w:r>
    </w:p>
    <w:p>
      <w:pPr>
        <w:pStyle w:val="ListNumber"/>
        <w:numPr>
          <w:ilvl w:val="0"/>
          <w:numId w:val="10"/>
        </w:numPr>
      </w:pPr>
      <w:r>
        <w:t>按需要开启语音提示、菜名播报和营养展示。</w:t>
      </w:r>
    </w:p>
    <w:p>
      <w:pPr>
        <w:pStyle w:val="ListNumber"/>
        <w:numPr>
          <w:ilvl w:val="0"/>
          <w:numId w:val="10"/>
        </w:numPr>
      </w:pPr>
      <w:r>
        <w:t>进入“支付设置”，至少开启刷卡、扫码、人脸中的一种支付方式。</w:t>
      </w:r>
    </w:p>
    <w:p>
      <w:pPr>
        <w:pStyle w:val="ListNumber"/>
        <w:numPr>
          <w:ilvl w:val="0"/>
          <w:numId w:val="10"/>
        </w:numPr>
      </w:pPr>
      <w:r>
        <w:t>返回首页。若配置不完整，系统会提示需要补齐的项目。</w:t>
      </w:r>
    </w:p>
    <w:p>
      <w:pPr>
        <w:pStyle w:val="Heading1"/>
      </w:pPr>
      <w:r>
        <w:t>四、日常业务操作流程</w:t>
      </w:r>
    </w:p>
    <w:p>
      <w:pPr>
        <w:pStyle w:val="Heading2"/>
      </w:pPr>
      <w:r>
        <w:t>1. 菜单消费收款</w:t>
      </w:r>
    </w:p>
    <w:p>
      <w:pPr>
        <w:pStyle w:val="ListNumber"/>
        <w:numPr>
          <w:ilvl w:val="0"/>
          <w:numId w:val="11"/>
        </w:numPr>
      </w:pPr>
      <w:r>
        <w:t>在首页点击“菜单消费”。</w:t>
      </w:r>
    </w:p>
    <w:p>
      <w:pPr>
        <w:pStyle w:val="ListNumber"/>
        <w:numPr>
          <w:ilvl w:val="0"/>
          <w:numId w:val="11"/>
        </w:numPr>
      </w:pPr>
      <w:r>
        <w:t>等待菜品列表加载完成，选择顾客购买的菜品。</w:t>
      </w:r>
    </w:p>
    <w:p>
      <w:pPr>
        <w:pStyle w:val="ListNumber"/>
        <w:numPr>
          <w:ilvl w:val="0"/>
          <w:numId w:val="11"/>
        </w:numPr>
      </w:pPr>
      <w:r>
        <w:t>在购物车核对菜品、数量和合计金额；如需临时金额，点击新增商品并录入金额。</w:t>
      </w:r>
    </w:p>
    <w:p>
      <w:pPr>
        <w:pStyle w:val="ListNumber"/>
        <w:numPr>
          <w:ilvl w:val="0"/>
          <w:numId w:val="11"/>
        </w:numPr>
      </w:pPr>
      <w:r>
        <w:t>点击“快速支付”。</w:t>
      </w:r>
    </w:p>
    <w:p>
      <w:pPr>
        <w:pStyle w:val="ListNumber"/>
        <w:numPr>
          <w:ilvl w:val="0"/>
          <w:numId w:val="11"/>
        </w:numPr>
      </w:pPr>
      <w:r>
        <w:t>按现场配置选择刷卡、扫码或人脸支付。</w:t>
      </w:r>
    </w:p>
    <w:p>
      <w:pPr>
        <w:pStyle w:val="ListNumber"/>
        <w:numPr>
          <w:ilvl w:val="0"/>
          <w:numId w:val="11"/>
        </w:numPr>
      </w:pPr>
      <w:r>
        <w:t>支付成功后确认成功弹框，系统自动保存订单；支付失败时按提示重新支付或更换支付方式。</w:t>
      </w:r>
    </w:p>
    <w:p>
      <w:pPr>
        <w:pStyle w:val="Heading2"/>
      </w:pPr>
      <w:r>
        <w:t>2. 定额消费收款</w:t>
      </w:r>
    </w:p>
    <w:p>
      <w:pPr>
        <w:pStyle w:val="ListNumber"/>
        <w:numPr>
          <w:ilvl w:val="0"/>
          <w:numId w:val="12"/>
        </w:numPr>
      </w:pPr>
      <w:r>
        <w:t>在首页点击“定额消费”。</w:t>
      </w:r>
    </w:p>
    <w:p>
      <w:pPr>
        <w:pStyle w:val="ListNumber"/>
        <w:numPr>
          <w:ilvl w:val="0"/>
          <w:numId w:val="12"/>
        </w:numPr>
      </w:pPr>
      <w:r>
        <w:t>输入或确认本次固定消费金额。</w:t>
      </w:r>
    </w:p>
    <w:p>
      <w:pPr>
        <w:pStyle w:val="ListNumber"/>
        <w:numPr>
          <w:ilvl w:val="0"/>
          <w:numId w:val="12"/>
        </w:numPr>
      </w:pPr>
      <w:r>
        <w:t>选择支付方式并完成支付。</w:t>
      </w:r>
    </w:p>
    <w:p>
      <w:pPr>
        <w:pStyle w:val="ListNumber"/>
        <w:numPr>
          <w:ilvl w:val="0"/>
          <w:numId w:val="12"/>
        </w:numPr>
      </w:pPr>
      <w:r>
        <w:t>查看支付结果，成功后可继续下一笔。</w:t>
      </w:r>
    </w:p>
    <w:p>
      <w:pPr>
        <w:pStyle w:val="Heading2"/>
      </w:pPr>
      <w:r>
        <w:t>3. 自定义消费收款</w:t>
      </w:r>
    </w:p>
    <w:p>
      <w:pPr>
        <w:pStyle w:val="ListNumber"/>
        <w:numPr>
          <w:ilvl w:val="0"/>
          <w:numId w:val="13"/>
        </w:numPr>
      </w:pPr>
      <w:r>
        <w:t>在首页点击“自定义消费”。</w:t>
      </w:r>
    </w:p>
    <w:p>
      <w:pPr>
        <w:pStyle w:val="ListNumber"/>
        <w:numPr>
          <w:ilvl w:val="0"/>
          <w:numId w:val="13"/>
        </w:numPr>
      </w:pPr>
      <w:r>
        <w:t>输入实际应收金额。</w:t>
      </w:r>
    </w:p>
    <w:p>
      <w:pPr>
        <w:pStyle w:val="ListNumber"/>
        <w:numPr>
          <w:ilvl w:val="0"/>
          <w:numId w:val="13"/>
        </w:numPr>
      </w:pPr>
      <w:r>
        <w:t>确认金额无误后进入支付。</w:t>
      </w:r>
    </w:p>
    <w:p>
      <w:pPr>
        <w:pStyle w:val="ListNumber"/>
        <w:numPr>
          <w:ilvl w:val="0"/>
          <w:numId w:val="13"/>
        </w:numPr>
      </w:pPr>
      <w:r>
        <w:t>完成刷卡、扫码或人脸支付。</w:t>
      </w:r>
    </w:p>
    <w:p>
      <w:pPr>
        <w:pStyle w:val="Heading2"/>
      </w:pPr>
      <w:r>
        <w:t>4. 出餐操作</w:t>
      </w:r>
    </w:p>
    <w:p>
      <w:pPr>
        <w:pStyle w:val="ListNumber"/>
        <w:numPr>
          <w:ilvl w:val="0"/>
          <w:numId w:val="14"/>
        </w:numPr>
      </w:pPr>
      <w:r>
        <w:t>在首页点击出餐入口。</w:t>
      </w:r>
    </w:p>
    <w:p>
      <w:pPr>
        <w:pStyle w:val="ListNumber"/>
        <w:numPr>
          <w:ilvl w:val="0"/>
          <w:numId w:val="14"/>
        </w:numPr>
      </w:pPr>
      <w:r>
        <w:t>扫描订单码，或手动输入订单号后点击确认。</w:t>
      </w:r>
    </w:p>
    <w:p>
      <w:pPr>
        <w:pStyle w:val="ListNumber"/>
        <w:numPr>
          <w:ilvl w:val="0"/>
          <w:numId w:val="14"/>
        </w:numPr>
      </w:pPr>
      <w:r>
        <w:t>等待系统返回出餐结果。成功时展示订单号和叫号次数；失败时根据提示核对订单状态或网络。</w:t>
      </w:r>
    </w:p>
    <w:p>
      <w:pPr>
        <w:pStyle w:val="Heading2"/>
      </w:pPr>
      <w:r>
        <w:t>5. 订餐核销操作</w:t>
      </w:r>
    </w:p>
    <w:p>
      <w:pPr>
        <w:pStyle w:val="ListNumber"/>
        <w:numPr>
          <w:ilvl w:val="0"/>
          <w:numId w:val="15"/>
        </w:numPr>
      </w:pPr>
      <w:r>
        <w:t>在首页点击“订餐核销”。</w:t>
      </w:r>
    </w:p>
    <w:p>
      <w:pPr>
        <w:pStyle w:val="ListNumber"/>
        <w:numPr>
          <w:ilvl w:val="0"/>
          <w:numId w:val="15"/>
        </w:numPr>
      </w:pPr>
      <w:r>
        <w:t>使用扫码设备扫描订单二维码，或在输入框录入订单号后确认。</w:t>
      </w:r>
    </w:p>
    <w:p>
      <w:pPr>
        <w:pStyle w:val="ListNumber"/>
        <w:numPr>
          <w:ilvl w:val="0"/>
          <w:numId w:val="15"/>
        </w:numPr>
      </w:pPr>
      <w:r>
        <w:t>如需按人员核销，点击人脸识别图标，对准摄像头完成识别后点击“去核销”。</w:t>
      </w:r>
    </w:p>
    <w:p>
      <w:pPr>
        <w:pStyle w:val="ListNumber"/>
        <w:numPr>
          <w:ilvl w:val="0"/>
          <w:numId w:val="15"/>
        </w:numPr>
      </w:pPr>
      <w:r>
        <w:t>核销成功后查看消费人、订单金额、实付金额和余额；失败时按提示处理。</w:t>
      </w:r>
    </w:p>
    <w:p>
      <w:pPr>
        <w:pStyle w:val="Heading2"/>
      </w:pPr>
      <w:r>
        <w:t>6. 余额查询操作</w:t>
      </w:r>
    </w:p>
    <w:p>
      <w:pPr>
        <w:pStyle w:val="ListNumber"/>
        <w:numPr>
          <w:ilvl w:val="0"/>
          <w:numId w:val="16"/>
        </w:numPr>
      </w:pPr>
      <w:r>
        <w:t>在首页点击“余额查询”。</w:t>
      </w:r>
    </w:p>
    <w:p>
      <w:pPr>
        <w:pStyle w:val="ListNumber"/>
        <w:numPr>
          <w:ilvl w:val="0"/>
          <w:numId w:val="16"/>
        </w:numPr>
      </w:pPr>
      <w:r>
        <w:t>提示现场顾客刷卡。</w:t>
      </w:r>
    </w:p>
    <w:p>
      <w:pPr>
        <w:pStyle w:val="ListNumber"/>
        <w:numPr>
          <w:ilvl w:val="0"/>
          <w:numId w:val="16"/>
        </w:numPr>
      </w:pPr>
      <w:r>
        <w:t>查看系统展示的姓名、部门、现金余额和补贴余额。</w:t>
      </w:r>
    </w:p>
    <w:p>
      <w:pPr>
        <w:pStyle w:val="ListNumber"/>
        <w:numPr>
          <w:ilvl w:val="0"/>
          <w:numId w:val="16"/>
        </w:numPr>
      </w:pPr>
      <w:r>
        <w:t>如提示未开启刷卡支付，需到支付设置开启刷卡支付后再查询。</w:t>
      </w:r>
    </w:p>
    <w:p>
      <w:pPr>
        <w:pStyle w:val="Heading1"/>
      </w:pPr>
      <w:r>
        <w:t>五、订单查询与日终核对</w:t>
      </w:r>
    </w:p>
    <w:p>
      <w:r>
        <w:t>订单管理页面默认查询当天订单，支持按日期选择历史订单。现场收银或管理人员可通过订单数、订单总额和订单明细进行日终核账。</w:t>
      </w:r>
    </w:p>
    <w:p>
      <w:r>
        <w:t>订单列表支持分页加载。点击订单明细可查看该笔订单的菜品、金额、支付方式和人员信息。网络订单查询依赖服务端；本地订单主要用于离线场景下的留存和后续补偿上传。</w:t>
      </w:r>
    </w:p>
    <w:p>
      <w:pPr>
        <w:pStyle w:val="Heading1"/>
      </w:pPr>
      <w:r>
        <w:t>六、人员、人脸与数据同步</w:t>
      </w:r>
    </w:p>
    <w:p>
      <w:r>
        <w:t>系统启动时会检查配置并同步人员、人脸数据；后续可通过定时任务或 MQTT 推送更新。人员数据同步完成后，本地刷卡、人脸识别和消费支付才能正确关联顾客身份。</w:t>
      </w:r>
    </w:p>
    <w:p>
      <w:r>
        <w:t>若人脸支付不可用，应依次确认：设备是否有摄像头、是否已填写人脸激活码、是否开启人脸支付、人员和人脸数据是否已同步、现场光线和摄像头角度是否满足识别要求。</w:t>
      </w:r>
    </w:p>
    <w:p>
      <w:pPr>
        <w:pStyle w:val="Heading1"/>
      </w:pPr>
      <w:r>
        <w:t>七、系统设置说明</w:t>
      </w:r>
    </w:p>
    <w:p>
      <w:pPr>
        <w:pStyle w:val="Heading2"/>
      </w:pPr>
      <w:r>
        <w:t>配置项说明</w:t>
      </w:r>
    </w:p>
    <w:tbl>
      <w:tblPr>
        <w:tblStyle w:val="TableGrid"/>
        <w:tblW w:type="dxa" w:w="9360"/>
        <w:jc w:val="center"/>
        <w:tblLayout w:type="fixed"/>
        <w:tblLook w:firstColumn="1" w:firstRow="1" w:lastColumn="0" w:lastRow="0" w:noHBand="0" w:noVBand="1" w:val="04A0"/>
      </w:tblPr>
      <w:tblGrid>
        <w:gridCol w:w="2300"/>
        <w:gridCol w:w="3000"/>
        <w:gridCol w:w="4060"/>
      </w:tblGrid>
      <w:tr>
        <w:tc>
          <w:tcPr>
            <w:tcW w:type="dxa" w:w="2300"/>
            <w:vAlign w:val="center"/>
            <w:shd w:fill="E8EEF5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/>
                <w:color w:val="1F3A5F"/>
                <w:sz w:val="17"/>
              </w:rPr>
              <w:t>设置区域</w:t>
            </w:r>
          </w:p>
        </w:tc>
        <w:tc>
          <w:tcPr>
            <w:tcW w:type="dxa" w:w="3000"/>
            <w:vAlign w:val="center"/>
            <w:shd w:fill="E8EEF5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/>
                <w:color w:val="1F3A5F"/>
                <w:sz w:val="17"/>
              </w:rPr>
              <w:t>配置项</w:t>
            </w:r>
          </w:p>
        </w:tc>
        <w:tc>
          <w:tcPr>
            <w:tcW w:type="dxa" w:w="4060"/>
            <w:vAlign w:val="center"/>
            <w:shd w:fill="E8EEF5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/>
                <w:color w:val="1F3A5F"/>
                <w:sz w:val="17"/>
              </w:rPr>
              <w:t>用途</w:t>
            </w:r>
          </w:p>
        </w:tc>
      </w:tr>
      <w:tr>
        <w:tc>
          <w:tcPr>
            <w:tcW w:type="dxa" w:w="23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基础设置</w:t>
            </w:r>
          </w:p>
        </w:tc>
        <w:tc>
          <w:tcPr>
            <w:tcW w:type="dxa" w:w="30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API 地址</w:t>
            </w:r>
          </w:p>
        </w:tc>
        <w:tc>
          <w:tcPr>
            <w:tcW w:type="dxa" w:w="406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配置服务端地址；切换后可能清空当前数据。</w:t>
            </w:r>
          </w:p>
        </w:tc>
      </w:tr>
      <w:tr>
        <w:tc>
          <w:tcPr>
            <w:tcW w:type="dxa" w:w="23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基础设置</w:t>
            </w:r>
          </w:p>
        </w:tc>
        <w:tc>
          <w:tcPr>
            <w:tcW w:type="dxa" w:w="30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配对码/设备编号</w:t>
            </w:r>
          </w:p>
        </w:tc>
        <w:tc>
          <w:tcPr>
            <w:tcW w:type="dxa" w:w="406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完成终端和后台设备绑定，设备编号由配对信息生成。</w:t>
            </w:r>
          </w:p>
        </w:tc>
      </w:tr>
      <w:tr>
        <w:tc>
          <w:tcPr>
            <w:tcW w:type="dxa" w:w="23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基础设置</w:t>
            </w:r>
          </w:p>
        </w:tc>
        <w:tc>
          <w:tcPr>
            <w:tcW w:type="dxa" w:w="30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人脸识别激活</w:t>
            </w:r>
          </w:p>
        </w:tc>
        <w:tc>
          <w:tcPr>
            <w:tcW w:type="dxa" w:w="406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启用人脸识别能力前必须配置。</w:t>
            </w:r>
          </w:p>
        </w:tc>
      </w:tr>
      <w:tr>
        <w:tc>
          <w:tcPr>
            <w:tcW w:type="dxa" w:w="23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基础设置</w:t>
            </w:r>
          </w:p>
        </w:tc>
        <w:tc>
          <w:tcPr>
            <w:tcW w:type="dxa" w:w="30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人脸识别超时时间</w:t>
            </w:r>
          </w:p>
        </w:tc>
        <w:tc>
          <w:tcPr>
            <w:tcW w:type="dxa" w:w="406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控制识别等待时间，可按现场效率选择。</w:t>
            </w:r>
          </w:p>
        </w:tc>
      </w:tr>
      <w:tr>
        <w:tc>
          <w:tcPr>
            <w:tcW w:type="dxa" w:w="23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基础设置</w:t>
            </w:r>
          </w:p>
        </w:tc>
        <w:tc>
          <w:tcPr>
            <w:tcW w:type="dxa" w:w="30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订单保存时长</w:t>
            </w:r>
          </w:p>
        </w:tc>
        <w:tc>
          <w:tcPr>
            <w:tcW w:type="dxa" w:w="406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控制本地订单保留 0/7/30 天。</w:t>
            </w:r>
          </w:p>
        </w:tc>
      </w:tr>
      <w:tr>
        <w:tc>
          <w:tcPr>
            <w:tcW w:type="dxa" w:w="23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基础设置</w:t>
            </w:r>
          </w:p>
        </w:tc>
        <w:tc>
          <w:tcPr>
            <w:tcW w:type="dxa" w:w="30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语音开关/菜名播报/营养展示</w:t>
            </w:r>
          </w:p>
        </w:tc>
        <w:tc>
          <w:tcPr>
            <w:tcW w:type="dxa" w:w="406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控制现场提示、菜品播报和支付成功后的营养展示。</w:t>
            </w:r>
          </w:p>
        </w:tc>
      </w:tr>
      <w:tr>
        <w:tc>
          <w:tcPr>
            <w:tcW w:type="dxa" w:w="23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设备管理</w:t>
            </w:r>
          </w:p>
        </w:tc>
        <w:tc>
          <w:tcPr>
            <w:tcW w:type="dxa" w:w="30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刷卡测试</w:t>
            </w:r>
          </w:p>
        </w:tc>
        <w:tc>
          <w:tcPr>
            <w:tcW w:type="dxa" w:w="406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用于验证刷卡外设是否可正常读卡。</w:t>
            </w:r>
          </w:p>
        </w:tc>
      </w:tr>
      <w:tr>
        <w:tc>
          <w:tcPr>
            <w:tcW w:type="dxa" w:w="23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支付设置</w:t>
            </w:r>
          </w:p>
        </w:tc>
        <w:tc>
          <w:tcPr>
            <w:tcW w:type="dxa" w:w="30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支付方式选择</w:t>
            </w:r>
          </w:p>
        </w:tc>
        <w:tc>
          <w:tcPr>
            <w:tcW w:type="dxa" w:w="406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刷卡、扫码、人脸至少开启一种。</w:t>
            </w:r>
          </w:p>
        </w:tc>
      </w:tr>
      <w:tr>
        <w:tc>
          <w:tcPr>
            <w:tcW w:type="dxa" w:w="23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支付设置</w:t>
            </w:r>
          </w:p>
        </w:tc>
        <w:tc>
          <w:tcPr>
            <w:tcW w:type="dxa" w:w="30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支付结果弹框显示时长</w:t>
            </w:r>
          </w:p>
        </w:tc>
        <w:tc>
          <w:tcPr>
            <w:tcW w:type="dxa" w:w="406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控制支付成功/失败弹框停留 1 秒、3 秒或 5 秒。</w:t>
            </w:r>
          </w:p>
        </w:tc>
      </w:tr>
    </w:tbl>
    <w:p/>
    <w:p>
      <w:pPr>
        <w:pStyle w:val="Heading1"/>
      </w:pPr>
      <w:r>
        <w:t>八、常见异常与处理方法</w:t>
      </w:r>
    </w:p>
    <w:p>
      <w:pPr>
        <w:pStyle w:val="Heading2"/>
      </w:pPr>
      <w:r>
        <w:t>异常处理表</w:t>
      </w:r>
    </w:p>
    <w:tbl>
      <w:tblPr>
        <w:tblStyle w:val="TableGrid"/>
        <w:tblW w:type="dxa" w:w="9360"/>
        <w:jc w:val="center"/>
        <w:tblLayout w:type="fixed"/>
        <w:tblLook w:firstColumn="1" w:firstRow="1" w:lastColumn="0" w:lastRow="0" w:noHBand="0" w:noVBand="1" w:val="04A0"/>
      </w:tblPr>
      <w:tblGrid>
        <w:gridCol w:w="2300"/>
        <w:gridCol w:w="3000"/>
        <w:gridCol w:w="4060"/>
      </w:tblGrid>
      <w:tr>
        <w:tc>
          <w:tcPr>
            <w:tcW w:type="dxa" w:w="2300"/>
            <w:vAlign w:val="center"/>
            <w:shd w:fill="E8EEF5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/>
                <w:color w:val="1F3A5F"/>
                <w:sz w:val="17"/>
              </w:rPr>
              <w:t>现象</w:t>
            </w:r>
          </w:p>
        </w:tc>
        <w:tc>
          <w:tcPr>
            <w:tcW w:type="dxa" w:w="3000"/>
            <w:vAlign w:val="center"/>
            <w:shd w:fill="E8EEF5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/>
                <w:color w:val="1F3A5F"/>
                <w:sz w:val="17"/>
              </w:rPr>
              <w:t>可能原因</w:t>
            </w:r>
          </w:p>
        </w:tc>
        <w:tc>
          <w:tcPr>
            <w:tcW w:type="dxa" w:w="4060"/>
            <w:vAlign w:val="center"/>
            <w:shd w:fill="E8EEF5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/>
                <w:color w:val="1F3A5F"/>
                <w:sz w:val="17"/>
              </w:rPr>
              <w:t>处理方法</w:t>
            </w:r>
          </w:p>
        </w:tc>
      </w:tr>
      <w:tr>
        <w:tc>
          <w:tcPr>
            <w:tcW w:type="dxa" w:w="23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无法退出设置页</w:t>
            </w:r>
          </w:p>
        </w:tc>
        <w:tc>
          <w:tcPr>
            <w:tcW w:type="dxa" w:w="30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API 地址、配对码、设备编号或支付方式未配置完整；人脸支付开启但未填激活码。</w:t>
            </w:r>
          </w:p>
        </w:tc>
        <w:tc>
          <w:tcPr>
            <w:tcW w:type="dxa" w:w="406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按提示补齐基础配置，并至少开启一种支付方式。</w:t>
            </w:r>
          </w:p>
        </w:tc>
      </w:tr>
      <w:tr>
        <w:tc>
          <w:tcPr>
            <w:tcW w:type="dxa" w:w="23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支付方式不可用</w:t>
            </w:r>
          </w:p>
        </w:tc>
        <w:tc>
          <w:tcPr>
            <w:tcW w:type="dxa" w:w="30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对应支付方式未在支付设置中开启，或设备缺少外设能力。</w:t>
            </w:r>
          </w:p>
        </w:tc>
        <w:tc>
          <w:tcPr>
            <w:tcW w:type="dxa" w:w="406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进入支付设置开启对应方式；人脸支付还需确认摄像头和激活码。</w:t>
            </w:r>
          </w:p>
        </w:tc>
      </w:tr>
      <w:tr>
        <w:tc>
          <w:tcPr>
            <w:tcW w:type="dxa" w:w="23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刷卡提示卡号不存在</w:t>
            </w:r>
          </w:p>
        </w:tc>
        <w:tc>
          <w:tcPr>
            <w:tcW w:type="dxa" w:w="30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本地人员数据未同步，或卡号未绑定人员。</w:t>
            </w:r>
          </w:p>
        </w:tc>
        <w:tc>
          <w:tcPr>
            <w:tcW w:type="dxa" w:w="406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确认网络和人员同步状态；在后台核对人员卡号绑定。</w:t>
            </w:r>
          </w:p>
        </w:tc>
      </w:tr>
      <w:tr>
        <w:tc>
          <w:tcPr>
            <w:tcW w:type="dxa" w:w="23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扫码/订单码为空</w:t>
            </w:r>
          </w:p>
        </w:tc>
        <w:tc>
          <w:tcPr>
            <w:tcW w:type="dxa" w:w="30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扫码设备未读到内容，或输入框为空。</w:t>
            </w:r>
          </w:p>
        </w:tc>
        <w:tc>
          <w:tcPr>
            <w:tcW w:type="dxa" w:w="406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重新扫码，或手动录入订单号后确认。</w:t>
            </w:r>
          </w:p>
        </w:tc>
      </w:tr>
      <w:tr>
        <w:tc>
          <w:tcPr>
            <w:tcW w:type="dxa" w:w="23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余额查询失败</w:t>
            </w:r>
          </w:p>
        </w:tc>
        <w:tc>
          <w:tcPr>
            <w:tcW w:type="dxa" w:w="30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网络不可用或服务端返回异常。</w:t>
            </w:r>
          </w:p>
        </w:tc>
        <w:tc>
          <w:tcPr>
            <w:tcW w:type="dxa" w:w="406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检查网络状态图标和 API 地址，必要时联系后台管理员。</w:t>
            </w:r>
          </w:p>
        </w:tc>
      </w:tr>
      <w:tr>
        <w:tc>
          <w:tcPr>
            <w:tcW w:type="dxa" w:w="23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人脸识别超时/失败</w:t>
            </w:r>
          </w:p>
        </w:tc>
        <w:tc>
          <w:tcPr>
            <w:tcW w:type="dxa" w:w="30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人脸数据未同步、光线不足、摄像头角度不合适或人员未入库。</w:t>
            </w:r>
          </w:p>
        </w:tc>
        <w:tc>
          <w:tcPr>
            <w:tcW w:type="dxa" w:w="406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重新同步人员人脸数据，调整顾客站位和光线，再重新识别。</w:t>
            </w:r>
          </w:p>
        </w:tc>
      </w:tr>
      <w:tr>
        <w:tc>
          <w:tcPr>
            <w:tcW w:type="dxa" w:w="23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MQTT/离线订单未及时上传</w:t>
            </w:r>
          </w:p>
        </w:tc>
        <w:tc>
          <w:tcPr>
            <w:tcW w:type="dxa" w:w="300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网络断开、MQTT 配置异常或后台服务未连接。</w:t>
            </w:r>
          </w:p>
        </w:tc>
        <w:tc>
          <w:tcPr>
            <w:tcW w:type="dxa" w:w="4060"/>
            <w:vAlign w:val="center"/>
            <w:tcMar>
              <w:top w:w="80" w:type="dxa"/>
              <w:bottom w:w="80" w:type="dxa"/>
              <w:start w:w="120" w:type="dxa"/>
              <w:end w:w="120" w:type="dxa"/>
            </w:tcMar>
          </w:tcPr>
          <w:p>
            <w:pPr>
              <w:spacing w:after="0" w:line="276" w:lineRule="auto"/>
            </w:pPr>
            <w:r>
              <w:rPr>
                <w:rFonts w:ascii="Calibri" w:hAnsi="Calibri" w:eastAsia="Microsoft YaHei"/>
                <w:b w:val="0"/>
                <w:sz w:val="17"/>
              </w:rPr>
              <w:t>恢复网络后等待系统补偿上传；长期未恢复时联系运维检查 MQTT 配置和日志。</w:t>
            </w:r>
          </w:p>
        </w:tc>
      </w:tr>
    </w:tbl>
    <w:p/>
    <w:p>
      <w:pPr>
        <w:pStyle w:val="Heading1"/>
      </w:pPr>
      <w:r>
        <w:t>九、现场维护注意事项</w:t>
      </w:r>
    </w:p>
    <w:p>
      <w:r>
        <w:t>保持终端网络稳定，网络异常会影响在线支付、订单查询、余额查询和人员同步。</w:t>
      </w:r>
    </w:p>
    <w:p>
      <w:r>
        <w:t>更换 API 地址、重新配对或切换设备前，应确认是否需要保留本地订单和人员数据。</w:t>
      </w:r>
    </w:p>
    <w:p>
      <w:r>
        <w:t>启用人脸支付前，应完成摄像头检查、人脸激活和人员人脸同步。</w:t>
      </w:r>
    </w:p>
    <w:p>
      <w:r>
        <w:t>日终核账时优先使用订单管理中的订单数、订单总额和明细核对；若存在离线记账或补偿上传，应确认后台最终订单状态。</w:t>
      </w:r>
    </w:p>
    <w:p>
      <w:r>
        <w:t>刷卡器、扫码器、摄像头等外设异常时，先使用设备管理或对应页面测试，再联系运维处理。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Calibri" w:hAnsi="Calibri" w:eastAsia="Microsoft YaHei"/>
        <w:color w:val="64748B"/>
        <w:sz w:val="18"/>
      </w:rPr>
      <w:t>智慧食堂消费终端系统用户使用说明书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</w:pPr>
    <w:rPr>
      <w:rFonts w:ascii="Calibri" w:hAnsi="Calibri" w:eastAsia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Calibri" w:hAnsi="Calibri" w:eastAsia="Microsoft YaHe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 w:ascii="Calibri" w:hAnsi="Calibri" w:eastAsia="Microsoft YaHe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Calibri" w:hAnsi="Calibri" w:eastAsia="Microsoft YaHe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80" w:line="300" w:lineRule="auto"/>
      <w:contextualSpacing/>
    </w:pPr>
    <w:rPr>
      <w:rFonts w:ascii="Calibri" w:hAnsi="Calibri" w:eastAsia="Microsoft YaHei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80" w:line="300" w:lineRule="auto"/>
      <w:contextualSpacing/>
    </w:pPr>
    <w:rPr>
      <w:rFonts w:ascii="Calibri" w:hAnsi="Calibri" w:eastAsia="Microsoft YaHei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