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智能菜品识别终端用户使用说明书</w:t>
      </w:r>
    </w:p>
    <w:p>
      <w:pPr>
        <w:spacing w:after="0"/>
        <w:jc w:val="center"/>
      </w:pPr>
      <w:r>
        <w:rPr>
          <w:rFonts w:ascii="STHeiti" w:hAnsi="STHeiti" w:eastAsia="STHeiti"/>
          <w:b w:val="0"/>
          <w:sz w:val="21"/>
        </w:rPr>
        <w:t>适用对象：食堂现场操作人员、设备管理员和部署联调人员</w:t>
      </w:r>
    </w:p>
    <w:p>
      <w:pPr>
        <w:spacing w:after="280"/>
        <w:jc w:val="center"/>
      </w:pPr>
      <w:r>
        <w:rPr>
          <w:rFonts w:ascii="STHeiti" w:hAnsi="STHeiti" w:eastAsia="STHeiti"/>
          <w:b w:val="0"/>
          <w:sz w:val="21"/>
        </w:rPr>
        <w:t>更新日期：2026-10-08</w:t>
      </w:r>
    </w:p>
    <w:p>
      <w:r>
        <w:rPr>
          <w:rFonts w:ascii="STHeiti" w:hAnsi="STHeiti" w:eastAsia="STHeiti"/>
          <w:b w:val="0"/>
          <w:sz w:val="21"/>
        </w:rPr>
        <w:t>本说明书按一笔消费的业务顺序说明：开餐准备、选择识别模式、放入餐盘、核对商品和金额、完成支付、核对订单，然后处理下一单。终端提供“菜品识别”和“餐盘识别”两种业务模式；首页入口和识别页标题在两种模式下都写作“菜品识别”，应以“设置 → 识别设置”中的已生效模式为准。</w:t>
      </w:r>
    </w:p>
    <w:p>
      <w:pPr>
        <w:pStyle w:val="Heading1"/>
      </w:pPr>
      <w:r>
        <w:t>一、一笔消费怎样完成</w:t>
      </w:r>
    </w:p>
    <w:p>
      <w:r>
        <w:rPr>
          <w:rFonts w:ascii="STHeiti" w:hAnsi="STHeiti" w:eastAsia="STHeiti"/>
          <w:b/>
          <w:sz w:val="21"/>
        </w:rPr>
        <w:t>正常链路：</w:t>
      </w:r>
      <w:r>
        <w:rPr>
          <w:rFonts w:ascii="STHeiti" w:hAnsi="STHeiti" w:eastAsia="STHeiti"/>
          <w:b w:val="0"/>
          <w:sz w:val="21"/>
        </w:rPr>
        <w:t xml:space="preserve"> 开餐检查 → 选择模式 → 放入餐盘 → AI 返回识别结果 → 匹配商品资料 → 核对清单与金额 → 达到可支付状态 → 顾客支付 → 核对订单结果 → 移走餐盘并开始下一单。</w:t>
      </w:r>
    </w:p>
    <w:p>
      <w:r>
        <w:rPr>
          <w:rFonts w:ascii="STHeiti" w:hAnsi="STHeiti" w:eastAsia="STHeiti"/>
          <w:b/>
          <w:sz w:val="21"/>
        </w:rPr>
        <w:t>异常分支：</w:t>
      </w:r>
      <w:r>
        <w:rPr>
          <w:rFonts w:ascii="STHeiti" w:hAnsi="STHeiti" w:eastAsia="STHeiti"/>
          <w:b w:val="0"/>
          <w:sz w:val="21"/>
        </w:rPr>
        <w:t xml:space="preserve"> 菜品模式遇到“未学习商品”时，先替换或补充菜品，必要时做菜品学习；餐盘模式遇到未绑定类别时，不能按已识别的部分金额自动支付，应先处理商品编码映射或由管理员核对并按现场规则人工处理。任何模式在金额不对或订单状态不明时，都应停止本单支付并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1" name="Picture 1" descr="图1 终端首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1 首页：顾客业务从“菜品识别”进入；“订单管理”用于支付后的核对。餐盘模式下首页入口名称仍是“菜品识别”。</w:t>
      </w:r>
    </w:p>
    <w:p>
      <w:pPr>
        <w:pStyle w:val="Heading1"/>
      </w:pPr>
      <w:r>
        <w:t>二、开餐前准备与首次初始化</w:t>
      </w:r>
    </w:p>
    <w:p>
      <w:pPr>
        <w:pStyle w:val="Heading2"/>
      </w:pPr>
      <w:r>
        <w:t>2.1 首次启用由管理员完成</w:t>
      </w:r>
    </w:p>
    <w:p>
      <w:pPr>
        <w:ind w:left="312" w:hanging="312"/>
      </w:pPr>
      <w:r>
        <w:t xml:space="preserve">1. </w:t>
      </w:r>
      <w:r>
        <w:rPr>
          <w:rFonts w:ascii="STHeiti" w:hAnsi="STHeiti" w:eastAsia="STHeiti"/>
          <w:b/>
          <w:sz w:val="21"/>
        </w:rPr>
        <w:t>连接并授权。</w:t>
      </w:r>
      <w:r>
        <w:rPr>
          <w:rFonts w:ascii="STHeiti" w:hAnsi="STHeiti" w:eastAsia="STHeiti"/>
          <w:b w:val="0"/>
          <w:sz w:val="21"/>
        </w:rPr>
        <w:t xml:space="preserve"> 连接网络、识别相机和现场实际使用的支付设备。启动应用后按系统提示授予相机及应用要求的文件访问权限。基础配置不完整时，启动流程会引导到设置页。</w:t>
      </w:r>
    </w:p>
    <w:p>
      <w:pPr>
        <w:ind w:left="312" w:hanging="312"/>
      </w:pPr>
      <w:r>
        <w:t xml:space="preserve">2. </w:t>
      </w:r>
      <w:r>
        <w:rPr>
          <w:rFonts w:ascii="STHeiti" w:hAnsi="STHeiti" w:eastAsia="STHeiti"/>
          <w:b/>
          <w:sz w:val="21"/>
        </w:rPr>
        <w:t>配对终端。</w:t>
      </w:r>
      <w:r>
        <w:rPr>
          <w:rFonts w:ascii="STHeiti" w:hAnsi="STHeiti" w:eastAsia="STHeiti"/>
          <w:b w:val="0"/>
          <w:sz w:val="21"/>
        </w:rPr>
        <w:t xml:space="preserve"> 在“设置 → 基础设置”填写 API 地址和配对码，点击“同步配对信息”；确认提示“配对成功，设备编号已同步”，核对设备编号，再保存基础设置。修改 API 地址后原配对和鉴权信息会清空，须重新配对。配对码、激活码不要写在纸质说明书或截图中。</w:t>
      </w:r>
    </w:p>
    <w:p>
      <w:pPr>
        <w:ind w:left="312" w:hanging="312"/>
      </w:pPr>
      <w:r>
        <w:t xml:space="preserve">3. </w:t>
      </w:r>
      <w:r>
        <w:rPr>
          <w:rFonts w:ascii="STHeiti" w:hAnsi="STHeiti" w:eastAsia="STHeiti"/>
          <w:b/>
          <w:sz w:val="21"/>
        </w:rPr>
        <w:t>配置支付与人脸能力。</w:t>
      </w:r>
      <w:r>
        <w:rPr>
          <w:rFonts w:ascii="STHeiti" w:hAnsi="STHeiti" w:eastAsia="STHeiti"/>
          <w:b w:val="0"/>
          <w:sz w:val="21"/>
        </w:rPr>
        <w:t xml:space="preserve"> 在“支付设置”至少启用一种现场可用的支付方式。若启用刷脸，另在“基础设置”填写并激活人脸激活码，等待启动流程完成人员资料、人脸模型、数据库和人脸资料同步。扫码和刷卡设备应在现场做联调。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2" name="Picture 2" descr="图2 支付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payment-setting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2 支付设置：图中三种支付方式均已开启，仅代表拍摄设备的现场状态；实际可用方式以本机设置和硬件为准。</w:t>
      </w:r>
    </w:p>
    <w:p>
      <w:pPr>
        <w:ind w:left="312" w:hanging="312"/>
      </w:pPr>
      <w:r>
        <w:t xml:space="preserve">4. </w:t>
      </w:r>
      <w:r>
        <w:rPr>
          <w:rFonts w:ascii="STHeiti" w:hAnsi="STHeiti" w:eastAsia="STHeiti"/>
          <w:b/>
          <w:sz w:val="21"/>
        </w:rPr>
        <w:t>激活 AI 识别。</w:t>
      </w:r>
      <w:r>
        <w:rPr>
          <w:rFonts w:ascii="STHeiti" w:hAnsi="STHeiti" w:eastAsia="STHeiti"/>
          <w:b w:val="0"/>
          <w:sz w:val="21"/>
        </w:rPr>
        <w:t xml:space="preserve"> 在“基础设置”填写“AI智能识别激活码”并完成激活。它与人脸激活码用途不同。若提示 AI 插件缺失、版本过低或餐饮版类型不匹配，先按页面提示处理插件，再进行模式切换和识别。</w:t>
      </w:r>
    </w:p>
    <w:p>
      <w:pPr>
        <w:ind w:left="312" w:hanging="312"/>
      </w:pPr>
      <w:r>
        <w:t xml:space="preserve">5. </w:t>
      </w:r>
      <w:r>
        <w:rPr>
          <w:rFonts w:ascii="STHeiti" w:hAnsi="STHeiti" w:eastAsia="STHeiti"/>
          <w:b/>
          <w:sz w:val="21"/>
        </w:rPr>
        <w:t>校准识别区域。</w:t>
      </w:r>
      <w:r>
        <w:rPr>
          <w:rFonts w:ascii="STHeiti" w:hAnsi="STHeiti" w:eastAsia="STHeiti"/>
          <w:b w:val="0"/>
          <w:sz w:val="21"/>
        </w:rPr>
        <w:t xml:space="preserve"> 在“相机设置”选择菜品识别相机，确认分辨率、旋转和镜像；在预览中拖动四角，使识别区域覆盖完整餐盘或秤盘，点击“保存区域”。若用刷脸支付，应另外配置人脸相机，不能与菜品识别相机选同一设备。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3" name="Picture 3" descr="图3 相机设置与识别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amera-setting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3 相机设置：橙色四角框表示实际参与识别的区域。图中的预览为黑屏，应以现场实时画面正常显示为开餐条件。</w:t>
      </w:r>
    </w:p>
    <w:p>
      <w:pPr>
        <w:ind w:left="312" w:hanging="312"/>
      </w:pPr>
      <w:r>
        <w:t xml:space="preserve">6. </w:t>
      </w:r>
      <w:r>
        <w:rPr>
          <w:rFonts w:ascii="STHeiti" w:hAnsi="STHeiti" w:eastAsia="STHeiti"/>
          <w:b/>
          <w:sz w:val="21"/>
        </w:rPr>
        <w:t>准备商品资料。</w:t>
      </w:r>
      <w:r>
        <w:rPr>
          <w:rFonts w:ascii="STHeiti" w:hAnsi="STHeiti" w:eastAsia="STHeiti"/>
          <w:b w:val="0"/>
          <w:sz w:val="21"/>
        </w:rPr>
        <w:t xml:space="preserve"> 等待首页进入后的商品资料同步。餐盘模式须由部署人员预先确认：SDK 返回的餐盘类别编码与后台商品编码精确对应，且商品名称、价格可用；当前终端没有新增餐盘类别绑定的入口。菜品模式应准备当前餐次菜品和需要学习的样本。</w:t>
      </w:r>
    </w:p>
    <w:p>
      <w:pPr>
        <w:pStyle w:val="Heading2"/>
      </w:pPr>
      <w:r>
        <w:t>2.2 每次开餐由值班人员检查</w:t>
      </w:r>
    </w:p>
    <w:p>
      <w:pPr>
        <w:ind w:left="312" w:hanging="312"/>
      </w:pPr>
      <w:r>
        <w:t xml:space="preserve">1. </w:t>
      </w:r>
      <w:r>
        <w:rPr>
          <w:rFonts w:ascii="STHeiti" w:hAnsi="STHeiti" w:eastAsia="STHeiti"/>
          <w:b w:val="0"/>
          <w:sz w:val="21"/>
        </w:rPr>
        <w:t>进入“设置 → 识别设置”，确认业务模式与当前经营方式一致；模式切换须等待“模型已生效”，切换中不要开始新单。</w:t>
      </w:r>
    </w:p>
    <w:p>
      <w:pPr>
        <w:ind w:left="312" w:hanging="312"/>
      </w:pPr>
      <w:r>
        <w:t xml:space="preserve">2. </w:t>
      </w:r>
      <w:r>
        <w:rPr>
          <w:rFonts w:ascii="STHeiti" w:hAnsi="STHeiti" w:eastAsia="STHeiti"/>
          <w:b w:val="0"/>
          <w:sz w:val="21"/>
        </w:rPr>
        <w:t>进入“菜品识别”页，确认摄像头实时画面、识别区域和商品资料可用。预览状态文字默认可能隐藏；管理员可在相机设置中打开“识别页预览状态提示”。</w:t>
      </w:r>
    </w:p>
    <w:p>
      <w:pPr>
        <w:ind w:left="312" w:hanging="312"/>
      </w:pPr>
      <w:r>
        <w:t xml:space="preserve">3. </w:t>
      </w:r>
      <w:r>
        <w:rPr>
          <w:rFonts w:ascii="STHeiti" w:hAnsi="STHeiti" w:eastAsia="STHeiti"/>
          <w:b w:val="0"/>
          <w:sz w:val="21"/>
        </w:rPr>
        <w:t>如使用当前餐次菜谱限制识别，在识别页进入“菜单管理”刷新菜谱，核对本地菜谱数量和更新时间，再决定是否打开“菜谱识别功能”。打开后，不在当前菜谱内的商品不会进入识别计价。</w:t>
      </w:r>
    </w:p>
    <w:p>
      <w:pPr>
        <w:ind w:left="312" w:hanging="312"/>
      </w:pPr>
      <w:r>
        <w:t xml:space="preserve">4. </w:t>
      </w:r>
      <w:r>
        <w:rPr>
          <w:rFonts w:ascii="STHeiti" w:hAnsi="STHeiti" w:eastAsia="STHeiti"/>
          <w:b w:val="0"/>
          <w:sz w:val="21"/>
        </w:rPr>
        <w:t>使用现场样本验证一单：核对名称、数量、识别金额、定价金额及合计金额。支付设备可用后再开始营业。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4" name="Picture 4" descr="图4 菜单管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menu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4 菜单管理：此页用于刷新和查看当前餐次菜谱。“是否打开菜谱识别功能”是额外的计价过滤开关，图中为关闭状态。</w:t>
      </w:r>
    </w:p>
    <w:p>
      <w:pPr>
        <w:pStyle w:val="Heading1"/>
      </w:pPr>
      <w:r>
        <w:t>三、选择业务模式并理解结果</w:t>
      </w:r>
    </w:p>
    <w:p>
      <w:r>
        <w:rPr>
          <w:rFonts w:ascii="STHeiti" w:hAnsi="STHeiti" w:eastAsia="STHeiti"/>
          <w:b/>
          <w:sz w:val="21"/>
        </w:rPr>
        <w:t>菜品识别适用于识别具体菜品并允许现场菜品学习。</w:t>
      </w:r>
      <w:r>
        <w:rPr>
          <w:rFonts w:ascii="STHeiti" w:hAnsi="STHeiti" w:eastAsia="STHeiti"/>
          <w:b w:val="0"/>
          <w:sz w:val="21"/>
        </w:rPr>
        <w:t xml:space="preserve"> 在“识别业务模式”选择“菜品识别”；下方出现 A1、C1、D1、E1、F1、G1 模型类型，管理员按现场模型方案选择。商品未学习或商品资料不完整时，页面可能显示“未学习商品”，此项不应直接作为正确金额结算。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5" name="Picture 5" descr="图5 菜品识别模式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dish-mod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5 菜品模式：选中“菜品识别”后会显示模型类型设置。图中的 0.75 阈值是拍摄设备当前值，不是统一要求。</w:t>
      </w:r>
    </w:p>
    <w:p>
      <w:r>
        <w:rPr>
          <w:rFonts w:ascii="STHeiti" w:hAnsi="STHeiti" w:eastAsia="STHeiti"/>
          <w:b/>
          <w:sz w:val="21"/>
        </w:rPr>
        <w:t>餐盘识别适用于按餐盘类别识别并映射到已有商品。</w:t>
      </w:r>
      <w:r>
        <w:rPr>
          <w:rFonts w:ascii="STHeiti" w:hAnsi="STHeiti" w:eastAsia="STHeiti"/>
          <w:b w:val="0"/>
          <w:sz w:val="21"/>
        </w:rPr>
        <w:t xml:space="preserve"> 在“识别业务模式”选择“餐盘识别”；页面隐藏菜品模型类型，程序使用餐盘分类模式及固定 A1 通道。结果只有与商品编码精确匹配，才取得商品名称和价格。餐盘模式不能使用当前“菜品学习”入口，也不能在终端新增餐盘绑定或按餐盘尺寸区分价格。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6" name="Picture 6" descr="图6 餐盘识别模式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plate-mod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6 餐盘模式：选中“餐盘识别”后不再显示菜品模型类型。切换成功以“模型已生效”为准；“SDK 推理模式”是独立设置。</w:t>
      </w:r>
    </w:p>
    <w:p>
      <w:pPr>
        <w:pStyle w:val="Heading1"/>
      </w:pPr>
      <w:r>
        <w:t>四、菜品识别一单的处理流程</w:t>
      </w:r>
    </w:p>
    <w:p>
      <w:pPr>
        <w:ind w:left="312" w:hanging="312"/>
      </w:pPr>
      <w:r>
        <w:t xml:space="preserve">1. </w:t>
      </w:r>
      <w:r>
        <w:rPr>
          <w:rFonts w:ascii="STHeiti" w:hAnsi="STHeiti" w:eastAsia="STHeiti"/>
          <w:b/>
          <w:sz w:val="21"/>
        </w:rPr>
        <w:t>放餐盘并等待识别。</w:t>
      </w:r>
      <w:r>
        <w:rPr>
          <w:rFonts w:ascii="STHeiti" w:hAnsi="STHeiti" w:eastAsia="STHeiti"/>
          <w:b w:val="0"/>
          <w:sz w:val="21"/>
        </w:rPr>
        <w:t xml:space="preserve"> 从首页进入“菜品识别”，将餐盘放在识别框内，保持清晰和稳定。页面用标注框展示识别对象，并计算“识别金额”。顶部“识别中”和“开启支付”是状态显示，不是需要点击的开关。</w:t>
      </w:r>
    </w:p>
    <w:p>
      <w:pPr>
        <w:ind w:left="312" w:hanging="312"/>
      </w:pPr>
      <w:r>
        <w:t xml:space="preserve">2. </w:t>
      </w:r>
      <w:r>
        <w:rPr>
          <w:rFonts w:ascii="STHeiti" w:hAnsi="STHeiti" w:eastAsia="STHeiti"/>
          <w:b/>
          <w:sz w:val="21"/>
        </w:rPr>
        <w:t>核对识别结果。</w:t>
      </w:r>
      <w:r>
        <w:rPr>
          <w:rFonts w:ascii="STHeiti" w:hAnsi="STHeiti" w:eastAsia="STHeiti"/>
          <w:b w:val="0"/>
          <w:sz w:val="21"/>
        </w:rPr>
        <w:t xml:space="preserve"> 逐项看菜名、数量和价格。对不正确的标注，点击标注选择替换商品；需要补充时使用右侧“+”人工加菜。修改清单后重新核对合计金额。</w:t>
      </w:r>
    </w:p>
    <w:p>
      <w:pPr>
        <w:ind w:left="312" w:hanging="312"/>
      </w:pPr>
      <w:r>
        <w:t xml:space="preserve">3. </w:t>
      </w:r>
      <w:r>
        <w:rPr>
          <w:rFonts w:ascii="STHeiti" w:hAnsi="STHeiti" w:eastAsia="STHeiti"/>
          <w:b/>
          <w:sz w:val="21"/>
        </w:rPr>
        <w:t>处理未学习商品。</w:t>
      </w:r>
      <w:r>
        <w:rPr>
          <w:rFonts w:ascii="STHeiti" w:hAnsi="STHeiti" w:eastAsia="STHeiti"/>
          <w:b w:val="0"/>
          <w:sz w:val="21"/>
        </w:rPr>
        <w:t xml:space="preserve"> 如果出现“未学习商品”且识别金额为零，不应直接支付。先用替换或人工加菜完成当前单的核对；对反复出现的菜品，进入“菜品学习”，选择目标商品，再拍照学习和保存。学习成功后仍要确认商品编码、价格和本地资料齐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7" name="Picture 7" descr="图7 菜品模式未学习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dish-unlearne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7 菜品模式示例：四个框均显示“未学习商品”，识别金额与合计金额均为 0.00，页面尚未进入可支付状态。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8" name="Picture 8" descr="图8 菜品学习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dish-learnin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8 菜品学习：先选商品，再用“拍照学习”抓取画面，确认学习记录后保存。截图未执行保存操作。</w:t>
      </w:r>
    </w:p>
    <w:p>
      <w:pPr>
        <w:ind w:left="312" w:hanging="312"/>
      </w:pPr>
      <w:r>
        <w:t xml:space="preserve">4. </w:t>
      </w:r>
      <w:r>
        <w:rPr>
          <w:rFonts w:ascii="STHeiti" w:hAnsi="STHeiti" w:eastAsia="STHeiti"/>
          <w:b/>
          <w:sz w:val="21"/>
        </w:rPr>
        <w:t>确认金额并等待可支付。</w:t>
      </w:r>
      <w:r>
        <w:rPr>
          <w:rFonts w:ascii="STHeiti" w:hAnsi="STHeiti" w:eastAsia="STHeiti"/>
          <w:b w:val="0"/>
          <w:sz w:val="21"/>
        </w:rPr>
        <w:t xml:space="preserve"> 核对识别金额、按键输入的定价金额和合计金额。终端会在识别结果连续稳定、至少有可计价商品、总额大于零且没有支付中的任务时进入可支付状态；具体判定速度可在支付设置中调整。金额变化后会重新等待稳定。</w:t>
      </w:r>
    </w:p>
    <w:p>
      <w:pPr>
        <w:ind w:left="312" w:hanging="312"/>
      </w:pPr>
      <w:r>
        <w:t xml:space="preserve">5. </w:t>
      </w:r>
      <w:r>
        <w:rPr>
          <w:rFonts w:ascii="STHeiti" w:hAnsi="STHeiti" w:eastAsia="STHeiti"/>
          <w:b/>
          <w:sz w:val="21"/>
        </w:rPr>
        <w:t>支付与清台。</w:t>
      </w:r>
      <w:r>
        <w:rPr>
          <w:rFonts w:ascii="STHeiti" w:hAnsi="STHeiti" w:eastAsia="STHeiti"/>
          <w:b w:val="0"/>
          <w:sz w:val="21"/>
        </w:rPr>
        <w:t xml:space="preserve"> 可支付后按启用方式刷卡、出示付款码，或点击“人脸支付”。看到成功结果后移走餐盘，确认页面恢复下一单；失败或状态不明先查订单管理，避免重复扣款。</w:t>
      </w:r>
    </w:p>
    <w:p>
      <w:pPr>
        <w:pStyle w:val="Heading1"/>
      </w:pPr>
      <w:r>
        <w:t>五、餐盘识别一单的处理流程</w:t>
      </w:r>
    </w:p>
    <w:p>
      <w:pPr>
        <w:ind w:left="312" w:hanging="312"/>
      </w:pPr>
      <w:r>
        <w:t xml:space="preserve">1. </w:t>
      </w:r>
      <w:r>
        <w:rPr>
          <w:rFonts w:ascii="STHeiti" w:hAnsi="STHeiti" w:eastAsia="STHeiti"/>
          <w:b/>
          <w:sz w:val="21"/>
        </w:rPr>
        <w:t>确认模式和映射。</w:t>
      </w:r>
      <w:r>
        <w:rPr>
          <w:rFonts w:ascii="STHeiti" w:hAnsi="STHeiti" w:eastAsia="STHeiti"/>
          <w:b w:val="0"/>
          <w:sz w:val="21"/>
        </w:rPr>
        <w:t xml:space="preserve"> 开餐前确认“餐盘识别”已生效、餐饮版 AI 插件可用，餐盘类别编码已对应到后台商品编码和价格。首页仍从“菜品识别”卡片进入共用识别页。</w:t>
      </w:r>
    </w:p>
    <w:p>
      <w:pPr>
        <w:ind w:left="312" w:hanging="312"/>
      </w:pPr>
      <w:r>
        <w:t xml:space="preserve">2. </w:t>
      </w:r>
      <w:r>
        <w:rPr>
          <w:rFonts w:ascii="STHeiti" w:hAnsi="STHeiti" w:eastAsia="STHeiti"/>
          <w:b/>
          <w:sz w:val="21"/>
        </w:rPr>
        <w:t>放餐盘并核对映射结果。</w:t>
      </w:r>
      <w:r>
        <w:rPr>
          <w:rFonts w:ascii="STHeiti" w:hAnsi="STHeiti" w:eastAsia="STHeiti"/>
          <w:b w:val="0"/>
          <w:sz w:val="21"/>
        </w:rPr>
        <w:t xml:space="preserve"> 餐盘放进识别区域后，系统先得到餐盘类别，再用类别编码查找商品。只有精确匹配的商品进入识别金额；不能把纯数字类别当作历史菜品主键兜底计价。图 9 展示了匹配后出现商品名称、价格和合计金额的现场样例。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4032000"/>
            <wp:docPr id="9" name="Picture 9" descr="图9 餐盘模式已匹配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plate-matche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rFonts w:ascii="STHeiti" w:hAnsi="STHeiti" w:eastAsia="STHeiti"/>
          <w:b w:val="0"/>
          <w:sz w:val="21"/>
        </w:rPr>
        <w:t>图 9 餐盘模式示例：四个商品已显示名称与价格，合计 13.00 元。页面标题仍写“菜品识别”；应结合图 6 的模式设置判断当前业务模式。金额仅为截图样例。</w:t>
      </w:r>
    </w:p>
    <w:p>
      <w:pPr>
        <w:ind w:left="312" w:hanging="312"/>
      </w:pPr>
      <w:r>
        <w:t xml:space="preserve">3. </w:t>
      </w:r>
      <w:r>
        <w:rPr>
          <w:rFonts w:ascii="STHeiti" w:hAnsi="STHeiti" w:eastAsia="STHeiti"/>
          <w:b/>
          <w:sz w:val="21"/>
        </w:rPr>
        <w:t>处理未绑定类别。</w:t>
      </w:r>
      <w:r>
        <w:rPr>
          <w:rFonts w:ascii="STHeiti" w:hAnsi="STHeiti" w:eastAsia="STHeiti"/>
          <w:b w:val="0"/>
          <w:sz w:val="21"/>
        </w:rPr>
        <w:t xml:space="preserve"> 某一类别没有精确商品匹配时，该类别不计入金额；即使同画面另有已匹配商品，系统也不会按部分金额自动支付。暂停本单自动结算，核对后台商品编码和价格，更新资料后重新识别。确需人工加菜处理时，管理员应逐项核对清单和合计金额，按现场结算规则操作。</w:t>
      </w:r>
    </w:p>
    <w:p>
      <w:pPr>
        <w:ind w:left="312" w:hanging="312"/>
      </w:pPr>
      <w:r>
        <w:t xml:space="preserve">4. </w:t>
      </w:r>
      <w:r>
        <w:rPr>
          <w:rFonts w:ascii="STHeiti" w:hAnsi="STHeiti" w:eastAsia="STHeiti"/>
          <w:b/>
          <w:sz w:val="21"/>
        </w:rPr>
        <w:t>支付与下一单。</w:t>
      </w:r>
      <w:r>
        <w:rPr>
          <w:rFonts w:ascii="STHeiti" w:hAnsi="STHeiti" w:eastAsia="STHeiti"/>
          <w:b w:val="0"/>
          <w:sz w:val="21"/>
        </w:rPr>
        <w:t xml:space="preserve"> 全部商品及金额核对无误、页面达到可支付状态后，按启用方式支付。支付成功再移走餐盘；若订单结果不明，先核查订单管理。</w:t>
      </w:r>
    </w:p>
    <w:p>
      <w:pPr>
        <w:pStyle w:val="Heading1"/>
      </w:pPr>
      <w:r>
        <w:t>六、支付结果与异常闭环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可支付条件：</w:t>
      </w:r>
      <w:r>
        <w:rPr>
          <w:rFonts w:ascii="STHeiti" w:hAnsi="STHeiti" w:eastAsia="STHeiti"/>
          <w:b w:val="0"/>
          <w:sz w:val="21"/>
        </w:rPr>
        <w:t xml:space="preserve"> 有可计价商品、识别结果达到连续稳定条件、合计金额大于零，且页面未处于弹窗、支付或结果展示状态。餐盘模式还要求本次结果没有未绑定类别，才允许自动支付。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支付输入：</w:t>
      </w:r>
      <w:r>
        <w:rPr>
          <w:rFonts w:ascii="STHeiti" w:hAnsi="STHeiti" w:eastAsia="STHeiti"/>
          <w:b w:val="0"/>
          <w:sz w:val="21"/>
        </w:rPr>
        <w:t xml:space="preserve"> 刷卡或扫码应在可支付状态后进行；刷脸支付通过“人脸支付”按钮进入人脸识别。现场使用哪种方式由支付设置决定。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订单核对：</w:t>
      </w:r>
      <w:r>
        <w:rPr>
          <w:rFonts w:ascii="STHeiti" w:hAnsi="STHeiti" w:eastAsia="STHeiti"/>
          <w:b w:val="0"/>
          <w:sz w:val="21"/>
        </w:rPr>
        <w:t xml:space="preserve"> 成功提示后到首页“订单管理”核对订单；失败、网络异常或待补传时，先确认是否已有订单及支付结果，再决定是否重试。切勿只凭页面返回识别状态就认为支付失败。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结束本单：</w:t>
      </w:r>
      <w:r>
        <w:rPr>
          <w:rFonts w:ascii="STHeiti" w:hAnsi="STHeiti" w:eastAsia="STHeiti"/>
          <w:b w:val="0"/>
          <w:sz w:val="21"/>
        </w:rPr>
        <w:t xml:space="preserve"> 移走餐盘，清空或重新识别本单结果，确认页面进入下一单，避免上一单商品混入新订单。</w:t>
      </w:r>
    </w:p>
    <w:p>
      <w:pPr>
        <w:pStyle w:val="Heading1"/>
      </w:pPr>
      <w:r>
        <w:t>七、按故障发生点排查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尚未进入首页：</w:t>
      </w:r>
      <w:r>
        <w:rPr>
          <w:rFonts w:ascii="STHeiti" w:hAnsi="STHeiti" w:eastAsia="STHeiti"/>
          <w:b w:val="0"/>
          <w:sz w:val="21"/>
        </w:rPr>
        <w:t xml:space="preserve"> 查权限、网络、API 地址、配对码、设备编号和至少一种支付方式；启用刷脸时再查人脸激活及资料同步。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预览黑屏或识别框偏移：</w:t>
      </w:r>
      <w:r>
        <w:rPr>
          <w:rFonts w:ascii="STHeiti" w:hAnsi="STHeiti" w:eastAsia="STHeiti"/>
          <w:b w:val="0"/>
          <w:sz w:val="21"/>
        </w:rPr>
        <w:t xml:space="preserve"> 查相机连接和权限，在相机设置核对摄像头、旋转、镜像及识别区域，保存后回识别页复核。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模式切换无效：</w:t>
      </w:r>
      <w:r>
        <w:rPr>
          <w:rFonts w:ascii="STHeiti" w:hAnsi="STHeiti" w:eastAsia="STHeiti"/>
          <w:b w:val="0"/>
          <w:sz w:val="21"/>
        </w:rPr>
        <w:t xml:space="preserve"> 等待“模型已生效”；若报错，查 AI 智能识别激活码、插件安装及餐饮版匹配情况。切换期间不要继续旧订单。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菜品模式识别金额为零：</w:t>
      </w:r>
      <w:r>
        <w:rPr>
          <w:rFonts w:ascii="STHeiti" w:hAnsi="STHeiti" w:eastAsia="STHeiti"/>
          <w:b w:val="0"/>
          <w:sz w:val="21"/>
        </w:rPr>
        <w:t xml:space="preserve"> 查是否“未学习商品”、商品编码与价格是否完整，以及当前菜谱过滤是否排除了该菜品；再决定替换、人工加菜或学习。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餐盘模式有类别但金额缺失：</w:t>
      </w:r>
      <w:r>
        <w:rPr>
          <w:rFonts w:ascii="STHeiti" w:hAnsi="STHeiti" w:eastAsia="STHeiti"/>
          <w:b w:val="0"/>
          <w:sz w:val="21"/>
        </w:rPr>
        <w:t xml:space="preserve"> 查类别编码与商品编码是否精确对应、商品价格是否存在；混合已绑定和未绑定类别时不要按部分金额自动支付。</w:t>
      </w:r>
    </w:p>
    <w:p>
      <w:pPr>
        <w:pStyle w:val="ListBullet"/>
      </w:pPr>
      <w:r>
        <w:rPr>
          <w:rFonts w:ascii="STHeiti" w:hAnsi="STHeiti" w:eastAsia="STHeiti"/>
          <w:b/>
          <w:sz w:val="21"/>
        </w:rPr>
        <w:t>支付无响应或结果不明：</w:t>
      </w:r>
      <w:r>
        <w:rPr>
          <w:rFonts w:ascii="STHeiti" w:hAnsi="STHeiti" w:eastAsia="STHeiti"/>
          <w:b w:val="0"/>
          <w:sz w:val="21"/>
        </w:rPr>
        <w:t xml:space="preserve"> 查是否达到可支付状态、金额是否大于零、支付方式及硬件是否可用，并在订单管理核对结果后再处理。</w:t>
      </w:r>
    </w:p>
    <w:p>
      <w:r>
        <w:rPr>
          <w:rFonts w:ascii="STHeiti" w:hAnsi="STHeiti" w:eastAsia="STHeiti"/>
          <w:b w:val="0"/>
          <w:sz w:val="21"/>
        </w:rPr>
        <w:t>图片说明：图 1—9 为 2026-10-08 连接的 FY-3576SE 真机截图，用于标示实际入口和状态；示例商品、价格、阈值、菜谱数量及支付设置均不代表其他设备的默认值。基础设置页因显示配对码和激活码，未放入原始截图。</w:t>
      </w:r>
    </w:p>
    <w:sectPr w:rsidR="00FC693F" w:rsidRPr="0006063C" w:rsidSect="00034616">
      <w:pgSz w:w="11906" w:h="16838"/>
      <w:pgMar w:top="935" w:right="1009" w:bottom="935" w:left="10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17" w:lineRule="auto"/>
    </w:pPr>
    <w:rPr>
      <w:rFonts w:ascii="STHeiti" w:hAnsi="STHeiti" w:eastAsia="STHeiti"/>
      <w:color w:val="2024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STHeiti" w:hAnsi="STHeiti" w:eastAsia="STHeit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STHeiti" w:hAnsi="STHeiti" w:eastAsia="STHeit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320"/>
      <w:contextualSpacing/>
    </w:pPr>
    <w:rPr>
      <w:rFonts w:asciiTheme="majorHAnsi" w:eastAsiaTheme="majorEastAsia" w:hAnsiTheme="majorHAnsi" w:cstheme="majorBidi" w:ascii="STHeiti" w:hAnsi="STHeiti" w:eastAsia="STHeit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THeiti" w:hAnsi="STHeiti" w:eastAsia="STHeit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200"/>
    </w:pPr>
    <w:rPr>
      <w:rFonts w:ascii="STHeiti" w:hAnsi="STHeiti" w:eastAsia="STHeiti"/>
      <w:b/>
      <w:bCs/>
      <w:color w:val="48505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