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0" w:after="80"/>
      </w:pPr>
      <w:r>
        <w:rPr>
          <w:rFonts w:ascii="PingFang SC" w:hAnsi="PingFang SC" w:eastAsia="PingFang SC"/>
          <w:b/>
          <w:color w:val="0F2437"/>
          <w:sz w:val="52"/>
        </w:rPr>
        <w:t>产品标准化与 AI 赋能项目周报</w:t>
      </w:r>
    </w:p>
    <w:p>
      <w:pPr>
        <w:spacing w:after="280"/>
      </w:pPr>
      <w:r>
        <w:rPr>
          <w:rFonts w:ascii="PingFang SC" w:hAnsi="PingFang SC" w:eastAsia="PingFang SC"/>
          <w:color w:val="64748B"/>
          <w:sz w:val="26"/>
        </w:rPr>
        <w:t>数字技术中心-产品开发部 | 2026.06.01-06.07 | 图文版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360"/>
            <w:shd w:fill="eaf3ff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</w:tcPr>
          <w:p>
            <w:pPr>
              <w:spacing w:before="100" w:after="100"/>
            </w:pPr>
            <w:r>
              <w:rPr>
                <w:rFonts w:ascii="PingFang SC" w:hAnsi="PingFang SC" w:eastAsia="PingFang SC"/>
                <w:b/>
                <w:color w:val="1F4E79"/>
                <w:sz w:val="23"/>
              </w:rPr>
              <w:t>本周不按“做了很多事”汇报，而按“产品规划 + 项目 SOP + AI 赋能 + 标准化沉淀 + Before/After 价值”汇报：把零散事项分层讲清、按周落地、转成可复用资产。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1944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  <w:shd w:fill="f2f4f7"/>
          </w:tcPr>
          <w:p>
            <w:r>
              <w:rPr>
                <w:rFonts w:ascii="PingFang SC" w:hAnsi="PingFang SC" w:eastAsia="PingFang SC"/>
                <w:b/>
                <w:color w:val="0F2437"/>
                <w:sz w:val="21"/>
              </w:rPr>
              <w:t>汇报对象</w:t>
            </w:r>
          </w:p>
        </w:tc>
        <w:tc>
          <w:tcPr>
            <w:tcW w:type="dxa" w:w="7128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color w:val="334155"/>
                <w:sz w:val="21"/>
              </w:rPr>
              <w:t>经营层 / 数字技术中心 / 产品开发部</w:t>
            </w:r>
          </w:p>
        </w:tc>
      </w:tr>
      <w:tr>
        <w:tc>
          <w:tcPr>
            <w:tcW w:type="dxa" w:w="1944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  <w:shd w:fill="f2f4f7"/>
          </w:tcPr>
          <w:p>
            <w:r>
              <w:rPr>
                <w:rFonts w:ascii="PingFang SC" w:hAnsi="PingFang SC" w:eastAsia="PingFang SC"/>
                <w:b/>
                <w:color w:val="0F2437"/>
                <w:sz w:val="21"/>
              </w:rPr>
              <w:t>报告类型</w:t>
            </w:r>
          </w:p>
        </w:tc>
        <w:tc>
          <w:tcPr>
            <w:tcW w:type="dxa" w:w="7128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color w:val="334155"/>
                <w:sz w:val="21"/>
              </w:rPr>
              <w:t>领导可读周报：五层分解 + SOP 阶段 + 产品规划 + Before/After + 图像证据</w:t>
            </w:r>
          </w:p>
        </w:tc>
      </w:tr>
      <w:tr>
        <w:tc>
          <w:tcPr>
            <w:tcW w:type="dxa" w:w="1944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  <w:shd w:fill="f2f4f7"/>
          </w:tcPr>
          <w:p>
            <w:r>
              <w:rPr>
                <w:rFonts w:ascii="PingFang SC" w:hAnsi="PingFang SC" w:eastAsia="PingFang SC"/>
                <w:b/>
                <w:color w:val="0F2437"/>
                <w:sz w:val="21"/>
              </w:rPr>
              <w:t>来源材料</w:t>
            </w:r>
          </w:p>
        </w:tc>
        <w:tc>
          <w:tcPr>
            <w:tcW w:type="dxa" w:w="7128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color w:val="334155"/>
                <w:sz w:val="21"/>
              </w:rPr>
              <w:t>周报0605.xlsx；纪要_产品标准化与AI赋能周会纪要.pdf；Jack 周报底层逻辑</w:t>
            </w:r>
          </w:p>
        </w:tc>
      </w:tr>
      <w:tr>
        <w:tc>
          <w:tcPr>
            <w:tcW w:type="dxa" w:w="1944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  <w:shd w:fill="f2f4f7"/>
          </w:tcPr>
          <w:p>
            <w:r>
              <w:rPr>
                <w:rFonts w:ascii="PingFang SC" w:hAnsi="PingFang SC" w:eastAsia="PingFang SC"/>
                <w:b/>
                <w:color w:val="0F2437"/>
                <w:sz w:val="21"/>
              </w:rPr>
              <w:t>证据边界</w:t>
            </w:r>
          </w:p>
        </w:tc>
        <w:tc>
          <w:tcPr>
            <w:tcW w:type="dxa" w:w="7128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color w:val="334155"/>
                <w:sz w:val="21"/>
              </w:rPr>
              <w:t>内部周报与会议纪要为 B 级证据；用户教学为 U；经营判断为 D 级解释，不新增财务或验收数据</w:t>
            </w:r>
          </w:p>
        </w:tc>
      </w:tr>
    </w:tbl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32512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executive-summary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25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PingFang SC" w:hAnsi="PingFang SC" w:eastAsia="PingFang SC"/>
          <w:color w:val="64748B"/>
          <w:sz w:val="18"/>
        </w:rPr>
        <w:t>图 1｜周报新口径：从做事到做体系</w:t>
      </w:r>
    </w:p>
    <w:p>
      <w:pPr>
        <w:pStyle w:val="Heading1"/>
      </w:pPr>
      <w:r>
        <w:t>一、周报新口径：从做事到做体系</w:t>
      </w:r>
    </w:p>
    <w:p>
      <w:pPr>
        <w:spacing w:after="80"/>
        <w:ind w:left="317" w:hanging="230"/>
      </w:pPr>
      <w:r>
        <w:rPr>
          <w:rFonts w:ascii="PingFang SC" w:hAnsi="PingFang SC" w:eastAsia="PingFang SC"/>
          <w:b/>
          <w:color w:val="1F4E79"/>
          <w:sz w:val="22"/>
        </w:rPr>
        <w:t xml:space="preserve">• </w:t>
      </w:r>
      <w:r>
        <w:rPr>
          <w:rFonts w:ascii="PingFang SC" w:hAnsi="PingFang SC" w:eastAsia="PingFang SC"/>
          <w:color w:val="1F2937"/>
          <w:sz w:val="22"/>
        </w:rPr>
        <w:t>先分层，再讲事：把本周事项归入产品层、项目层、AI 层、沉淀层和价值层。</w:t>
      </w:r>
    </w:p>
    <w:p>
      <w:pPr>
        <w:spacing w:after="80"/>
        <w:ind w:left="317" w:hanging="230"/>
      </w:pPr>
      <w:r>
        <w:rPr>
          <w:rFonts w:ascii="PingFang SC" w:hAnsi="PingFang SC" w:eastAsia="PingFang SC"/>
          <w:b/>
          <w:color w:val="1F4E79"/>
          <w:sz w:val="22"/>
        </w:rPr>
        <w:t xml:space="preserve">• </w:t>
      </w:r>
      <w:r>
        <w:rPr>
          <w:rFonts w:ascii="PingFang SC" w:hAnsi="PingFang SC" w:eastAsia="PingFang SC"/>
          <w:color w:val="1F2937"/>
          <w:sz w:val="22"/>
        </w:rPr>
        <w:t>先讲阶段，再讲动作：项目不写“推进中”，要写清 SOP 阶段、本周产物、下周交付和复用价值。</w:t>
      </w:r>
    </w:p>
    <w:p>
      <w:pPr>
        <w:spacing w:after="80"/>
        <w:ind w:left="317" w:hanging="230"/>
      </w:pPr>
      <w:r>
        <w:rPr>
          <w:rFonts w:ascii="PingFang SC" w:hAnsi="PingFang SC" w:eastAsia="PingFang SC"/>
          <w:b/>
          <w:color w:val="1F4E79"/>
          <w:sz w:val="22"/>
        </w:rPr>
        <w:t xml:space="preserve">• </w:t>
      </w:r>
      <w:r>
        <w:rPr>
          <w:rFonts w:ascii="PingFang SC" w:hAnsi="PingFang SC" w:eastAsia="PingFang SC"/>
          <w:color w:val="1F2937"/>
          <w:sz w:val="22"/>
        </w:rPr>
        <w:t>先讲结果，再讲价值：AI、自动化、产品能力都用 Before / After 说明效率、质量、表达和交付变化。</w:t>
      </w:r>
    </w:p>
    <w:p>
      <w:pPr>
        <w:spacing w:after="80"/>
        <w:ind w:left="317" w:hanging="230"/>
      </w:pPr>
      <w:r>
        <w:rPr>
          <w:rFonts w:ascii="PingFang SC" w:hAnsi="PingFang SC" w:eastAsia="PingFang SC"/>
          <w:b/>
          <w:color w:val="1F4E79"/>
          <w:sz w:val="22"/>
        </w:rPr>
        <w:t xml:space="preserve">• </w:t>
      </w:r>
      <w:r>
        <w:rPr>
          <w:rFonts w:ascii="PingFang SC" w:hAnsi="PingFang SC" w:eastAsia="PingFang SC"/>
          <w:color w:val="1F2937"/>
          <w:sz w:val="22"/>
        </w:rPr>
        <w:t>一次性业务不应只完成一次交付，而要沉淀成 SOP、测试用例、自动化脚本、操作视频、用户手册和 FAQ。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360"/>
            <w:shd w:fill="eaf3ff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</w:tcPr>
          <w:p>
            <w:pPr>
              <w:spacing w:before="100" w:after="100"/>
            </w:pPr>
            <w:r>
              <w:rPr>
                <w:rFonts w:ascii="PingFang SC" w:hAnsi="PingFang SC" w:eastAsia="PingFang SC"/>
                <w:b/>
                <w:color w:val="1F4E79"/>
                <w:sz w:val="23"/>
              </w:rPr>
              <w:t>本周汇报的重点不是“我做了很多事”，而是“我如何把事情分层讲清楚、按 SOP 管起来、按产品规划落下去，再用 AI 把一次性业务沉淀成可复用资产”。</w:t>
            </w:r>
          </w:p>
        </w:tc>
      </w:tr>
    </w:tbl>
    <w:p/>
    <w:p>
      <w:pPr>
        <w:pStyle w:val="Heading2"/>
      </w:pPr>
      <w:r>
        <w:t>五层分解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1440"/>
            <w:shd w:fill="0f2437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</w:tcPr>
          <w:p>
            <w:r>
              <w:rPr>
                <w:rFonts w:ascii="PingFang SC" w:hAnsi="PingFang SC" w:eastAsia="PingFang SC"/>
                <w:b/>
                <w:color w:val="FFFFFF"/>
                <w:sz w:val="18"/>
              </w:rPr>
              <w:t>层级</w:t>
            </w:r>
          </w:p>
        </w:tc>
        <w:tc>
          <w:tcPr>
            <w:tcW w:type="dxa" w:w="2880"/>
            <w:shd w:fill="0f2437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</w:tcPr>
          <w:p>
            <w:r>
              <w:rPr>
                <w:rFonts w:ascii="PingFang SC" w:hAnsi="PingFang SC" w:eastAsia="PingFang SC"/>
                <w:b/>
                <w:color w:val="FFFFFF"/>
                <w:sz w:val="18"/>
              </w:rPr>
              <w:t>要回答的问题</w:t>
            </w:r>
          </w:p>
        </w:tc>
        <w:tc>
          <w:tcPr>
            <w:tcW w:type="dxa" w:w="4752"/>
            <w:shd w:fill="0f2437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</w:tcPr>
          <w:p>
            <w:r>
              <w:rPr>
                <w:rFonts w:ascii="PingFang SC" w:hAnsi="PingFang SC" w:eastAsia="PingFang SC"/>
                <w:b/>
                <w:color w:val="FFFFFF"/>
                <w:sz w:val="18"/>
              </w:rPr>
              <w:t>本周落点</w:t>
            </w:r>
          </w:p>
        </w:tc>
      </w:tr>
      <w:tr>
        <w:tc>
          <w:tcPr>
            <w:tcW w:type="dxa" w:w="144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shd w:fill="f2f4f7"/>
            <w:vAlign w:val="center"/>
          </w:tcPr>
          <w:p>
            <w:r>
              <w:rPr>
                <w:rFonts w:ascii="PingFang SC" w:hAnsi="PingFang SC" w:eastAsia="PingFang SC"/>
                <w:b/>
                <w:color w:val="0F2437"/>
                <w:sz w:val="17"/>
              </w:rPr>
              <w:t>产品层</w:t>
            </w:r>
          </w:p>
        </w:tc>
        <w:tc>
          <w:tcPr>
            <w:tcW w:type="dxa" w:w="288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这个能力属于哪个产品 / 模块？</w:t>
            </w:r>
          </w:p>
        </w:tc>
        <w:tc>
          <w:tcPr>
            <w:tcW w:type="dxa" w:w="4752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国信样板、教委端 PC、硬件矩阵、Playwright 测试、AI 手册视频</w:t>
            </w:r>
          </w:p>
        </w:tc>
      </w:tr>
      <w:tr>
        <w:tc>
          <w:tcPr>
            <w:tcW w:type="dxa" w:w="144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shd w:fill="f2f4f7"/>
            <w:vAlign w:val="center"/>
          </w:tcPr>
          <w:p>
            <w:r>
              <w:rPr>
                <w:rFonts w:ascii="PingFang SC" w:hAnsi="PingFang SC" w:eastAsia="PingFang SC"/>
                <w:b/>
                <w:color w:val="0F2437"/>
                <w:sz w:val="17"/>
              </w:rPr>
              <w:t>项目层</w:t>
            </w:r>
          </w:p>
        </w:tc>
        <w:tc>
          <w:tcPr>
            <w:tcW w:type="dxa" w:w="288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当前项目处于什么 SOP 阶段？</w:t>
            </w:r>
          </w:p>
        </w:tc>
        <w:tc>
          <w:tcPr>
            <w:tcW w:type="dxa" w:w="4752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客户确认、开发准备、部署上线、验收收口、售后复盘</w:t>
            </w:r>
          </w:p>
        </w:tc>
      </w:tr>
      <w:tr>
        <w:tc>
          <w:tcPr>
            <w:tcW w:type="dxa" w:w="144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shd w:fill="f2f4f7"/>
            <w:vAlign w:val="center"/>
          </w:tcPr>
          <w:p>
            <w:r>
              <w:rPr>
                <w:rFonts w:ascii="PingFang SC" w:hAnsi="PingFang SC" w:eastAsia="PingFang SC"/>
                <w:b/>
                <w:color w:val="0F2437"/>
                <w:sz w:val="17"/>
              </w:rPr>
              <w:t>AI 层</w:t>
            </w:r>
          </w:p>
        </w:tc>
        <w:tc>
          <w:tcPr>
            <w:tcW w:type="dxa" w:w="288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AI 在里面做了什么？</w:t>
            </w:r>
          </w:p>
        </w:tc>
        <w:tc>
          <w:tcPr>
            <w:tcW w:type="dxa" w:w="4752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需求拆解、PRD、测试用例、自动化测试、HTML 报告、视频字幕、用户手册</w:t>
            </w:r>
          </w:p>
        </w:tc>
      </w:tr>
      <w:tr>
        <w:tc>
          <w:tcPr>
            <w:tcW w:type="dxa" w:w="144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shd w:fill="f2f4f7"/>
            <w:vAlign w:val="center"/>
          </w:tcPr>
          <w:p>
            <w:r>
              <w:rPr>
                <w:rFonts w:ascii="PingFang SC" w:hAnsi="PingFang SC" w:eastAsia="PingFang SC"/>
                <w:b/>
                <w:color w:val="0F2437"/>
                <w:sz w:val="17"/>
              </w:rPr>
              <w:t>沉淀层</w:t>
            </w:r>
          </w:p>
        </w:tc>
        <w:tc>
          <w:tcPr>
            <w:tcW w:type="dxa" w:w="288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能不能复用？</w:t>
            </w:r>
          </w:p>
        </w:tc>
        <w:tc>
          <w:tcPr>
            <w:tcW w:type="dxa" w:w="4752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标准能力、测试脚本、操作视频、FAQ、售后知识库、交付检查清单</w:t>
            </w:r>
          </w:p>
        </w:tc>
      </w:tr>
      <w:tr>
        <w:tc>
          <w:tcPr>
            <w:tcW w:type="dxa" w:w="144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shd w:fill="f2f4f7"/>
            <w:vAlign w:val="center"/>
          </w:tcPr>
          <w:p>
            <w:r>
              <w:rPr>
                <w:rFonts w:ascii="PingFang SC" w:hAnsi="PingFang SC" w:eastAsia="PingFang SC"/>
                <w:b/>
                <w:color w:val="0F2437"/>
                <w:sz w:val="17"/>
              </w:rPr>
              <w:t>价值层</w:t>
            </w:r>
          </w:p>
        </w:tc>
        <w:tc>
          <w:tcPr>
            <w:tcW w:type="dxa" w:w="288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Before / After 变化是什么？</w:t>
            </w:r>
          </w:p>
        </w:tc>
        <w:tc>
          <w:tcPr>
            <w:tcW w:type="dxa" w:w="4752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事项更聚焦、阶段更清楚、资料可复用、交付成本可下降</w:t>
            </w:r>
          </w:p>
        </w:tc>
      </w:tr>
    </w:tbl>
    <w:p/>
    <w:p>
      <w:pPr>
        <w:pStyle w:val="Heading1"/>
      </w:pPr>
      <w:r>
        <w:t>二、SOP + 产品规划：把项目状态讲清楚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357632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project-board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5763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PingFang SC" w:hAnsi="PingFang SC" w:eastAsia="PingFang SC"/>
          <w:color w:val="64748B"/>
          <w:sz w:val="18"/>
        </w:rPr>
        <w:t>图 2｜SOP + 产品规划表：把项目状态讲清楚</w:t>
      </w:r>
    </w:p>
    <w:p>
      <w:pPr>
        <w:pStyle w:val="Heading2"/>
      </w:pPr>
      <w:r>
        <w:t>SOP + 产品规划表（周报主骨架）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368"/>
            <w:shd w:fill="0f2437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</w:tcPr>
          <w:p>
            <w:r>
              <w:rPr>
                <w:rFonts w:ascii="PingFang SC" w:hAnsi="PingFang SC" w:eastAsia="PingFang SC"/>
                <w:b/>
                <w:color w:val="FFFFFF"/>
                <w:sz w:val="18"/>
              </w:rPr>
              <w:t>事项</w:t>
            </w:r>
          </w:p>
        </w:tc>
        <w:tc>
          <w:tcPr>
            <w:tcW w:type="dxa" w:w="1656"/>
            <w:shd w:fill="0f2437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</w:tcPr>
          <w:p>
            <w:r>
              <w:rPr>
                <w:rFonts w:ascii="PingFang SC" w:hAnsi="PingFang SC" w:eastAsia="PingFang SC"/>
                <w:b/>
                <w:color w:val="FFFFFF"/>
                <w:sz w:val="18"/>
              </w:rPr>
              <w:t>当前阶段</w:t>
            </w:r>
          </w:p>
        </w:tc>
        <w:tc>
          <w:tcPr>
            <w:tcW w:type="dxa" w:w="2232"/>
            <w:shd w:fill="0f2437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</w:tcPr>
          <w:p>
            <w:r>
              <w:rPr>
                <w:rFonts w:ascii="PingFang SC" w:hAnsi="PingFang SC" w:eastAsia="PingFang SC"/>
                <w:b/>
                <w:color w:val="FFFFFF"/>
                <w:sz w:val="18"/>
              </w:rPr>
              <w:t>本周产物</w:t>
            </w:r>
          </w:p>
        </w:tc>
        <w:tc>
          <w:tcPr>
            <w:tcW w:type="dxa" w:w="2088"/>
            <w:shd w:fill="0f2437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</w:tcPr>
          <w:p>
            <w:r>
              <w:rPr>
                <w:rFonts w:ascii="PingFang SC" w:hAnsi="PingFang SC" w:eastAsia="PingFang SC"/>
                <w:b/>
                <w:color w:val="FFFFFF"/>
                <w:sz w:val="18"/>
              </w:rPr>
              <w:t>下周交付</w:t>
            </w:r>
          </w:p>
        </w:tc>
        <w:tc>
          <w:tcPr>
            <w:tcW w:type="dxa" w:w="1800"/>
            <w:shd w:fill="0f2437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</w:tcPr>
          <w:p>
            <w:r>
              <w:rPr>
                <w:rFonts w:ascii="PingFang SC" w:hAnsi="PingFang SC" w:eastAsia="PingFang SC"/>
                <w:b/>
                <w:color w:val="FFFFFF"/>
                <w:sz w:val="18"/>
              </w:rPr>
              <w:t>沉淀价值</w:t>
            </w:r>
          </w:p>
        </w:tc>
      </w:tr>
      <w:tr>
        <w:tc>
          <w:tcPr>
            <w:tcW w:type="dxa" w:w="1368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shd w:fill="f2f4f7"/>
            <w:vAlign w:val="center"/>
          </w:tcPr>
          <w:p>
            <w:r>
              <w:rPr>
                <w:rFonts w:ascii="PingFang SC" w:hAnsi="PingFang SC" w:eastAsia="PingFang SC"/>
                <w:b/>
                <w:color w:val="0F2437"/>
                <w:sz w:val="17"/>
              </w:rPr>
              <w:t>江苏国信</w:t>
            </w:r>
          </w:p>
        </w:tc>
        <w:tc>
          <w:tcPr>
            <w:tcW w:type="dxa" w:w="1656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交付阶段：客户确认 / 开发准备</w:t>
            </w:r>
          </w:p>
        </w:tc>
        <w:tc>
          <w:tcPr>
            <w:tcW w:type="dxa" w:w="2232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H5 与 PC 原型迭代；报餐、订餐、招待权限、核销扣款链路</w:t>
            </w:r>
          </w:p>
        </w:tc>
        <w:tc>
          <w:tcPr>
            <w:tcW w:type="dxa" w:w="2088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确认子部门、代报限制，进入可启动任务开发</w:t>
            </w:r>
          </w:p>
        </w:tc>
        <w:tc>
          <w:tcPr>
            <w:tcW w:type="dxa" w:w="180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机关/国企招待餐与预约就餐标准样板</w:t>
            </w:r>
          </w:p>
        </w:tc>
      </w:tr>
      <w:tr>
        <w:tc>
          <w:tcPr>
            <w:tcW w:type="dxa" w:w="1368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shd w:fill="f2f4f7"/>
            <w:vAlign w:val="center"/>
          </w:tcPr>
          <w:p>
            <w:r>
              <w:rPr>
                <w:rFonts w:ascii="PingFang SC" w:hAnsi="PingFang SC" w:eastAsia="PingFang SC"/>
                <w:b/>
                <w:color w:val="0F2437"/>
                <w:sz w:val="17"/>
              </w:rPr>
              <w:t>教委/学校端</w:t>
            </w:r>
          </w:p>
        </w:tc>
        <w:tc>
          <w:tcPr>
            <w:tcW w:type="dxa" w:w="1656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产品阶段：PRD 拆解 / 排期</w:t>
            </w:r>
          </w:p>
        </w:tc>
        <w:tc>
          <w:tcPr>
            <w:tcW w:type="dxa" w:w="2232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PC 端八板块方向确认，准备补齐云效任务</w:t>
            </w:r>
          </w:p>
        </w:tc>
        <w:tc>
          <w:tcPr>
            <w:tcW w:type="dxa" w:w="2088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与开发对齐估时、样式和上线计划</w:t>
            </w:r>
          </w:p>
        </w:tc>
        <w:tc>
          <w:tcPr>
            <w:tcW w:type="dxa" w:w="180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学校/教委监管标准产品包</w:t>
            </w:r>
          </w:p>
        </w:tc>
      </w:tr>
      <w:tr>
        <w:tc>
          <w:tcPr>
            <w:tcW w:type="dxa" w:w="1368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shd w:fill="f2f4f7"/>
            <w:vAlign w:val="center"/>
          </w:tcPr>
          <w:p>
            <w:r>
              <w:rPr>
                <w:rFonts w:ascii="PingFang SC" w:hAnsi="PingFang SC" w:eastAsia="PingFang SC"/>
                <w:b/>
                <w:color w:val="0F2437"/>
                <w:sz w:val="17"/>
              </w:rPr>
              <w:t>硬件矩阵</w:t>
            </w:r>
          </w:p>
        </w:tc>
        <w:tc>
          <w:tcPr>
            <w:tcW w:type="dxa" w:w="1656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适配阶段：样机 / 协议 / 联调</w:t>
            </w:r>
          </w:p>
        </w:tc>
        <w:tc>
          <w:tcPr>
            <w:tcW w:type="dxa" w:w="2232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德沃晨检、出入库称、称重台、AI 摄像头进入评估</w:t>
            </w:r>
          </w:p>
        </w:tc>
        <w:tc>
          <w:tcPr>
            <w:tcW w:type="dxa" w:w="2088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验证门禁联动、稳定性和证据链</w:t>
            </w:r>
          </w:p>
        </w:tc>
        <w:tc>
          <w:tcPr>
            <w:tcW w:type="dxa" w:w="180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硬件白名单与交付前置检查项</w:t>
            </w:r>
          </w:p>
        </w:tc>
      </w:tr>
      <w:tr>
        <w:tc>
          <w:tcPr>
            <w:tcW w:type="dxa" w:w="1368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shd w:fill="f2f4f7"/>
            <w:vAlign w:val="center"/>
          </w:tcPr>
          <w:p>
            <w:r>
              <w:rPr>
                <w:rFonts w:ascii="PingFang SC" w:hAnsi="PingFang SC" w:eastAsia="PingFang SC"/>
                <w:b/>
                <w:color w:val="0F2437"/>
                <w:sz w:val="17"/>
              </w:rPr>
              <w:t>Playwright 测试</w:t>
            </w:r>
          </w:p>
        </w:tc>
        <w:tc>
          <w:tcPr>
            <w:tcW w:type="dxa" w:w="1656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能力阶段：从 0 到 1 验证</w:t>
            </w:r>
          </w:p>
        </w:tc>
        <w:tc>
          <w:tcPr>
            <w:tcW w:type="dxa" w:w="2232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自然语言用例、自动执行、HTML 报告方向明确</w:t>
            </w:r>
          </w:p>
        </w:tc>
        <w:tc>
          <w:tcPr>
            <w:tcW w:type="dxa" w:w="2088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中文化报告、失败分析、截图/视频、定时跑测</w:t>
            </w:r>
          </w:p>
        </w:tc>
        <w:tc>
          <w:tcPr>
            <w:tcW w:type="dxa" w:w="180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发布前自动化质量门禁能力</w:t>
            </w:r>
          </w:p>
        </w:tc>
      </w:tr>
      <w:tr>
        <w:tc>
          <w:tcPr>
            <w:tcW w:type="dxa" w:w="1368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shd w:fill="f2f4f7"/>
            <w:vAlign w:val="center"/>
          </w:tcPr>
          <w:p>
            <w:r>
              <w:rPr>
                <w:rFonts w:ascii="PingFang SC" w:hAnsi="PingFang SC" w:eastAsia="PingFang SC"/>
                <w:b/>
                <w:color w:val="0F2437"/>
                <w:sz w:val="17"/>
              </w:rPr>
              <w:t>AI 手册/视频</w:t>
            </w:r>
          </w:p>
        </w:tc>
        <w:tc>
          <w:tcPr>
            <w:tcW w:type="dxa" w:w="1656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资产阶段：流程转资产</w:t>
            </w:r>
          </w:p>
        </w:tc>
        <w:tc>
          <w:tcPr>
            <w:tcW w:type="dxa" w:w="2232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业务流程转脚本、字幕、手册草稿方向明确</w:t>
            </w:r>
          </w:p>
        </w:tc>
        <w:tc>
          <w:tcPr>
            <w:tcW w:type="dxa" w:w="2088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选取人员卡务等流程打通样例</w:t>
            </w:r>
          </w:p>
        </w:tc>
        <w:tc>
          <w:tcPr>
            <w:tcW w:type="dxa" w:w="180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一次业务生成测试用例、视频、手册和 FAQ</w:t>
            </w:r>
          </w:p>
        </w:tc>
      </w:tr>
    </w:tbl>
    <w:p/>
    <w:p>
      <w:pPr>
        <w:spacing w:after="80"/>
        <w:ind w:left="317" w:hanging="230"/>
      </w:pPr>
      <w:r>
        <w:rPr>
          <w:rFonts w:ascii="PingFang SC" w:hAnsi="PingFang SC" w:eastAsia="PingFang SC"/>
          <w:b/>
          <w:color w:val="1F4E79"/>
          <w:sz w:val="22"/>
        </w:rPr>
        <w:t xml:space="preserve">• </w:t>
      </w:r>
      <w:r>
        <w:rPr>
          <w:rFonts w:ascii="PingFang SC" w:hAnsi="PingFang SC" w:eastAsia="PingFang SC"/>
          <w:color w:val="1F2937"/>
          <w:sz w:val="22"/>
        </w:rPr>
        <w:t>产品规划：江苏国信 H5/PC 原型、教委端 PC 八板块、食安大屏、取餐柜、AI 结算台等材料，应进入产品规划表，形成按周可追踪的产品/模块产物。</w:t>
      </w:r>
    </w:p>
    <w:p>
      <w:pPr>
        <w:spacing w:after="80"/>
        <w:ind w:left="317" w:hanging="230"/>
      </w:pPr>
      <w:r>
        <w:rPr>
          <w:rFonts w:ascii="PingFang SC" w:hAnsi="PingFang SC" w:eastAsia="PingFang SC"/>
          <w:b/>
          <w:color w:val="1F4E79"/>
          <w:sz w:val="22"/>
        </w:rPr>
        <w:t xml:space="preserve">• </w:t>
      </w:r>
      <w:r>
        <w:rPr>
          <w:rFonts w:ascii="PingFang SC" w:hAnsi="PingFang SC" w:eastAsia="PingFang SC"/>
          <w:color w:val="1F2937"/>
          <w:sz w:val="22"/>
        </w:rPr>
        <w:t>项目 SOP：江苏国信适合定位为样板项目，当前重点是客户确认与开发准备；江西206、莱迪森、金斯瑞、山西焦煤、荣海小学等要按交付/上线/收口清单推进。</w:t>
      </w:r>
    </w:p>
    <w:p>
      <w:pPr>
        <w:spacing w:after="80"/>
        <w:ind w:left="317" w:hanging="230"/>
      </w:pPr>
      <w:r>
        <w:rPr>
          <w:rFonts w:ascii="PingFang SC" w:hAnsi="PingFang SC" w:eastAsia="PingFang SC"/>
          <w:b/>
          <w:color w:val="1F4E79"/>
          <w:sz w:val="22"/>
        </w:rPr>
        <w:t xml:space="preserve">• </w:t>
      </w:r>
      <w:r>
        <w:rPr>
          <w:rFonts w:ascii="PingFang SC" w:hAnsi="PingFang SC" w:eastAsia="PingFang SC"/>
          <w:color w:val="1F2937"/>
          <w:sz w:val="22"/>
        </w:rPr>
        <w:t>AI 赋能：Codex/ChatGPT 已支撑资料与原型整理，Playwright 自动化测试要从自然语言用例推进到中文报告、失败分析、截图/视频和定时跑测。</w:t>
      </w:r>
    </w:p>
    <w:p>
      <w:pPr>
        <w:spacing w:after="80"/>
        <w:ind w:left="317" w:hanging="230"/>
      </w:pPr>
      <w:r>
        <w:rPr>
          <w:rFonts w:ascii="PingFang SC" w:hAnsi="PingFang SC" w:eastAsia="PingFang SC"/>
          <w:b/>
          <w:color w:val="1F4E79"/>
          <w:sz w:val="22"/>
        </w:rPr>
        <w:t xml:space="preserve">• </w:t>
      </w:r>
      <w:r>
        <w:rPr>
          <w:rFonts w:ascii="PingFang SC" w:hAnsi="PingFang SC" w:eastAsia="PingFang SC"/>
          <w:color w:val="1F2937"/>
          <w:sz w:val="22"/>
        </w:rPr>
        <w:t>沉淀资产：业务流程、项目图文资料、演示视频和测试报告不只服务当次项目，应沉淀为标准 SOP、测试用例、操作视频、用户手册和 FAQ。</w:t>
      </w:r>
    </w:p>
    <w:p>
      <w:pPr>
        <w:spacing w:after="80"/>
        <w:ind w:left="317" w:hanging="230"/>
      </w:pPr>
      <w:r>
        <w:rPr>
          <w:rFonts w:ascii="PingFang SC" w:hAnsi="PingFang SC" w:eastAsia="PingFang SC"/>
          <w:b/>
          <w:color w:val="1F4E79"/>
          <w:sz w:val="22"/>
        </w:rPr>
        <w:t xml:space="preserve">• </w:t>
      </w:r>
      <w:r>
        <w:rPr>
          <w:rFonts w:ascii="PingFang SC" w:hAnsi="PingFang SC" w:eastAsia="PingFang SC"/>
          <w:color w:val="1F2937"/>
          <w:sz w:val="22"/>
        </w:rPr>
        <w:t>价值表达：领导指出当前汇报太碎、太散、缺 SOP 和规划；本周调整的关键是用 Before / After 把管理价值、交付价值和复用价值说清楚。</w:t>
      </w:r>
    </w:p>
    <w:p>
      <w:pPr>
        <w:pStyle w:val="Heading1"/>
      </w:pPr>
      <w:r>
        <w:t>三、关键判断：为什么这周不是普通项目周报</w:t>
      </w:r>
    </w:p>
    <w:p>
      <w:pPr>
        <w:spacing w:after="80"/>
        <w:ind w:left="317" w:hanging="230"/>
      </w:pPr>
      <w:r>
        <w:rPr>
          <w:rFonts w:ascii="PingFang SC" w:hAnsi="PingFang SC" w:eastAsia="PingFang SC"/>
          <w:b/>
          <w:color w:val="1F4E79"/>
          <w:sz w:val="22"/>
        </w:rPr>
        <w:t xml:space="preserve">• </w:t>
      </w:r>
      <w:r>
        <w:rPr>
          <w:rFonts w:ascii="PingFang SC" w:hAnsi="PingFang SC" w:eastAsia="PingFang SC"/>
          <w:color w:val="1F2937"/>
          <w:sz w:val="22"/>
        </w:rPr>
        <w:t>SOP 和产品规划表是本周汇报主骨架：SOP 回答项目在哪一步，产品规划表回答 6 月每周落什么产物，二者共同解决“太碎、太散、没有规划”的问题。</w:t>
      </w:r>
    </w:p>
    <w:p>
      <w:pPr>
        <w:spacing w:after="80"/>
        <w:ind w:left="317" w:hanging="230"/>
      </w:pPr>
      <w:r>
        <w:rPr>
          <w:rFonts w:ascii="PingFang SC" w:hAnsi="PingFang SC" w:eastAsia="PingFang SC"/>
          <w:b/>
          <w:color w:val="1F4E79"/>
          <w:sz w:val="22"/>
        </w:rPr>
        <w:t xml:space="preserve">• </w:t>
      </w:r>
      <w:r>
        <w:rPr>
          <w:rFonts w:ascii="PingFang SC" w:hAnsi="PingFang SC" w:eastAsia="PingFang SC"/>
          <w:color w:val="1F2937"/>
          <w:sz w:val="22"/>
        </w:rPr>
        <w:t>AI 的价值要从“辅助写内容”升级为“来说话、干事、沉淀资产”：会议纪要、PRD、演示脚本是说话；云效提需、自动化测试、报告和视频是干事；手册、脚本、FAQ 是资产。</w:t>
      </w:r>
    </w:p>
    <w:p>
      <w:pPr>
        <w:spacing w:after="80"/>
        <w:ind w:left="317" w:hanging="230"/>
      </w:pPr>
      <w:r>
        <w:rPr>
          <w:rFonts w:ascii="PingFang SC" w:hAnsi="PingFang SC" w:eastAsia="PingFang SC"/>
          <w:b/>
          <w:color w:val="1F4E79"/>
          <w:sz w:val="22"/>
        </w:rPr>
        <w:t xml:space="preserve">• </w:t>
      </w:r>
      <w:r>
        <w:rPr>
          <w:rFonts w:ascii="PingFang SC" w:hAnsi="PingFang SC" w:eastAsia="PingFang SC"/>
          <w:color w:val="1F2937"/>
          <w:sz w:val="22"/>
        </w:rPr>
        <w:t>项目成果必须能抽象为售前、交付、售后标准阶段。只有能被复用、被验证、被交付团队重复使用的能力，才能支撑产品标准化和经营效率提升。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360"/>
            <w:shd w:fill="fff7ed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</w:tcPr>
          <w:p>
            <w:pPr>
              <w:spacing w:before="100" w:after="100"/>
            </w:pPr>
            <w:r>
              <w:rPr>
                <w:rFonts w:ascii="PingFang SC" w:hAnsi="PingFang SC" w:eastAsia="PingFang SC"/>
                <w:b/>
                <w:color w:val="F97316"/>
                <w:sz w:val="23"/>
              </w:rPr>
              <w:t>建议对外/对上汇报时，把“项目很多、事情很多”改写成“标准产品包、项目 SOP、AI 自动化和交付资产正在形成”。</w:t>
            </w:r>
          </w:p>
        </w:tc>
      </w:tr>
    </w:tbl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814393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eting-p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39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PingFang SC" w:hAnsi="PingFang SC" w:eastAsia="PingFang SC"/>
          <w:color w:val="64748B"/>
          <w:sz w:val="18"/>
        </w:rPr>
        <w:t>图 6｜会议纪要首页：会议围绕产品标准化、AI 提效与项目交付展开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572000" cy="658741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eekly-matri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5874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PingFang SC" w:hAnsi="PingFang SC" w:eastAsia="PingFang SC"/>
          <w:color w:val="64748B"/>
          <w:sz w:val="18"/>
        </w:rPr>
        <w:t>图 8｜原始周报证据：标准产品能力版本矩阵与功能沉淀方向</w:t>
      </w:r>
    </w:p>
    <w:p>
      <w:pPr>
        <w:pStyle w:val="Heading1"/>
      </w:pPr>
      <w:r>
        <w:t>四、Before / After：用变化讲出价值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331622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risk-control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3162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PingFang SC" w:hAnsi="PingFang SC" w:eastAsia="PingFang SC"/>
          <w:color w:val="64748B"/>
          <w:sz w:val="18"/>
        </w:rPr>
        <w:t>图 4｜Before / After：用变化讲出价值</w:t>
      </w:r>
    </w:p>
    <w:p>
      <w:pPr>
        <w:pStyle w:val="Heading2"/>
      </w:pPr>
      <w:r>
        <w:t>Before / After 表达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032"/>
            <w:shd w:fill="0f2437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</w:tcPr>
          <w:p>
            <w:r>
              <w:rPr>
                <w:rFonts w:ascii="PingFang SC" w:hAnsi="PingFang SC" w:eastAsia="PingFang SC"/>
                <w:b/>
                <w:color w:val="FFFFFF"/>
                <w:sz w:val="18"/>
              </w:rPr>
              <w:t>Before</w:t>
            </w:r>
          </w:p>
        </w:tc>
        <w:tc>
          <w:tcPr>
            <w:tcW w:type="dxa" w:w="5040"/>
            <w:shd w:fill="0f2437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</w:tcPr>
          <w:p>
            <w:r>
              <w:rPr>
                <w:rFonts w:ascii="PingFang SC" w:hAnsi="PingFang SC" w:eastAsia="PingFang SC"/>
                <w:b/>
                <w:color w:val="FFFFFF"/>
                <w:sz w:val="18"/>
              </w:rPr>
              <w:t>After</w:t>
            </w:r>
          </w:p>
        </w:tc>
      </w:tr>
      <w:tr>
        <w:tc>
          <w:tcPr>
            <w:tcW w:type="dxa" w:w="4032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shd w:fill="f2f4f7"/>
            <w:vAlign w:val="center"/>
          </w:tcPr>
          <w:p>
            <w:r>
              <w:rPr>
                <w:rFonts w:ascii="PingFang SC" w:hAnsi="PingFang SC" w:eastAsia="PingFang SC"/>
                <w:b/>
                <w:color w:val="0F2437"/>
                <w:sz w:val="17"/>
              </w:rPr>
              <w:t>工作事项碎，领导听不出主线</w:t>
            </w:r>
          </w:p>
        </w:tc>
        <w:tc>
          <w:tcPr>
            <w:tcW w:type="dxa" w:w="504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按产品规划、项目 SOP、AI 赋能、沉淀价值分层表达</w:t>
            </w:r>
          </w:p>
        </w:tc>
      </w:tr>
      <w:tr>
        <w:tc>
          <w:tcPr>
            <w:tcW w:type="dxa" w:w="4032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shd w:fill="f2f4f7"/>
            <w:vAlign w:val="center"/>
          </w:tcPr>
          <w:p>
            <w:r>
              <w:rPr>
                <w:rFonts w:ascii="PingFang SC" w:hAnsi="PingFang SC" w:eastAsia="PingFang SC"/>
                <w:b/>
                <w:color w:val="0F2437"/>
                <w:sz w:val="17"/>
              </w:rPr>
              <w:t>测试需要人手写用例、手动执行</w:t>
            </w:r>
          </w:p>
        </w:tc>
        <w:tc>
          <w:tcPr>
            <w:tcW w:type="dxa" w:w="504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自然语言生成测试用例，Playwright 自动执行并输出 HTML 报告</w:t>
            </w:r>
          </w:p>
        </w:tc>
      </w:tr>
      <w:tr>
        <w:tc>
          <w:tcPr>
            <w:tcW w:type="dxa" w:w="4032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shd w:fill="f2f4f7"/>
            <w:vAlign w:val="center"/>
          </w:tcPr>
          <w:p>
            <w:r>
              <w:rPr>
                <w:rFonts w:ascii="PingFang SC" w:hAnsi="PingFang SC" w:eastAsia="PingFang SC"/>
                <w:b/>
                <w:color w:val="0F2437"/>
                <w:sz w:val="17"/>
              </w:rPr>
              <w:t>做完业务流程后就结束</w:t>
            </w:r>
          </w:p>
        </w:tc>
        <w:tc>
          <w:tcPr>
            <w:tcW w:type="dxa" w:w="504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一次业务流程沉淀成测试用例、自动化脚本、操作视频和用户手册</w:t>
            </w:r>
          </w:p>
        </w:tc>
      </w:tr>
      <w:tr>
        <w:tc>
          <w:tcPr>
            <w:tcW w:type="dxa" w:w="4032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shd w:fill="f2f4f7"/>
            <w:vAlign w:val="center"/>
          </w:tcPr>
          <w:p>
            <w:r>
              <w:rPr>
                <w:rFonts w:ascii="PingFang SC" w:hAnsi="PingFang SC" w:eastAsia="PingFang SC"/>
                <w:b/>
                <w:color w:val="0F2437"/>
                <w:sz w:val="17"/>
              </w:rPr>
              <w:t>技术成果讲不清楚价值</w:t>
            </w:r>
          </w:p>
        </w:tc>
        <w:tc>
          <w:tcPr>
            <w:tcW w:type="dxa" w:w="504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用 Before / After 讲出效率提升、质量提升和可复用价值</w:t>
            </w:r>
          </w:p>
        </w:tc>
      </w:tr>
      <w:tr>
        <w:tc>
          <w:tcPr>
            <w:tcW w:type="dxa" w:w="4032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shd w:fill="f2f4f7"/>
            <w:vAlign w:val="center"/>
          </w:tcPr>
          <w:p>
            <w:r>
              <w:rPr>
                <w:rFonts w:ascii="PingFang SC" w:hAnsi="PingFang SC" w:eastAsia="PingFang SC"/>
                <w:b/>
                <w:color w:val="0F2437"/>
                <w:sz w:val="17"/>
              </w:rPr>
              <w:t>只会干活，表达弱</w:t>
            </w:r>
          </w:p>
        </w:tc>
        <w:tc>
          <w:tcPr>
            <w:tcW w:type="dxa" w:w="504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讲清问题、过程、结果、价值，表达更清晰、更自信</w:t>
            </w:r>
          </w:p>
        </w:tc>
      </w:tr>
    </w:tbl>
    <w:p/>
    <w:p>
      <w:pPr>
        <w:pStyle w:val="Heading1"/>
      </w:pPr>
      <w:r>
        <w:t>五、产品标准化：把项目能力沉淀为可复制资产</w:t>
      </w:r>
    </w:p>
    <w:p>
      <w:pPr>
        <w:spacing w:after="80"/>
        <w:ind w:left="317" w:hanging="230"/>
      </w:pPr>
      <w:r>
        <w:rPr>
          <w:rFonts w:ascii="PingFang SC" w:hAnsi="PingFang SC" w:eastAsia="PingFang SC"/>
          <w:b/>
          <w:color w:val="1F4E79"/>
          <w:sz w:val="22"/>
        </w:rPr>
        <w:t xml:space="preserve">• </w:t>
      </w:r>
      <w:r>
        <w:rPr>
          <w:rFonts w:ascii="PingFang SC" w:hAnsi="PingFang SC" w:eastAsia="PingFang SC"/>
          <w:color w:val="1F2937"/>
          <w:sz w:val="22"/>
        </w:rPr>
        <w:t>江苏国信是本周最适合讲的样板：它把第三方小程序、报餐预约 H5、内网消费系统、安全策略和人脸/刷卡终端串成闭环。</w:t>
      </w:r>
    </w:p>
    <w:p>
      <w:pPr>
        <w:spacing w:after="80"/>
        <w:ind w:left="317" w:hanging="230"/>
      </w:pPr>
      <w:r>
        <w:rPr>
          <w:rFonts w:ascii="PingFang SC" w:hAnsi="PingFang SC" w:eastAsia="PingFang SC"/>
          <w:b/>
          <w:color w:val="1F4E79"/>
          <w:sz w:val="22"/>
        </w:rPr>
        <w:t xml:space="preserve">• </w:t>
      </w:r>
      <w:r>
        <w:rPr>
          <w:rFonts w:ascii="PingFang SC" w:hAnsi="PingFang SC" w:eastAsia="PingFang SC"/>
          <w:color w:val="1F2937"/>
          <w:sz w:val="22"/>
        </w:rPr>
        <w:t>学校/教委端不是单一页面优化，而是向食安监管、营养达标、采购验收、家长透明和监管驾驶舱沉淀标准场景。</w:t>
      </w:r>
    </w:p>
    <w:p>
      <w:pPr>
        <w:spacing w:after="80"/>
        <w:ind w:left="317" w:hanging="230"/>
      </w:pPr>
      <w:r>
        <w:rPr>
          <w:rFonts w:ascii="PingFang SC" w:hAnsi="PingFang SC" w:eastAsia="PingFang SC"/>
          <w:b/>
          <w:color w:val="1F4E79"/>
          <w:sz w:val="22"/>
        </w:rPr>
        <w:t xml:space="preserve">• </w:t>
      </w:r>
      <w:r>
        <w:rPr>
          <w:rFonts w:ascii="PingFang SC" w:hAnsi="PingFang SC" w:eastAsia="PingFang SC"/>
          <w:color w:val="1F2937"/>
          <w:sz w:val="22"/>
        </w:rPr>
        <w:t>智能取餐柜、AI 识别结算台、食安传感器等图文资料，可以进入售前讲解、交付培训和标准产品说明。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98935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uoxin-architectur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9893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PingFang SC" w:hAnsi="PingFang SC" w:eastAsia="PingFang SC"/>
          <w:color w:val="64748B"/>
          <w:sz w:val="18"/>
        </w:rPr>
        <w:t>图 9｜国信/第三方小程序与报餐预约 H5 闭环部署图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102933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ood-safety-dashboard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29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PingFang SC" w:hAnsi="PingFang SC" w:eastAsia="PingFang SC"/>
          <w:color w:val="64748B"/>
          <w:sz w:val="18"/>
        </w:rPr>
        <w:t>图 10｜学校/教委场景：校园智慧食安驾驶舱示例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142211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ood-safety-platform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22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PingFang SC" w:hAnsi="PingFang SC" w:eastAsia="PingFang SC"/>
          <w:color w:val="64748B"/>
          <w:sz w:val="18"/>
        </w:rPr>
        <w:t>图 11｜食安监管平台总览：标准化场景展示示例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2825371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-dish-man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53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PingFang SC" w:hAnsi="PingFang SC" w:eastAsia="PingFang SC"/>
          <w:color w:val="64748B"/>
          <w:sz w:val="18"/>
        </w:rPr>
        <w:t>图 12｜AI 菜品管理页面：前厅营养结算标准能力示例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206240" cy="6310574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kup-cabinet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63105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PingFang SC" w:hAnsi="PingFang SC" w:eastAsia="PingFang SC"/>
          <w:color w:val="64748B"/>
          <w:sz w:val="18"/>
        </w:rPr>
        <w:t>图 13｜智能取餐柜使用流程：交付材料可复用样式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079366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-checkout-flow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93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PingFang SC" w:hAnsi="PingFang SC" w:eastAsia="PingFang SC"/>
          <w:color w:val="64748B"/>
          <w:sz w:val="18"/>
        </w:rPr>
        <w:t>图 14｜AI 智能识别结算台运营主流程</w:t>
      </w:r>
    </w:p>
    <w:p>
      <w:pPr>
        <w:pStyle w:val="Heading1"/>
      </w:pPr>
      <w:r>
        <w:t>六、AI 赋能：来说话、干事、沉淀资产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3186176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ai-enablement-loop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1861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PingFang SC" w:hAnsi="PingFang SC" w:eastAsia="PingFang SC"/>
          <w:color w:val="64748B"/>
          <w:sz w:val="18"/>
        </w:rPr>
        <w:t>图 3｜AI 赋能：来说话、干事、沉淀资产</w:t>
      </w:r>
    </w:p>
    <w:p>
      <w:pPr>
        <w:spacing w:after="80"/>
        <w:ind w:left="317" w:hanging="230"/>
      </w:pPr>
      <w:r>
        <w:rPr>
          <w:rFonts w:ascii="PingFang SC" w:hAnsi="PingFang SC" w:eastAsia="PingFang SC"/>
          <w:b/>
          <w:color w:val="1F4E79"/>
          <w:sz w:val="22"/>
        </w:rPr>
        <w:t xml:space="preserve">• </w:t>
      </w:r>
      <w:r>
        <w:rPr>
          <w:rFonts w:ascii="PingFang SC" w:hAnsi="PingFang SC" w:eastAsia="PingFang SC"/>
          <w:color w:val="1F2937"/>
          <w:sz w:val="22"/>
        </w:rPr>
        <w:t>AI 来说话：会议纪要、PRD、字段说明、演示脚本、操作视频字幕、周报、FAQ 和用户培训材料。</w:t>
      </w:r>
    </w:p>
    <w:p>
      <w:pPr>
        <w:spacing w:after="80"/>
        <w:ind w:left="317" w:hanging="230"/>
      </w:pPr>
      <w:r>
        <w:rPr>
          <w:rFonts w:ascii="PingFang SC" w:hAnsi="PingFang SC" w:eastAsia="PingFang SC"/>
          <w:b/>
          <w:color w:val="1F4E79"/>
          <w:sz w:val="22"/>
        </w:rPr>
        <w:t xml:space="preserve">• </w:t>
      </w:r>
      <w:r>
        <w:rPr>
          <w:rFonts w:ascii="PingFang SC" w:hAnsi="PingFang SC" w:eastAsia="PingFang SC"/>
          <w:color w:val="1F2937"/>
          <w:sz w:val="22"/>
        </w:rPr>
        <w:t>AI 来干事：需求拆模块、云效任务草稿、测试用例生成、Playwright 执行、HTML 报告、截图视频和手册草稿。</w:t>
      </w:r>
    </w:p>
    <w:p>
      <w:pPr>
        <w:spacing w:after="80"/>
        <w:ind w:left="317" w:hanging="230"/>
      </w:pPr>
      <w:r>
        <w:rPr>
          <w:rFonts w:ascii="PingFang SC" w:hAnsi="PingFang SC" w:eastAsia="PingFang SC"/>
          <w:b/>
          <w:color w:val="1F4E79"/>
          <w:sz w:val="22"/>
        </w:rPr>
        <w:t xml:space="preserve">• </w:t>
      </w:r>
      <w:r>
        <w:rPr>
          <w:rFonts w:ascii="PingFang SC" w:hAnsi="PingFang SC" w:eastAsia="PingFang SC"/>
          <w:color w:val="1F2937"/>
          <w:sz w:val="22"/>
        </w:rPr>
        <w:t>AI 沉淀资产：业务流程做完不能结束，要转成手册、视频、FAQ、自动化脚本和售后知识库。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29200" cy="3156022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-nutrition-dev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1560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PingFang SC" w:hAnsi="PingFang SC" w:eastAsia="PingFang SC"/>
          <w:color w:val="64748B"/>
          <w:sz w:val="18"/>
        </w:rPr>
        <w:t>图 15｜AI 运动营养师小程序开发与联调证据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91840" cy="6876078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-nutrition-sources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68760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PingFang SC" w:hAnsi="PingFang SC" w:eastAsia="PingFang SC"/>
          <w:color w:val="64748B"/>
          <w:sz w:val="18"/>
        </w:rPr>
        <w:t>图 16｜AI 运动营养师：参考来源与延伸阅读界面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120640" cy="4229017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-network-triag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42290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PingFang SC" w:hAnsi="PingFang SC" w:eastAsia="PingFang SC"/>
          <w:color w:val="64748B"/>
          <w:sz w:val="18"/>
        </w:rPr>
        <w:t>图 17｜AI 辅助问题排查：网络/设备问题分析示例</w:t>
      </w:r>
    </w:p>
    <w:p>
      <w:pPr>
        <w:pStyle w:val="Heading1"/>
      </w:pPr>
      <w:r>
        <w:t>七、一次性业务流程：沉淀为四类以上资产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341376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next-week-roadmap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4137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PingFang SC" w:hAnsi="PingFang SC" w:eastAsia="PingFang SC"/>
          <w:color w:val="64748B"/>
          <w:sz w:val="18"/>
        </w:rPr>
        <w:t>图 5｜一次性业务流程转可复用资产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360"/>
            <w:shd w:fill="ecfdf5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</w:tcPr>
          <w:p>
            <w:pPr>
              <w:spacing w:before="100" w:after="100"/>
            </w:pPr>
            <w:r>
              <w:rPr>
                <w:rFonts w:ascii="PingFang SC" w:hAnsi="PingFang SC" w:eastAsia="PingFang SC"/>
                <w:b/>
                <w:color w:val="0F766E"/>
                <w:sz w:val="23"/>
              </w:rPr>
              <w:t>示例流程：新增人员 -&gt; 发卡 -&gt; 挂失 -&gt; 冻结 -&gt; 退卡 -&gt; 补卡。后续要证明“一次业务流程”能同步产出测试用例、自动化脚本、操作视频和用户手册。</w:t>
            </w:r>
          </w:p>
        </w:tc>
      </w:tr>
    </w:tbl>
    <w:p/>
    <w:p>
      <w:pPr>
        <w:pStyle w:val="Heading2"/>
      </w:pPr>
      <w:r>
        <w:t>一次业务流程可沉淀资产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2880"/>
            <w:shd w:fill="0f2437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</w:tcPr>
          <w:p>
            <w:r>
              <w:rPr>
                <w:rFonts w:ascii="PingFang SC" w:hAnsi="PingFang SC" w:eastAsia="PingFang SC"/>
                <w:b/>
                <w:color w:val="FFFFFF"/>
                <w:sz w:val="18"/>
              </w:rPr>
              <w:t>资产</w:t>
            </w:r>
          </w:p>
        </w:tc>
        <w:tc>
          <w:tcPr>
            <w:tcW w:type="dxa" w:w="6192"/>
            <w:shd w:fill="0f2437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</w:tcPr>
          <w:p>
            <w:r>
              <w:rPr>
                <w:rFonts w:ascii="PingFang SC" w:hAnsi="PingFang SC" w:eastAsia="PingFang SC"/>
                <w:b/>
                <w:color w:val="FFFFFF"/>
                <w:sz w:val="18"/>
              </w:rPr>
              <w:t>来源</w:t>
            </w:r>
          </w:p>
        </w:tc>
      </w:tr>
      <w:tr>
        <w:tc>
          <w:tcPr>
            <w:tcW w:type="dxa" w:w="288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shd w:fill="f2f4f7"/>
            <w:vAlign w:val="center"/>
          </w:tcPr>
          <w:p>
            <w:r>
              <w:rPr>
                <w:rFonts w:ascii="PingFang SC" w:hAnsi="PingFang SC" w:eastAsia="PingFang SC"/>
                <w:b/>
                <w:color w:val="0F2437"/>
                <w:sz w:val="17"/>
              </w:rPr>
              <w:t>标准操作流程 SOP</w:t>
            </w:r>
          </w:p>
        </w:tc>
        <w:tc>
          <w:tcPr>
            <w:tcW w:type="dxa" w:w="6192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业务操作路径</w:t>
            </w:r>
          </w:p>
        </w:tc>
      </w:tr>
      <w:tr>
        <w:tc>
          <w:tcPr>
            <w:tcW w:type="dxa" w:w="288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shd w:fill="f2f4f7"/>
            <w:vAlign w:val="center"/>
          </w:tcPr>
          <w:p>
            <w:r>
              <w:rPr>
                <w:rFonts w:ascii="PingFang SC" w:hAnsi="PingFang SC" w:eastAsia="PingFang SC"/>
                <w:b/>
                <w:color w:val="0F2437"/>
                <w:sz w:val="17"/>
              </w:rPr>
              <w:t>测试用例</w:t>
            </w:r>
          </w:p>
        </w:tc>
        <w:tc>
          <w:tcPr>
            <w:tcW w:type="dxa" w:w="6192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正常 / 异常操作</w:t>
            </w:r>
          </w:p>
        </w:tc>
      </w:tr>
      <w:tr>
        <w:tc>
          <w:tcPr>
            <w:tcW w:type="dxa" w:w="288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shd w:fill="f2f4f7"/>
            <w:vAlign w:val="center"/>
          </w:tcPr>
          <w:p>
            <w:r>
              <w:rPr>
                <w:rFonts w:ascii="PingFang SC" w:hAnsi="PingFang SC" w:eastAsia="PingFang SC"/>
                <w:b/>
                <w:color w:val="0F2437"/>
                <w:sz w:val="17"/>
              </w:rPr>
              <w:t>Playwright 自动化脚本</w:t>
            </w:r>
          </w:p>
        </w:tc>
        <w:tc>
          <w:tcPr>
            <w:tcW w:type="dxa" w:w="6192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页面点击过程与断言</w:t>
            </w:r>
          </w:p>
        </w:tc>
      </w:tr>
      <w:tr>
        <w:tc>
          <w:tcPr>
            <w:tcW w:type="dxa" w:w="288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shd w:fill="f2f4f7"/>
            <w:vAlign w:val="center"/>
          </w:tcPr>
          <w:p>
            <w:r>
              <w:rPr>
                <w:rFonts w:ascii="PingFang SC" w:hAnsi="PingFang SC" w:eastAsia="PingFang SC"/>
                <w:b/>
                <w:color w:val="0F2437"/>
                <w:sz w:val="17"/>
              </w:rPr>
              <w:t>HTML 测试报告</w:t>
            </w:r>
          </w:p>
        </w:tc>
        <w:tc>
          <w:tcPr>
            <w:tcW w:type="dxa" w:w="6192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执行结果、截图、失败分析</w:t>
            </w:r>
          </w:p>
        </w:tc>
      </w:tr>
      <w:tr>
        <w:tc>
          <w:tcPr>
            <w:tcW w:type="dxa" w:w="288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shd w:fill="f2f4f7"/>
            <w:vAlign w:val="center"/>
          </w:tcPr>
          <w:p>
            <w:r>
              <w:rPr>
                <w:rFonts w:ascii="PingFang SC" w:hAnsi="PingFang SC" w:eastAsia="PingFang SC"/>
                <w:b/>
                <w:color w:val="0F2437"/>
                <w:sz w:val="17"/>
              </w:rPr>
              <w:t>演示 / 培训视频</w:t>
            </w:r>
          </w:p>
        </w:tc>
        <w:tc>
          <w:tcPr>
            <w:tcW w:type="dxa" w:w="6192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操作录屏与讲解字幕</w:t>
            </w:r>
          </w:p>
        </w:tc>
      </w:tr>
      <w:tr>
        <w:tc>
          <w:tcPr>
            <w:tcW w:type="dxa" w:w="288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shd w:fill="f2f4f7"/>
            <w:vAlign w:val="center"/>
          </w:tcPr>
          <w:p>
            <w:r>
              <w:rPr>
                <w:rFonts w:ascii="PingFang SC" w:hAnsi="PingFang SC" w:eastAsia="PingFang SC"/>
                <w:b/>
                <w:color w:val="0F2437"/>
                <w:sz w:val="17"/>
              </w:rPr>
              <w:t>用户手册</w:t>
            </w:r>
          </w:p>
        </w:tc>
        <w:tc>
          <w:tcPr>
            <w:tcW w:type="dxa" w:w="6192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关键步骤说明</w:t>
            </w:r>
          </w:p>
        </w:tc>
      </w:tr>
      <w:tr>
        <w:tc>
          <w:tcPr>
            <w:tcW w:type="dxa" w:w="2880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shd w:fill="f2f4f7"/>
            <w:vAlign w:val="center"/>
          </w:tcPr>
          <w:p>
            <w:r>
              <w:rPr>
                <w:rFonts w:ascii="PingFang SC" w:hAnsi="PingFang SC" w:eastAsia="PingFang SC"/>
                <w:b/>
                <w:color w:val="0F2437"/>
                <w:sz w:val="17"/>
              </w:rPr>
              <w:t>FAQ / 售后知识库</w:t>
            </w:r>
          </w:p>
        </w:tc>
        <w:tc>
          <w:tcPr>
            <w:tcW w:type="dxa" w:w="6192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b w:val="0"/>
                <w:color w:val="334155"/>
                <w:sz w:val="17"/>
              </w:rPr>
              <w:t>问题与异常复盘</w:t>
            </w:r>
          </w:p>
        </w:tc>
      </w:tr>
    </w:tbl>
    <w:p/>
    <w:p>
      <w:pPr>
        <w:pStyle w:val="Heading1"/>
      </w:pPr>
      <w:r>
        <w:t>八、下周计划</w:t>
      </w:r>
    </w:p>
    <w:p>
      <w:pPr>
        <w:spacing w:after="80"/>
        <w:ind w:left="403" w:hanging="317"/>
      </w:pPr>
      <w:r>
        <w:rPr>
          <w:rFonts w:ascii="PingFang SC" w:hAnsi="PingFang SC" w:eastAsia="PingFang SC"/>
          <w:b/>
          <w:color w:val="1F4E79"/>
          <w:sz w:val="22"/>
        </w:rPr>
        <w:t xml:space="preserve">1. </w:t>
      </w:r>
      <w:r>
        <w:rPr>
          <w:rFonts w:ascii="PingFang SC" w:hAnsi="PingFang SC" w:eastAsia="PingFang SC"/>
          <w:color w:val="1F2937"/>
          <w:sz w:val="22"/>
        </w:rPr>
        <w:t>输出 6 月产品规划表：按周拆分国信样板、教委端 PC、硬件矩阵、Playwright 自动化测试和 AI 手册/视频能力。</w:t>
      </w:r>
    </w:p>
    <w:p>
      <w:pPr>
        <w:spacing w:after="80"/>
        <w:ind w:left="403" w:hanging="317"/>
      </w:pPr>
      <w:r>
        <w:rPr>
          <w:rFonts w:ascii="PingFang SC" w:hAnsi="PingFang SC" w:eastAsia="PingFang SC"/>
          <w:b/>
          <w:color w:val="1F4E79"/>
          <w:sz w:val="22"/>
        </w:rPr>
        <w:t xml:space="preserve">2. </w:t>
      </w:r>
      <w:r>
        <w:rPr>
          <w:rFonts w:ascii="PingFang SC" w:hAnsi="PingFang SC" w:eastAsia="PingFang SC"/>
          <w:color w:val="1F2937"/>
          <w:sz w:val="22"/>
        </w:rPr>
        <w:t>输出项目 SOP 阶段表：将重点项目归入售前、交付、售后及客户确认、开发、上线、验收、复盘等阶段。</w:t>
      </w:r>
    </w:p>
    <w:p>
      <w:pPr>
        <w:spacing w:after="80"/>
        <w:ind w:left="403" w:hanging="317"/>
      </w:pPr>
      <w:r>
        <w:rPr>
          <w:rFonts w:ascii="PingFang SC" w:hAnsi="PingFang SC" w:eastAsia="PingFang SC"/>
          <w:b/>
          <w:color w:val="1F4E79"/>
          <w:sz w:val="22"/>
        </w:rPr>
        <w:t xml:space="preserve">3. </w:t>
      </w:r>
      <w:r>
        <w:rPr>
          <w:rFonts w:ascii="PingFang SC" w:hAnsi="PingFang SC" w:eastAsia="PingFang SC"/>
          <w:color w:val="1F2937"/>
          <w:sz w:val="22"/>
        </w:rPr>
        <w:t>选择一个高频业务流程打样：以“新增人员 -&gt; 发卡 -&gt; 挂失 -&gt; 冻结 -&gt; 退卡 -&gt; 补卡”为例，产出测试用例、自动化脚本、操作视频和用户手册。</w:t>
      </w:r>
    </w:p>
    <w:p>
      <w:pPr>
        <w:spacing w:after="80"/>
        <w:ind w:left="403" w:hanging="317"/>
      </w:pPr>
      <w:r>
        <w:rPr>
          <w:rFonts w:ascii="PingFang SC" w:hAnsi="PingFang SC" w:eastAsia="PingFang SC"/>
          <w:b/>
          <w:color w:val="1F4E79"/>
          <w:sz w:val="22"/>
        </w:rPr>
        <w:t xml:space="preserve">4. </w:t>
      </w:r>
      <w:r>
        <w:rPr>
          <w:rFonts w:ascii="PingFang SC" w:hAnsi="PingFang SC" w:eastAsia="PingFang SC"/>
          <w:color w:val="1F2937"/>
          <w:sz w:val="22"/>
        </w:rPr>
        <w:t>推进 Playwright 能力产品化：中文 HTML 报告、失败分析、异常截图/视频、定时跑测，并接入 AI 协作项目。</w:t>
      </w:r>
    </w:p>
    <w:p>
      <w:pPr>
        <w:spacing w:after="80"/>
        <w:ind w:left="403" w:hanging="317"/>
      </w:pPr>
      <w:r>
        <w:rPr>
          <w:rFonts w:ascii="PingFang SC" w:hAnsi="PingFang SC" w:eastAsia="PingFang SC"/>
          <w:b/>
          <w:color w:val="1F4E79"/>
          <w:sz w:val="22"/>
        </w:rPr>
        <w:t xml:space="preserve">5. </w:t>
      </w:r>
      <w:r>
        <w:rPr>
          <w:rFonts w:ascii="PingFang SC" w:hAnsi="PingFang SC" w:eastAsia="PingFang SC"/>
          <w:color w:val="1F2937"/>
          <w:sz w:val="22"/>
        </w:rPr>
        <w:t>将会议纪要、产品资料、项目图文和操作视频统一归档，让 AI Agent 后续能基于资料理解需求、提云效任务、生成测试和发布前检查。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8143933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eting-p3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39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PingFang SC" w:hAnsi="PingFang SC" w:eastAsia="PingFang SC"/>
          <w:color w:val="64748B"/>
          <w:sz w:val="18"/>
        </w:rPr>
        <w:t>图 7｜会议纪要分析：产品标准化与 AI 赋能双轮驱动、SOP 化表达</w:t>
      </w:r>
    </w:p>
    <w:p>
      <w:pPr>
        <w:pStyle w:val="Heading1"/>
      </w:pPr>
      <w:r>
        <w:t>九、图像证据附录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360"/>
            <w:shd w:fill="f8fafc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</w:tcPr>
          <w:p>
            <w:pPr>
              <w:spacing w:before="100" w:after="100"/>
            </w:pPr>
            <w:r>
              <w:rPr>
                <w:rFonts w:ascii="PingFang SC" w:hAnsi="PingFang SC" w:eastAsia="PingFang SC"/>
                <w:b/>
                <w:color w:val="0F2437"/>
                <w:sz w:val="23"/>
              </w:rPr>
              <w:t>以下为本次 Excel 内嵌图片素材总览。Word 正文只选取了与本周主线强相关的图片；其余素材仍保留在材料包中，后续可继续做成 PPT、HTML 或产品资料库。</w:t>
            </w:r>
          </w:p>
        </w:tc>
      </w:tr>
    </w:tbl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15384849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urce-gallery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153848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PingFang SC" w:hAnsi="PingFang SC" w:eastAsia="PingFang SC"/>
          <w:color w:val="64748B"/>
          <w:sz w:val="18"/>
        </w:rPr>
        <w:t>图 18｜本次 Excel 原始图片素材总览（47 张）</w:t>
      </w:r>
    </w:p>
    <w:p>
      <w:pPr>
        <w:pStyle w:val="Heading1"/>
      </w:pPr>
      <w:r>
        <w:t>来源与证据边界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1944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  <w:shd w:fill="f2f4f7"/>
          </w:tcPr>
          <w:p>
            <w:r>
              <w:rPr>
                <w:rFonts w:ascii="PingFang SC" w:hAnsi="PingFang SC" w:eastAsia="PingFang SC"/>
                <w:b/>
                <w:color w:val="0F2437"/>
                <w:sz w:val="21"/>
              </w:rPr>
              <w:t>S1</w:t>
            </w:r>
          </w:p>
        </w:tc>
        <w:tc>
          <w:tcPr>
            <w:tcW w:type="dxa" w:w="7128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color w:val="334155"/>
                <w:sz w:val="21"/>
              </w:rPr>
              <w:t>周报0605.xlsx：本周周报总表与嵌入图片，B 级内部证据。</w:t>
            </w:r>
          </w:p>
        </w:tc>
      </w:tr>
      <w:tr>
        <w:tc>
          <w:tcPr>
            <w:tcW w:type="dxa" w:w="1944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  <w:shd w:fill="f2f4f7"/>
          </w:tcPr>
          <w:p>
            <w:r>
              <w:rPr>
                <w:rFonts w:ascii="PingFang SC" w:hAnsi="PingFang SC" w:eastAsia="PingFang SC"/>
                <w:b/>
                <w:color w:val="0F2437"/>
                <w:sz w:val="21"/>
              </w:rPr>
              <w:t>S2</w:t>
            </w:r>
          </w:p>
        </w:tc>
        <w:tc>
          <w:tcPr>
            <w:tcW w:type="dxa" w:w="7128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color w:val="334155"/>
                <w:sz w:val="21"/>
              </w:rPr>
              <w:t>纪要_产品标准化与AI赋能周会纪要.pdf：周会纪要、待办和会议分析，B 级内部证据。</w:t>
            </w:r>
          </w:p>
        </w:tc>
      </w:tr>
      <w:tr>
        <w:tc>
          <w:tcPr>
            <w:tcW w:type="dxa" w:w="1944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  <w:shd w:fill="f2f4f7"/>
          </w:tcPr>
          <w:p>
            <w:r>
              <w:rPr>
                <w:rFonts w:ascii="PingFang SC" w:hAnsi="PingFang SC" w:eastAsia="PingFang SC"/>
                <w:b/>
                <w:color w:val="0F2437"/>
                <w:sz w:val="21"/>
              </w:rPr>
              <w:t>U1</w:t>
            </w:r>
          </w:p>
        </w:tc>
        <w:tc>
          <w:tcPr>
            <w:tcW w:type="dxa" w:w="7128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color w:val="334155"/>
                <w:sz w:val="21"/>
              </w:rPr>
              <w:t>Jack 当前线程教学：周报底层逻辑为五层分解、SOP、产品规划、AI资产沉淀、Before/After。</w:t>
            </w:r>
          </w:p>
        </w:tc>
      </w:tr>
      <w:tr>
        <w:tc>
          <w:tcPr>
            <w:tcW w:type="dxa" w:w="1944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  <w:shd w:fill="f2f4f7"/>
          </w:tcPr>
          <w:p>
            <w:r>
              <w:rPr>
                <w:rFonts w:ascii="PingFang SC" w:hAnsi="PingFang SC" w:eastAsia="PingFang SC"/>
                <w:b/>
                <w:color w:val="0F2437"/>
                <w:sz w:val="21"/>
              </w:rPr>
              <w:t>G1</w:t>
            </w:r>
          </w:p>
        </w:tc>
        <w:tc>
          <w:tcPr>
            <w:tcW w:type="dxa" w:w="7128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color w:val="334155"/>
                <w:sz w:val="21"/>
              </w:rPr>
              <w:t>本报告中的经营看板图为基于 S1/S2/U1 的表达加工，D 级解释，不作为新增事实。</w:t>
            </w:r>
          </w:p>
        </w:tc>
      </w:tr>
      <w:tr>
        <w:tc>
          <w:tcPr>
            <w:tcW w:type="dxa" w:w="1944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  <w:shd w:fill="f2f4f7"/>
          </w:tcPr>
          <w:p>
            <w:r>
              <w:rPr>
                <w:rFonts w:ascii="PingFang SC" w:hAnsi="PingFang SC" w:eastAsia="PingFang SC"/>
                <w:b/>
                <w:color w:val="0F2437"/>
                <w:sz w:val="21"/>
              </w:rPr>
              <w:t>限制</w:t>
            </w:r>
          </w:p>
        </w:tc>
        <w:tc>
          <w:tcPr>
            <w:tcW w:type="dxa" w:w="7128"/>
            <w:tcBorders>
              <w:top w:val="single" w:sz="4" w:space="0" w:color="dbe4ef"/>
              <w:left w:val="single" w:sz="4" w:space="0" w:color="dbe4ef"/>
              <w:bottom w:val="single" w:sz="4" w:space="0" w:color="dbe4ef"/>
              <w:right w:val="single" w:sz="4" w:space="0" w:color="dbe4ef"/>
            </w:tcBorders>
            <w:vAlign w:val="center"/>
          </w:tcPr>
          <w:p>
            <w:r>
              <w:rPr>
                <w:rFonts w:ascii="PingFang SC" w:hAnsi="PingFang SC" w:eastAsia="PingFang SC"/>
                <w:color w:val="334155"/>
                <w:sz w:val="21"/>
              </w:rPr>
              <w:t>未验证收入、毛利、回款、验收、客户满意度等数据，因此不写成已完成经营结果。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PingFang SC" w:hAnsi="PingFang SC" w:eastAsia="PingFang SC"/>
        <w:color w:val="64748B"/>
        <w:sz w:val="18"/>
      </w:rPr>
      <w:t>内部汇报初稿 | 来源：周报 Excel + 周会纪要 + 周报底层逻辑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PingFang SC" w:hAnsi="PingFang SC" w:eastAsia="PingFang SC"/>
        <w:color w:val="64748B"/>
        <w:sz w:val="18"/>
      </w:rPr>
      <w:t>数字技术中心-产品开发部 | 产品标准化与 AI 赋能周报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PingFang SC" w:hAnsi="PingFang SC" w:eastAsia="PingFang SC"/>
      <w:b w:val="0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160" w:line="240" w:lineRule="auto"/>
      <w:outlineLvl w:val="0"/>
    </w:pPr>
    <w:rPr>
      <w:rFonts w:asciiTheme="majorHAnsi" w:eastAsiaTheme="majorEastAsia" w:hAnsiTheme="majorHAnsi" w:cstheme="majorBidi" w:ascii="PingFang SC" w:hAnsi="PingFang SC" w:eastAsia="PingFang SC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60" w:line="240" w:lineRule="auto"/>
      <w:outlineLvl w:val="1"/>
    </w:pPr>
    <w:rPr>
      <w:rFonts w:asciiTheme="majorHAnsi" w:eastAsiaTheme="majorEastAsia" w:hAnsiTheme="majorHAnsi" w:cstheme="majorBidi" w:ascii="PingFang SC" w:hAnsi="PingFang SC" w:eastAsia="PingFang SC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60" w:line="240" w:lineRule="auto"/>
      <w:outlineLvl w:val="2"/>
    </w:pPr>
    <w:rPr>
      <w:rFonts w:asciiTheme="majorHAnsi" w:eastAsiaTheme="majorEastAsia" w:hAnsiTheme="majorHAnsi" w:cstheme="majorBidi" w:ascii="PingFang SC" w:hAnsi="PingFang SC" w:eastAsia="PingFang SC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after="160"/>
    </w:pPr>
    <w:rPr>
      <w:rFonts w:ascii="PingFang SC" w:hAnsi="PingFang SC" w:eastAsia="PingFang SC"/>
      <w:b w:val="0"/>
      <w:bCs/>
      <w:color w:val="64748B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png"/><Relationship Id="rId16" Type="http://schemas.openxmlformats.org/officeDocument/2006/relationships/image" Target="media/image6.jpg"/><Relationship Id="rId17" Type="http://schemas.openxmlformats.org/officeDocument/2006/relationships/image" Target="media/image7.jpg"/><Relationship Id="rId18" Type="http://schemas.openxmlformats.org/officeDocument/2006/relationships/image" Target="media/image8.jpg"/><Relationship Id="rId19" Type="http://schemas.openxmlformats.org/officeDocument/2006/relationships/image" Target="media/image9.jpg"/><Relationship Id="rId20" Type="http://schemas.openxmlformats.org/officeDocument/2006/relationships/image" Target="media/image10.jpg"/><Relationship Id="rId21" Type="http://schemas.openxmlformats.org/officeDocument/2006/relationships/image" Target="media/image11.jpg"/><Relationship Id="rId22" Type="http://schemas.openxmlformats.org/officeDocument/2006/relationships/image" Target="media/image12.png"/><Relationship Id="rId23" Type="http://schemas.openxmlformats.org/officeDocument/2006/relationships/image" Target="media/image13.jpg"/><Relationship Id="rId24" Type="http://schemas.openxmlformats.org/officeDocument/2006/relationships/image" Target="media/image14.jpg"/><Relationship Id="rId25" Type="http://schemas.openxmlformats.org/officeDocument/2006/relationships/image" Target="media/image15.jpg"/><Relationship Id="rId26" Type="http://schemas.openxmlformats.org/officeDocument/2006/relationships/image" Target="media/image16.png"/><Relationship Id="rId27" Type="http://schemas.openxmlformats.org/officeDocument/2006/relationships/image" Target="media/image17.jpg"/><Relationship Id="rId28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