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400" w:after="80"/>
      </w:pPr>
      <w:r>
        <w:rPr>
          <w:rFonts w:ascii="PingFang SC" w:hAnsi="PingFang SC" w:eastAsia="PingFang SC"/>
          <w:b/>
          <w:color w:val="0F2437"/>
          <w:sz w:val="52"/>
        </w:rPr>
        <w:t>产品标准化与 AI 赋能项目周报</w:t>
      </w:r>
    </w:p>
    <w:p>
      <w:pPr>
        <w:spacing w:after="280"/>
      </w:pPr>
      <w:r>
        <w:rPr>
          <w:rFonts w:ascii="PingFang SC" w:hAnsi="PingFang SC" w:eastAsia="PingFang SC"/>
          <w:color w:val="64748B"/>
          <w:sz w:val="26"/>
        </w:rPr>
        <w:t>数字技术中心-产品开发部 | 2026.06.01-06.07 | 图文版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360"/>
            <w:shd w:fill="eaf3ff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pPr>
              <w:spacing w:before="100" w:after="100"/>
            </w:pPr>
            <w:r>
              <w:rPr>
                <w:rFonts w:ascii="PingFang SC" w:hAnsi="PingFang SC" w:eastAsia="PingFang SC"/>
                <w:b/>
                <w:color w:val="1F4E79"/>
                <w:sz w:val="23"/>
              </w:rPr>
              <w:t>本周不按“做了很多事”汇报，而按“产品规划 + 项目 SOP + AI 赋能 + 标准化沉淀 + Before/After 价值”汇报：把零散事项分层讲清、按周落地、转成可复用资产。</w:t>
            </w:r>
          </w:p>
        </w:tc>
      </w:tr>
    </w:tbl>
    <w:p/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680"/>
        <w:gridCol w:w="4680"/>
      </w:tblGrid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汇报对象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经营层 / 数字技术中心 / 产品开发部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报告类型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领导可读周报：五层分解 + SOP 阶段 + 产品规划 + Before/After + 图像证据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来源材料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周报0605.xlsx；纪要_产品标准化与AI赋能周会纪要.pdf；Jack 周报底层逻辑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证据边界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内部周报与会议纪要为 B 级证据；用户教学为 U；经营判断为 D 级解释，不新增财务或验收数据</w:t>
            </w:r>
          </w:p>
        </w:tc>
      </w:tr>
    </w:tbl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3251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-executive-summar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5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1｜周报新口径：从做事到做体系</w:t>
      </w:r>
    </w:p>
    <w:p>
      <w:pPr>
        <w:pStyle w:val="Heading1"/>
      </w:pPr>
      <w:r>
        <w:t>一、周报新口径：从做事到做体系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先分层，再讲事：把本周事项归入产品层、项目层、AI 层、沉淀层和价值层。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先讲阶段，再讲动作：项目不写“推进中”，要写清 SOP 阶段、本周产物、下周交付和复用价值。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先讲结果，再讲价值：AI、自动化、产品能力都用 Before / After 说明效率、质量、表达和交付变化。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一次性业务不应只完成一次交付，而要沉淀成 SOP、测试用例、自动化脚本、操作视频、用户手册和 FAQ。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360"/>
            <w:shd w:fill="eaf3ff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pPr>
              <w:spacing w:before="100" w:after="100"/>
            </w:pPr>
            <w:r>
              <w:rPr>
                <w:rFonts w:ascii="PingFang SC" w:hAnsi="PingFang SC" w:eastAsia="PingFang SC"/>
                <w:b/>
                <w:color w:val="1F4E79"/>
                <w:sz w:val="23"/>
              </w:rPr>
              <w:t>本周汇报的重点不是“我做了很多事”，而是“我如何把事情分层讲清楚、按 SOP 管起来、按产品规划落下去，再用 AI 把一次性业务沉淀成可复用资产”。</w:t>
            </w:r>
          </w:p>
        </w:tc>
      </w:tr>
    </w:tbl>
    <w:p/>
    <w:p>
      <w:pPr>
        <w:pStyle w:val="Heading2"/>
      </w:pPr>
      <w:r>
        <w:t>五层分解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3120"/>
        <w:gridCol w:w="3120"/>
        <w:gridCol w:w="3120"/>
      </w:tblGrid>
      <w:tr>
        <w:tc>
          <w:tcPr>
            <w:tcW w:type="dxa" w:w="1440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层级</w:t>
            </w:r>
          </w:p>
        </w:tc>
        <w:tc>
          <w:tcPr>
            <w:tcW w:type="dxa" w:w="2880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要回答的问题</w:t>
            </w:r>
          </w:p>
        </w:tc>
        <w:tc>
          <w:tcPr>
            <w:tcW w:type="dxa" w:w="4752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本周落点</w:t>
            </w:r>
          </w:p>
        </w:tc>
      </w:tr>
      <w:tr>
        <w:tc>
          <w:tcPr>
            <w:tcW w:type="dxa" w:w="14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产品层</w:t>
            </w:r>
          </w:p>
        </w:tc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这个能力属于哪个产品 / 模块？</w:t>
            </w:r>
          </w:p>
        </w:tc>
        <w:tc>
          <w:tcPr>
            <w:tcW w:type="dxa" w:w="475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国信样板、教委端 PC、硬件矩阵、Playwright 测试、AI 手册视频</w:t>
            </w:r>
          </w:p>
        </w:tc>
      </w:tr>
      <w:tr>
        <w:tc>
          <w:tcPr>
            <w:tcW w:type="dxa" w:w="14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项目层</w:t>
            </w:r>
          </w:p>
        </w:tc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当前项目处于什么 SOP 阶段？</w:t>
            </w:r>
          </w:p>
        </w:tc>
        <w:tc>
          <w:tcPr>
            <w:tcW w:type="dxa" w:w="475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客户确认、开发准备、部署上线、验收收口、售后复盘</w:t>
            </w:r>
          </w:p>
        </w:tc>
      </w:tr>
      <w:tr>
        <w:tc>
          <w:tcPr>
            <w:tcW w:type="dxa" w:w="14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AI 层</w:t>
            </w:r>
          </w:p>
        </w:tc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AI 在里面做了什么？</w:t>
            </w:r>
          </w:p>
        </w:tc>
        <w:tc>
          <w:tcPr>
            <w:tcW w:type="dxa" w:w="475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需求拆解、PRD、测试用例、自动化测试、HTML 报告、视频字幕、用户手册</w:t>
            </w:r>
          </w:p>
        </w:tc>
      </w:tr>
      <w:tr>
        <w:tc>
          <w:tcPr>
            <w:tcW w:type="dxa" w:w="14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沉淀层</w:t>
            </w:r>
          </w:p>
        </w:tc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能不能复用？</w:t>
            </w:r>
          </w:p>
        </w:tc>
        <w:tc>
          <w:tcPr>
            <w:tcW w:type="dxa" w:w="475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标准能力、测试脚本、操作视频、FAQ、售后知识库、交付检查清单</w:t>
            </w:r>
          </w:p>
        </w:tc>
      </w:tr>
      <w:tr>
        <w:tc>
          <w:tcPr>
            <w:tcW w:type="dxa" w:w="14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价值层</w:t>
            </w:r>
          </w:p>
        </w:tc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Before / After 变化是什么？</w:t>
            </w:r>
          </w:p>
        </w:tc>
        <w:tc>
          <w:tcPr>
            <w:tcW w:type="dxa" w:w="475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事项更聚焦、阶段更清楚、资料可复用、交付成本可下降</w:t>
            </w:r>
          </w:p>
        </w:tc>
      </w:tr>
    </w:tbl>
    <w:p/>
    <w:p>
      <w:pPr>
        <w:pStyle w:val="Heading1"/>
      </w:pPr>
      <w:r>
        <w:t>二、SOP + 产品规划：把项目状态讲清楚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35763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-project-boar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576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2｜SOP + 产品规划表：把项目状态讲清楚</w:t>
      </w:r>
    </w:p>
    <w:p>
      <w:pPr>
        <w:pStyle w:val="Heading2"/>
      </w:pPr>
      <w:r>
        <w:t>SOP + 产品规划表（周报主骨架）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1872"/>
        <w:gridCol w:w="1872"/>
        <w:gridCol w:w="1872"/>
        <w:gridCol w:w="1872"/>
        <w:gridCol w:w="1872"/>
      </w:tblGrid>
      <w:tr>
        <w:tc>
          <w:tcPr>
            <w:tcW w:type="dxa" w:w="1368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事项</w:t>
            </w:r>
          </w:p>
        </w:tc>
        <w:tc>
          <w:tcPr>
            <w:tcW w:type="dxa" w:w="1656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当前阶段</w:t>
            </w:r>
          </w:p>
        </w:tc>
        <w:tc>
          <w:tcPr>
            <w:tcW w:type="dxa" w:w="2232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本周产物</w:t>
            </w:r>
          </w:p>
        </w:tc>
        <w:tc>
          <w:tcPr>
            <w:tcW w:type="dxa" w:w="2088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下周交付</w:t>
            </w:r>
          </w:p>
        </w:tc>
        <w:tc>
          <w:tcPr>
            <w:tcW w:type="dxa" w:w="1800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沉淀价值</w:t>
            </w:r>
          </w:p>
        </w:tc>
      </w:tr>
      <w:tr>
        <w:tc>
          <w:tcPr>
            <w:tcW w:type="dxa" w:w="136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江苏国信</w:t>
            </w:r>
          </w:p>
        </w:tc>
        <w:tc>
          <w:tcPr>
            <w:tcW w:type="dxa" w:w="1656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交付阶段：客户确认 / 开发准备</w:t>
            </w:r>
          </w:p>
        </w:tc>
        <w:tc>
          <w:tcPr>
            <w:tcW w:type="dxa" w:w="22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H5 与 PC 原型迭代；报餐、订餐、招待权限、核销扣款链路</w:t>
            </w:r>
          </w:p>
        </w:tc>
        <w:tc>
          <w:tcPr>
            <w:tcW w:type="dxa" w:w="208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确认子部门、代报限制，进入可启动任务开发</w:t>
            </w:r>
          </w:p>
        </w:tc>
        <w:tc>
          <w:tcPr>
            <w:tcW w:type="dxa" w:w="180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机关/国企招待餐与预约就餐标准样板</w:t>
            </w:r>
          </w:p>
        </w:tc>
      </w:tr>
      <w:tr>
        <w:tc>
          <w:tcPr>
            <w:tcW w:type="dxa" w:w="136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教委/学校端</w:t>
            </w:r>
          </w:p>
        </w:tc>
        <w:tc>
          <w:tcPr>
            <w:tcW w:type="dxa" w:w="1656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产品阶段：PRD 拆解 / 排期</w:t>
            </w:r>
          </w:p>
        </w:tc>
        <w:tc>
          <w:tcPr>
            <w:tcW w:type="dxa" w:w="22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PC 端八板块方向确认，准备补齐云效任务</w:t>
            </w:r>
          </w:p>
        </w:tc>
        <w:tc>
          <w:tcPr>
            <w:tcW w:type="dxa" w:w="208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与开发对齐估时、样式和上线计划</w:t>
            </w:r>
          </w:p>
        </w:tc>
        <w:tc>
          <w:tcPr>
            <w:tcW w:type="dxa" w:w="180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学校/教委监管标准产品包</w:t>
            </w:r>
          </w:p>
        </w:tc>
      </w:tr>
      <w:tr>
        <w:tc>
          <w:tcPr>
            <w:tcW w:type="dxa" w:w="136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硬件矩阵</w:t>
            </w:r>
          </w:p>
        </w:tc>
        <w:tc>
          <w:tcPr>
            <w:tcW w:type="dxa" w:w="1656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适配阶段：样机 / 协议 / 联调</w:t>
            </w:r>
          </w:p>
        </w:tc>
        <w:tc>
          <w:tcPr>
            <w:tcW w:type="dxa" w:w="22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德沃晨检、出入库称、称重台、AI 摄像头进入评估</w:t>
            </w:r>
          </w:p>
        </w:tc>
        <w:tc>
          <w:tcPr>
            <w:tcW w:type="dxa" w:w="208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验证门禁联动、稳定性和证据链</w:t>
            </w:r>
          </w:p>
        </w:tc>
        <w:tc>
          <w:tcPr>
            <w:tcW w:type="dxa" w:w="180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硬件白名单与交付前置检查项</w:t>
            </w:r>
          </w:p>
        </w:tc>
      </w:tr>
      <w:tr>
        <w:tc>
          <w:tcPr>
            <w:tcW w:type="dxa" w:w="136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Playwright 测试</w:t>
            </w:r>
          </w:p>
        </w:tc>
        <w:tc>
          <w:tcPr>
            <w:tcW w:type="dxa" w:w="1656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能力阶段：从 0 到 1 验证</w:t>
            </w:r>
          </w:p>
        </w:tc>
        <w:tc>
          <w:tcPr>
            <w:tcW w:type="dxa" w:w="22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自然语言用例、自动执行、HTML 报告方向明确</w:t>
            </w:r>
          </w:p>
        </w:tc>
        <w:tc>
          <w:tcPr>
            <w:tcW w:type="dxa" w:w="208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中文化报告、失败分析、截图/视频、定时跑测</w:t>
            </w:r>
          </w:p>
        </w:tc>
        <w:tc>
          <w:tcPr>
            <w:tcW w:type="dxa" w:w="180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发布前自动化质量门禁能力</w:t>
            </w:r>
          </w:p>
        </w:tc>
      </w:tr>
      <w:tr>
        <w:tc>
          <w:tcPr>
            <w:tcW w:type="dxa" w:w="136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AI 手册/视频</w:t>
            </w:r>
          </w:p>
        </w:tc>
        <w:tc>
          <w:tcPr>
            <w:tcW w:type="dxa" w:w="1656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资产阶段：流程转资产</w:t>
            </w:r>
          </w:p>
        </w:tc>
        <w:tc>
          <w:tcPr>
            <w:tcW w:type="dxa" w:w="22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业务流程转脚本、字幕、手册草稿方向明确</w:t>
            </w:r>
          </w:p>
        </w:tc>
        <w:tc>
          <w:tcPr>
            <w:tcW w:type="dxa" w:w="208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选取人员卡务等流程打通样例</w:t>
            </w:r>
          </w:p>
        </w:tc>
        <w:tc>
          <w:tcPr>
            <w:tcW w:type="dxa" w:w="180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一次业务生成测试用例、视频、手册和 FAQ</w:t>
            </w:r>
          </w:p>
        </w:tc>
      </w:tr>
    </w:tbl>
    <w:p/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产品规划：江苏国信 H5/PC 原型、教委端 PC 八板块、食安大屏、取餐柜、AI 结算台等材料，应进入产品规划表，形成按周可追踪的产品/模块产物。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项目 SOP：江苏国信适合定位为样板项目，当前重点是客户确认与开发准备；江西206、莱迪森、金斯瑞、山西焦煤、荣海小学等要按交付/上线/收口清单推进。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AI 赋能：Codex/ChatGPT 已支撑资料与原型整理，Playwright 自动化测试要从自然语言用例推进到中文报告、失败分析、截图/视频和定时跑测。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沉淀资产：业务流程、项目图文资料、演示视频和测试报告不只服务当次项目，应沉淀为标准 SOP、测试用例、操作视频、用户手册和 FAQ。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价值表达：领导指出当前汇报太碎、太散、缺 SOP 和规划；本周调整的关键是用 Before / After 把管理价值、交付价值和复用价值说清楚。</w:t>
      </w:r>
    </w:p>
    <w:p>
      <w:pPr>
        <w:pStyle w:val="Heading1"/>
      </w:pPr>
      <w:r>
        <w:t>三、关键判断：为什么这周不是普通项目周报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SOP 和产品规划表是本周汇报主骨架：SOP 回答项目在哪一步，产品规划表回答 6 月每周落什么产物，二者共同解决“太碎、太散、没有规划”的问题。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AI 的价值要从“辅助写内容”升级为“来说话、干事、沉淀资产”：会议纪要、PRD、演示脚本是说话；云效提需、自动化测试、报告和视频是干事；手册、脚本、FAQ 是资产。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项目成果必须能抽象为售前、交付、售后标准阶段。只有能被复用、被验证、被交付团队重复使用的能力，才能支撑产品标准化和经营效率提升。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360"/>
            <w:shd w:fill="fff7ed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pPr>
              <w:spacing w:before="100" w:after="100"/>
            </w:pPr>
            <w:r>
              <w:rPr>
                <w:rFonts w:ascii="PingFang SC" w:hAnsi="PingFang SC" w:eastAsia="PingFang SC"/>
                <w:b/>
                <w:color w:val="F97316"/>
                <w:sz w:val="23"/>
              </w:rPr>
              <w:t>建议对外/对上汇报时，把“项目很多、事情很多”改写成“标准产品包、项目 SOP、AI 自动化和交付资产正在形成”。</w:t>
            </w:r>
          </w:p>
        </w:tc>
      </w:tr>
    </w:tbl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814393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eting-p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9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6｜会议纪要首页：会议围绕产品标准化、AI 提效与项目交付展开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65874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eekly-matrix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874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8｜原始周报证据：标准产品能力版本矩阵与功能沉淀方向</w:t>
      </w:r>
    </w:p>
    <w:p>
      <w:pPr>
        <w:pStyle w:val="Heading1"/>
      </w:pPr>
      <w:r>
        <w:t>四、Before / After：用变化讲出价值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331622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-risk-contro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162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4｜Before / After：用变化讲出价值</w:t>
      </w:r>
    </w:p>
    <w:p>
      <w:pPr>
        <w:pStyle w:val="Heading2"/>
      </w:pPr>
      <w:r>
        <w:t>Before / After 表达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680"/>
        <w:gridCol w:w="4680"/>
      </w:tblGrid>
      <w:tr>
        <w:tc>
          <w:tcPr>
            <w:tcW w:type="dxa" w:w="4032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Before</w:t>
            </w:r>
          </w:p>
        </w:tc>
        <w:tc>
          <w:tcPr>
            <w:tcW w:type="dxa" w:w="5040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After</w:t>
            </w:r>
          </w:p>
        </w:tc>
      </w:tr>
      <w:tr>
        <w:tc>
          <w:tcPr>
            <w:tcW w:type="dxa" w:w="40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工作事项碎，领导听不出主线</w:t>
            </w:r>
          </w:p>
        </w:tc>
        <w:tc>
          <w:tcPr>
            <w:tcW w:type="dxa" w:w="50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按产品规划、项目 SOP、AI 赋能、沉淀价值分层表达</w:t>
            </w:r>
          </w:p>
        </w:tc>
      </w:tr>
      <w:tr>
        <w:tc>
          <w:tcPr>
            <w:tcW w:type="dxa" w:w="40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测试需要人手写用例、手动执行</w:t>
            </w:r>
          </w:p>
        </w:tc>
        <w:tc>
          <w:tcPr>
            <w:tcW w:type="dxa" w:w="50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自然语言生成测试用例，Playwright 自动执行并输出 HTML 报告</w:t>
            </w:r>
          </w:p>
        </w:tc>
      </w:tr>
      <w:tr>
        <w:tc>
          <w:tcPr>
            <w:tcW w:type="dxa" w:w="40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做完业务流程后就结束</w:t>
            </w:r>
          </w:p>
        </w:tc>
        <w:tc>
          <w:tcPr>
            <w:tcW w:type="dxa" w:w="50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一次业务流程沉淀成测试用例、自动化脚本、操作视频和用户手册</w:t>
            </w:r>
          </w:p>
        </w:tc>
      </w:tr>
      <w:tr>
        <w:tc>
          <w:tcPr>
            <w:tcW w:type="dxa" w:w="40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技术成果讲不清楚价值</w:t>
            </w:r>
          </w:p>
        </w:tc>
        <w:tc>
          <w:tcPr>
            <w:tcW w:type="dxa" w:w="50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用 Before / After 讲出效率提升、质量提升和可复用价值</w:t>
            </w:r>
          </w:p>
        </w:tc>
      </w:tr>
      <w:tr>
        <w:tc>
          <w:tcPr>
            <w:tcW w:type="dxa" w:w="403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只会干活，表达弱</w:t>
            </w:r>
          </w:p>
        </w:tc>
        <w:tc>
          <w:tcPr>
            <w:tcW w:type="dxa" w:w="504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讲清问题、过程、结果、价值，表达更清晰、更自信</w:t>
            </w:r>
          </w:p>
        </w:tc>
      </w:tr>
    </w:tbl>
    <w:p/>
    <w:p>
      <w:pPr>
        <w:pStyle w:val="Heading1"/>
      </w:pPr>
      <w:r>
        <w:t>五、产品标准化：把项目能力沉淀为可复制资产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江苏国信是本周最适合讲的样板：它把第三方小程序、报餐预约 H5、内网消费系统、安全策略和人脸/刷卡终端串成闭环。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学校/教委端不是单一页面优化，而是向食安监管、营养达标、采购验收、家长透明和监管驾驶舱沉淀标准场景。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智能取餐柜、AI 识别结算台、食安传感器等图文资料，可以进入售前讲解、交付培训和标准产品说明。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935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uoxin-architec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93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9｜国信/第三方小程序与报餐预约 H5 闭环部署图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10293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ood-safety-dashboar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29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10｜学校/教委场景：校园智慧食安驾驶舱示例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14221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ood-safety-platform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2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11｜食安监管平台总览：标准化场景展示示例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82537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dish-man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12｜AI 菜品管理页面：前厅营养结算标准能力示例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206240" cy="631057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kup-cabine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63105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13｜智能取餐柜使用流程：交付材料可复用样式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07936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checkout-flow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14｜AI 智能识别结算台运营主流程</w:t>
      </w:r>
    </w:p>
    <w:p>
      <w:pPr>
        <w:pStyle w:val="Heading1"/>
      </w:pPr>
      <w:r>
        <w:t>六、AI 赋能：来说话、干事、沉淀资产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318617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-ai-enablement-loop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86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3｜AI 赋能：来说话、干事、沉淀资产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AI 来说话：会议纪要、PRD、字段说明、演示脚本、操作视频字幕、周报、FAQ 和用户培训材料。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AI 来干事：需求拆模块、云效任务草稿、测试用例生成、Playwright 执行、HTML 报告、截图视频和手册草稿。</w:t>
      </w:r>
    </w:p>
    <w:p>
      <w:pPr>
        <w:spacing w:after="80"/>
        <w:ind w:left="317" w:hanging="230"/>
      </w:pPr>
      <w:r>
        <w:rPr>
          <w:rFonts w:ascii="PingFang SC" w:hAnsi="PingFang SC" w:eastAsia="PingFang SC"/>
          <w:b/>
          <w:color w:val="1F4E79"/>
          <w:sz w:val="22"/>
        </w:rPr>
        <w:t xml:space="preserve">• </w:t>
      </w:r>
      <w:r>
        <w:rPr>
          <w:rFonts w:ascii="PingFang SC" w:hAnsi="PingFang SC" w:eastAsia="PingFang SC"/>
          <w:color w:val="1F2937"/>
          <w:sz w:val="22"/>
        </w:rPr>
        <w:t>AI 沉淀资产：业务流程做完不能结束，要转成手册、视频、FAQ、自动化脚本和售后知识库。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15602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nutrition-dev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60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15｜AI 运动营养师小程序开发与联调证据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687607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nutrition-sources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68760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16｜AI 运动营养师：参考来源与延伸阅读界面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22901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network-triag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2290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17｜AI 辅助问题排查：网络/设备问题分析示例</w:t>
      </w:r>
    </w:p>
    <w:p>
      <w:pPr>
        <w:pStyle w:val="Heading1"/>
      </w:pPr>
      <w:r>
        <w:t>七、一次性业务流程：沉淀为四类以上资产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341376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-next-week-roadmap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5｜一次性业务流程转可复用资产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360"/>
            <w:shd w:fill="ecfdf5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pPr>
              <w:spacing w:before="100" w:after="100"/>
            </w:pPr>
            <w:r>
              <w:rPr>
                <w:rFonts w:ascii="PingFang SC" w:hAnsi="PingFang SC" w:eastAsia="PingFang SC"/>
                <w:b/>
                <w:color w:val="0F766E"/>
                <w:sz w:val="23"/>
              </w:rPr>
              <w:t>示例流程：新增人员 -&gt; 发卡 -&gt; 挂失 -&gt; 冻结 -&gt; 退卡 -&gt; 补卡。后续要证明“一次业务流程”能同步产出测试用例、自动化脚本、操作视频和用户手册。</w:t>
            </w:r>
          </w:p>
        </w:tc>
      </w:tr>
    </w:tbl>
    <w:p/>
    <w:p>
      <w:pPr>
        <w:pStyle w:val="Heading2"/>
      </w:pPr>
      <w:r>
        <w:t>一次业务流程可沉淀资产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680"/>
        <w:gridCol w:w="4680"/>
      </w:tblGrid>
      <w:tr>
        <w:tc>
          <w:tcPr>
            <w:tcW w:type="dxa" w:w="2880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资产</w:t>
            </w:r>
          </w:p>
        </w:tc>
        <w:tc>
          <w:tcPr>
            <w:tcW w:type="dxa" w:w="6192"/>
            <w:shd w:fill="0f2437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r>
              <w:rPr>
                <w:rFonts w:ascii="PingFang SC" w:hAnsi="PingFang SC" w:eastAsia="PingFang SC"/>
                <w:b/>
                <w:color w:val="FFFFFF"/>
                <w:sz w:val="18"/>
              </w:rPr>
              <w:t>来源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标准操作流程 SOP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业务操作路径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测试用例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正常 / 异常操作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Playwright 自动化脚本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页面点击过程与断言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HTML 测试报告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执行结果、截图、失败分析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演示 / 培训视频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操作录屏与讲解字幕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用户手册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关键步骤说明</w:t>
            </w:r>
          </w:p>
        </w:tc>
      </w:tr>
      <w:tr>
        <w:tc>
          <w:tcPr>
            <w:tcW w:type="dxa" w:w="2880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shd w:fill="f2f4f7"/>
            <w:vAlign w:val="center"/>
          </w:tcPr>
          <w:p>
            <w:r>
              <w:rPr>
                <w:rFonts w:ascii="PingFang SC" w:hAnsi="PingFang SC" w:eastAsia="PingFang SC"/>
                <w:b/>
                <w:color w:val="0F2437"/>
                <w:sz w:val="17"/>
              </w:rPr>
              <w:t>FAQ / 售后知识库</w:t>
            </w:r>
          </w:p>
        </w:tc>
        <w:tc>
          <w:tcPr>
            <w:tcW w:type="dxa" w:w="6192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b w:val="0"/>
                <w:color w:val="334155"/>
                <w:sz w:val="17"/>
              </w:rPr>
              <w:t>问题与异常复盘</w:t>
            </w:r>
          </w:p>
        </w:tc>
      </w:tr>
    </w:tbl>
    <w:p/>
    <w:p>
      <w:pPr>
        <w:pStyle w:val="Heading1"/>
      </w:pPr>
      <w:r>
        <w:t>八、下周计划</w:t>
      </w:r>
    </w:p>
    <w:p>
      <w:pPr>
        <w:spacing w:after="80"/>
        <w:ind w:left="403" w:hanging="317"/>
      </w:pPr>
      <w:r>
        <w:rPr>
          <w:rFonts w:ascii="PingFang SC" w:hAnsi="PingFang SC" w:eastAsia="PingFang SC"/>
          <w:b/>
          <w:color w:val="1F4E79"/>
          <w:sz w:val="22"/>
        </w:rPr>
        <w:t xml:space="preserve">1. </w:t>
      </w:r>
      <w:r>
        <w:rPr>
          <w:rFonts w:ascii="PingFang SC" w:hAnsi="PingFang SC" w:eastAsia="PingFang SC"/>
          <w:color w:val="1F2937"/>
          <w:sz w:val="22"/>
        </w:rPr>
        <w:t>输出 6 月产品规划表：按周拆分国信样板、教委端 PC、硬件矩阵、Playwright 自动化测试和 AI 手册/视频能力。</w:t>
      </w:r>
    </w:p>
    <w:p>
      <w:pPr>
        <w:spacing w:after="80"/>
        <w:ind w:left="403" w:hanging="317"/>
      </w:pPr>
      <w:r>
        <w:rPr>
          <w:rFonts w:ascii="PingFang SC" w:hAnsi="PingFang SC" w:eastAsia="PingFang SC"/>
          <w:b/>
          <w:color w:val="1F4E79"/>
          <w:sz w:val="22"/>
        </w:rPr>
        <w:t xml:space="preserve">2. </w:t>
      </w:r>
      <w:r>
        <w:rPr>
          <w:rFonts w:ascii="PingFang SC" w:hAnsi="PingFang SC" w:eastAsia="PingFang SC"/>
          <w:color w:val="1F2937"/>
          <w:sz w:val="22"/>
        </w:rPr>
        <w:t>输出项目 SOP 阶段表：将重点项目归入售前、交付、售后及客户确认、开发、上线、验收、复盘等阶段。</w:t>
      </w:r>
    </w:p>
    <w:p>
      <w:pPr>
        <w:spacing w:after="80"/>
        <w:ind w:left="403" w:hanging="317"/>
      </w:pPr>
      <w:r>
        <w:rPr>
          <w:rFonts w:ascii="PingFang SC" w:hAnsi="PingFang SC" w:eastAsia="PingFang SC"/>
          <w:b/>
          <w:color w:val="1F4E79"/>
          <w:sz w:val="22"/>
        </w:rPr>
        <w:t xml:space="preserve">3. </w:t>
      </w:r>
      <w:r>
        <w:rPr>
          <w:rFonts w:ascii="PingFang SC" w:hAnsi="PingFang SC" w:eastAsia="PingFang SC"/>
          <w:color w:val="1F2937"/>
          <w:sz w:val="22"/>
        </w:rPr>
        <w:t>选择一个高频业务流程打样：以“新增人员 -&gt; 发卡 -&gt; 挂失 -&gt; 冻结 -&gt; 退卡 -&gt; 补卡”为例，产出测试用例、自动化脚本、操作视频和用户手册。</w:t>
      </w:r>
    </w:p>
    <w:p>
      <w:pPr>
        <w:spacing w:after="80"/>
        <w:ind w:left="403" w:hanging="317"/>
      </w:pPr>
      <w:r>
        <w:rPr>
          <w:rFonts w:ascii="PingFang SC" w:hAnsi="PingFang SC" w:eastAsia="PingFang SC"/>
          <w:b/>
          <w:color w:val="1F4E79"/>
          <w:sz w:val="22"/>
        </w:rPr>
        <w:t xml:space="preserve">4. </w:t>
      </w:r>
      <w:r>
        <w:rPr>
          <w:rFonts w:ascii="PingFang SC" w:hAnsi="PingFang SC" w:eastAsia="PingFang SC"/>
          <w:color w:val="1F2937"/>
          <w:sz w:val="22"/>
        </w:rPr>
        <w:t>推进 Playwright 能力产品化：中文 HTML 报告、失败分析、异常截图/视频、定时跑测，并接入 AI 协作项目。</w:t>
      </w:r>
    </w:p>
    <w:p>
      <w:pPr>
        <w:spacing w:after="80"/>
        <w:ind w:left="403" w:hanging="317"/>
      </w:pPr>
      <w:r>
        <w:rPr>
          <w:rFonts w:ascii="PingFang SC" w:hAnsi="PingFang SC" w:eastAsia="PingFang SC"/>
          <w:b/>
          <w:color w:val="1F4E79"/>
          <w:sz w:val="22"/>
        </w:rPr>
        <w:t xml:space="preserve">5. </w:t>
      </w:r>
      <w:r>
        <w:rPr>
          <w:rFonts w:ascii="PingFang SC" w:hAnsi="PingFang SC" w:eastAsia="PingFang SC"/>
          <w:color w:val="1F2937"/>
          <w:sz w:val="22"/>
        </w:rPr>
        <w:t>将会议纪要、产品资料、项目图文和操作视频统一归档，让 AI Agent 后续能基于资料理解需求、提云效任务、生成测试和发布前检查。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8143933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eting-p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9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7｜会议纪要分析：产品标准化与 AI 赋能双轮驱动、SOP 化表达</w:t>
      </w:r>
    </w:p>
    <w:p>
      <w:pPr>
        <w:pStyle w:val="Heading1"/>
      </w:pPr>
      <w:r>
        <w:t>九、图像证据附录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360"/>
            <w:shd w:fill="f8fafc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</w:tcPr>
          <w:p>
            <w:pPr>
              <w:spacing w:before="100" w:after="100"/>
            </w:pPr>
            <w:r>
              <w:rPr>
                <w:rFonts w:ascii="PingFang SC" w:hAnsi="PingFang SC" w:eastAsia="PingFang SC"/>
                <w:b/>
                <w:color w:val="0F2437"/>
                <w:sz w:val="23"/>
              </w:rPr>
              <w:t>以下为本次 Excel 内嵌图片素材总览。Word 正文只选取了与本周主线强相关的图片；其余素材仍保留在材料包中，后续可继续做成 PPT、HTML 或产品资料库。</w:t>
            </w:r>
          </w:p>
        </w:tc>
      </w:tr>
    </w:tbl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852160" cy="15384849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ource-gallery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5384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rPr>
          <w:rFonts w:ascii="PingFang SC" w:hAnsi="PingFang SC" w:eastAsia="PingFang SC"/>
          <w:color w:val="64748B"/>
          <w:sz w:val="18"/>
        </w:rPr>
        <w:t>图 18｜本次 Excel 原始图片素材总览（47 张）</w:t>
      </w:r>
    </w:p>
    <w:p>
      <w:pPr>
        <w:pStyle w:val="Heading1"/>
      </w:pPr>
      <w:r>
        <w:t>来源与证据边界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680"/>
        <w:gridCol w:w="4680"/>
      </w:tblGrid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S1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周报0605.xlsx：本周周报总表与嵌入图片，B 级内部证据。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S2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纪要_产品标准化与AI赋能周会纪要.pdf：周会纪要、待办和会议分析，B 级内部证据。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U1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Jack 当前线程教学：周报底层逻辑为五层分解、SOP、产品规划、AI资产沉淀、Before/After。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G1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本报告中的经营看板图为基于 S1/S2/U1 的表达加工，D 级解释，不作为新增事实。</w:t>
            </w:r>
          </w:p>
        </w:tc>
      </w:tr>
      <w:tr>
        <w:tc>
          <w:tcPr>
            <w:tcW w:type="dxa" w:w="1944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  <w:shd w:fill="f2f4f7"/>
          </w:tcPr>
          <w:p>
            <w:r>
              <w:rPr>
                <w:rFonts w:ascii="PingFang SC" w:hAnsi="PingFang SC" w:eastAsia="PingFang SC"/>
                <w:b/>
                <w:color w:val="0F2437"/>
                <w:sz w:val="21"/>
              </w:rPr>
              <w:t>限制</w:t>
            </w:r>
          </w:p>
        </w:tc>
        <w:tc>
          <w:tcPr>
            <w:tcW w:type="dxa" w:w="7128"/>
            <w:tcBorders>
              <w:top w:val="single" w:sz="4" w:space="0" w:color="dbe4ef"/>
              <w:left w:val="single" w:sz="4" w:space="0" w:color="dbe4ef"/>
              <w:bottom w:val="single" w:sz="4" w:space="0" w:color="dbe4ef"/>
              <w:right w:val="single" w:sz="4" w:space="0" w:color="dbe4ef"/>
            </w:tcBorders>
            <w:vAlign w:val="center"/>
          </w:tcPr>
          <w:p>
            <w:r>
              <w:rPr>
                <w:rFonts w:ascii="PingFang SC" w:hAnsi="PingFang SC" w:eastAsia="PingFang SC"/>
                <w:color w:val="334155"/>
                <w:sz w:val="21"/>
              </w:rPr>
              <w:t>未验证收入、毛利、回款、验收、客户满意度等数据，因此不写成已完成经营结果。</w:t>
            </w:r>
          </w:p>
        </w:tc>
      </w:tr>
    </w:tbl>
    <w:p/>
    <w:sectPr w:rsidR="00FC693F" w:rsidRPr="0006063C" w:rsidSect="00034616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PingFang SC" w:hAnsi="PingFang SC" w:eastAsia="PingFang SC"/>
        <w:color w:val="64748B"/>
        <w:sz w:val="18"/>
      </w:rPr>
      <w:t>内部汇报初稿 | 来源：周报 Excel + 周会纪要 + 周报底层逻辑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PingFang SC" w:hAnsi="PingFang SC" w:eastAsia="PingFang SC"/>
        <w:color w:val="64748B"/>
        <w:sz w:val="18"/>
      </w:rPr>
      <w:t>数字技术中心-产品开发部 | 产品标准化与 AI 赋能周报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64" w:lineRule="auto"/>
    </w:pPr>
    <w:rPr>
      <w:rFonts w:ascii="PingFang SC" w:hAnsi="PingFang SC" w:eastAsia="PingFang SC"/>
      <w:b w:val="0"/>
      <w:color w:val="1F2937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160" w:line="240" w:lineRule="auto"/>
      <w:outlineLvl w:val="0"/>
    </w:pPr>
    <w:rPr>
      <w:rFonts w:asciiTheme="majorHAnsi" w:eastAsiaTheme="majorEastAsia" w:hAnsiTheme="majorHAnsi" w:cstheme="majorBidi" w:ascii="PingFang SC" w:hAnsi="PingFang SC" w:eastAsia="PingFang SC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160" w:line="240" w:lineRule="auto"/>
      <w:outlineLvl w:val="1"/>
    </w:pPr>
    <w:rPr>
      <w:rFonts w:asciiTheme="majorHAnsi" w:eastAsiaTheme="majorEastAsia" w:hAnsiTheme="majorHAnsi" w:cstheme="majorBidi" w:ascii="PingFang SC" w:hAnsi="PingFang SC" w:eastAsia="PingFang SC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 w:ascii="PingFang SC" w:hAnsi="PingFang SC" w:eastAsia="PingFang SC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 w:after="160"/>
    </w:pPr>
    <w:rPr>
      <w:rFonts w:ascii="PingFang SC" w:hAnsi="PingFang SC" w:eastAsia="PingFang SC"/>
      <w:b w:val="0"/>
      <w:bCs/>
      <w:color w:val="64748B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pn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png"/><Relationship Id="rId27" Type="http://schemas.openxmlformats.org/officeDocument/2006/relationships/image" Target="media/image17.jpg"/><Relationship Id="rId2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