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ns1="http://schemas.openxmlformats.org/markup-compatibility/2006" xmlns:r="http://schemas.openxmlformats.org/officeDocument/2006/relationships" xmlns:w="http://schemas.openxmlformats.org/wordprocessingml/2006/main" ns1:Ignorable="w14 w15 w16se w16cid w16 w16cex w16sdtdh wp14">
  <w:body>
    <w:p>
      <w:pPr>
        <w:spacing w:before="560" w:after="160"/>
        <w:jc w:val="left"/>
      </w:pPr>
      <w:r>
        <w:rPr>
          <w:rFonts w:ascii="Microsoft YaHei" w:hAnsi="Microsoft YaHei" w:eastAsia="Microsoft YaHei"/>
          <w:b/>
          <w:color w:val="164F50"/>
          <w:sz w:val="48"/>
        </w:rPr>
        <w:t>交付实施部经营与项目管控体系</w:t>
      </w:r>
    </w:p>
    <w:p>
      <w:pPr>
        <w:spacing w:after="360"/>
      </w:pPr>
      <w:r>
        <w:rPr>
          <w:rFonts w:ascii="Microsoft YaHei" w:hAnsi="Microsoft YaHei" w:eastAsia="Microsoft YaHei"/>
          <w:b w:val="0"/>
          <w:color w:val="637A7B"/>
          <w:sz w:val="24"/>
        </w:rPr>
        <w:t>统一部门章程 · 字段责任 · 填报节奏 · 领导驾驶舱</w:t>
      </w:r>
    </w:p>
    <w:p>
      <w:r>
        <w:rPr>
          <w:rFonts w:ascii="Microsoft YaHei" w:hAnsi="Microsoft YaHei" w:eastAsia="Microsoft YaHei"/>
          <w:b w:val="0"/>
          <w:color w:val="6B7E7F"/>
          <w:sz w:val="18"/>
        </w:rPr>
        <w:t>版本 V1.0  |  2026-08-06  |  内部管理设计稿  |  D级管理假设，目标值待试运行校准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306"/>
      </w:tblGrid>
      <w:tr>
        <w:tc>
          <w:tcPr>
            <w:tcW w:type="dxa" w:w="8306"/>
            <w:shd w:fill="E8F3F1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r>
              <w:rPr>
                <w:rFonts w:ascii="Microsoft YaHei" w:hAnsi="Microsoft YaHei" w:eastAsia="Microsoft YaHei"/>
                <w:b/>
                <w:color w:val="176D69"/>
                <w:sz w:val="22"/>
              </w:rPr>
              <w:t>部门使命：</w:t>
            </w:r>
            <w:r>
              <w:rPr>
                <w:rFonts w:ascii="Microsoft YaHei" w:hAnsi="Microsoft YaHei" w:eastAsia="Microsoft YaHei"/>
                <w:b w:val="0"/>
                <w:color w:val="243B3D"/>
                <w:sz w:val="22"/>
              </w:rPr>
              <w:t>把销售和售前形成的客户承诺，转化为按范围、按时间、按质量、按成本完成上线、验收和移交的客户结果，并把项目经验沉淀为可复用的产品和交付能力。</w:t>
            </w:r>
          </w:p>
        </w:tc>
      </w:tr>
    </w:tbl>
    <w:p/>
    <w:p>
      <w:pPr>
        <w:pStyle w:val="1"/>
        <w:spacing w:before="200" w:after="100"/>
      </w:pPr>
      <w:r>
        <w:rPr>
          <w:rFonts w:ascii="Microsoft YaHei" w:hAnsi="Microsoft YaHei" w:eastAsia="Microsoft YaHei"/>
          <w:b/>
          <w:color w:val="176D69"/>
          <w:sz w:val="32"/>
        </w:rPr>
        <w:t>一、部门结果与成功标准</w:t>
      </w:r>
    </w:p>
    <w:p>
      <w:pPr>
        <w:spacing w:after="100" w:line="300" w:lineRule="auto"/>
      </w:pPr>
      <w:r>
        <w:rPr>
          <w:rFonts w:ascii="Microsoft YaHei" w:hAnsi="Microsoft YaHei" w:eastAsia="Microsoft YaHei"/>
          <w:b w:val="0"/>
          <w:color w:val="243B3D"/>
          <w:sz w:val="21"/>
        </w:rPr>
        <w:t>交付实施部不是工作量统计部门，而是承诺兑现中心、项目风险控制中心、验收与回款支撑中心、产品验证与复用中心。项目总数、工作记录数和人员分布可以作为辅助信息，但不能替代兑现、质量、成本和复用结果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69"/>
        <w:gridCol w:w="2769"/>
        <w:gridCol w:w="2769"/>
      </w:tblGrid>
      <w:tr>
        <w:trPr>
          <w:tblHeader w:val="true"/>
        </w:trPr>
        <w:tc>
          <w:tcPr>
            <w:tcW w:type="dxa" w:w="1247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结果</w:t>
            </w:r>
          </w:p>
        </w:tc>
        <w:tc>
          <w:tcPr>
            <w:tcW w:type="dxa" w:w="3969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部门必须交付的结果</w:t>
            </w:r>
          </w:p>
        </w:tc>
        <w:tc>
          <w:tcPr>
            <w:tcW w:type="dxa" w:w="2324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领导判断问题</w:t>
            </w:r>
          </w:p>
        </w:tc>
      </w:tr>
      <w:tr>
        <w:tc>
          <w:tcPr>
            <w:tcW w:type="dxa" w:w="124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Microsoft YaHei" w:hAnsi="Microsoft YaHei" w:eastAsia="Microsoft YaHei"/>
                <w:b w:val="0"/>
                <w:color w:val="2A3C3E"/>
                <w:sz w:val="18"/>
              </w:rPr>
              <w:t>客户结果</w:t>
            </w:r>
          </w:p>
        </w:tc>
        <w:tc>
          <w:tcPr>
            <w:tcW w:type="dxa" w:w="396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8"/>
              </w:rPr>
              <w:t>系统设备可用，时间透明，问题闭环，培训和移交完成</w:t>
            </w:r>
          </w:p>
        </w:tc>
        <w:tc>
          <w:tcPr>
            <w:tcW w:type="dxa" w:w="232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8"/>
              </w:rPr>
              <w:t>客户是否能够正常使用并知道何时完成</w:t>
            </w:r>
          </w:p>
        </w:tc>
      </w:tr>
      <w:tr>
        <w:tc>
          <w:tcPr>
            <w:tcW w:type="dxa" w:w="124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Microsoft YaHei" w:hAnsi="Microsoft YaHei" w:eastAsia="Microsoft YaHei"/>
                <w:b w:val="0"/>
                <w:color w:val="2A3C3E"/>
                <w:sz w:val="18"/>
              </w:rPr>
              <w:t>项目结果</w:t>
            </w:r>
          </w:p>
        </w:tc>
        <w:tc>
          <w:tcPr>
            <w:tcW w:type="dxa" w:w="396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8"/>
              </w:rPr>
              <w:t>范围、里程碑、责任、风险、成本和证据可预测</w:t>
            </w:r>
          </w:p>
        </w:tc>
        <w:tc>
          <w:tcPr>
            <w:tcW w:type="dxa" w:w="232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8"/>
              </w:rPr>
              <w:t>承诺是否能够按计划兑现</w:t>
            </w:r>
          </w:p>
        </w:tc>
      </w:tr>
      <w:tr>
        <w:tc>
          <w:tcPr>
            <w:tcW w:type="dxa" w:w="124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Microsoft YaHei" w:hAnsi="Microsoft YaHei" w:eastAsia="Microsoft YaHei"/>
                <w:b w:val="0"/>
                <w:color w:val="2A3C3E"/>
                <w:sz w:val="18"/>
              </w:rPr>
              <w:t>经营结果</w:t>
            </w:r>
          </w:p>
        </w:tc>
        <w:tc>
          <w:tcPr>
            <w:tcW w:type="dxa" w:w="396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8"/>
              </w:rPr>
              <w:t>项目转化为验收和回款条件，延期返工和定制受控</w:t>
            </w:r>
          </w:p>
        </w:tc>
        <w:tc>
          <w:tcPr>
            <w:tcW w:type="dxa" w:w="232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8"/>
              </w:rPr>
              <w:t>交付是否支持收入和现金回收</w:t>
            </w:r>
          </w:p>
        </w:tc>
      </w:tr>
      <w:tr>
        <w:tc>
          <w:tcPr>
            <w:tcW w:type="dxa" w:w="124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Microsoft YaHei" w:hAnsi="Microsoft YaHei" w:eastAsia="Microsoft YaHei"/>
                <w:b w:val="0"/>
                <w:color w:val="2A3C3E"/>
                <w:sz w:val="18"/>
              </w:rPr>
              <w:t>组织结果</w:t>
            </w:r>
          </w:p>
        </w:tc>
        <w:tc>
          <w:tcPr>
            <w:tcW w:type="dxa" w:w="396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8"/>
              </w:rPr>
              <w:t>形成标准配置、接口、脚本、手册、视频和产品改进</w:t>
            </w:r>
          </w:p>
        </w:tc>
        <w:tc>
          <w:tcPr>
            <w:tcW w:type="dxa" w:w="232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8"/>
              </w:rPr>
              <w:t>项目是否让下一次交付更快、更便宜</w:t>
            </w:r>
          </w:p>
        </w:tc>
      </w:tr>
    </w:tbl>
    <w:p>
      <w:pPr>
        <w:spacing w:after="40"/>
      </w:pPr>
    </w:p>
    <w:p>
      <w:pPr>
        <w:spacing w:after="100" w:line="300" w:lineRule="auto"/>
      </w:pPr>
      <w:r>
        <w:rPr>
          <w:rFonts w:ascii="Microsoft YaHei" w:hAnsi="Microsoft YaHei" w:eastAsia="Microsoft YaHei"/>
          <w:b w:val="0"/>
          <w:color w:val="243B3D"/>
          <w:sz w:val="21"/>
        </w:rPr>
        <w:t>成功定义：客户知道什么时候能完成；员工知道下一步做什么；领导知道哪些承诺能兑现、哪些需要决策；事业部知道交付成本是否可控、能力是否可复制。首版不拍脑袋设定阈值，先运行一个月形成基线。</w:t>
      </w:r>
    </w:p>
    <w:p>
      <w:pPr>
        <w:pStyle w:val="1"/>
        <w:spacing w:before="200" w:after="100"/>
      </w:pPr>
      <w:r>
        <w:rPr>
          <w:rFonts w:ascii="Microsoft YaHei" w:hAnsi="Microsoft YaHei" w:eastAsia="Microsoft YaHei"/>
          <w:b/>
          <w:color w:val="176D69"/>
          <w:sz w:val="32"/>
        </w:rPr>
        <w:t>二、组织角色与责任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61"/>
        <w:gridCol w:w="1661"/>
        <w:gridCol w:w="1661"/>
        <w:gridCol w:w="1661"/>
        <w:gridCol w:w="1661"/>
      </w:tblGrid>
      <w:tr>
        <w:trPr>
          <w:tblHeader w:val="true"/>
        </w:trPr>
        <w:tc>
          <w:tcPr>
            <w:tcW w:type="dxa" w:w="1191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角色</w:t>
            </w:r>
          </w:p>
        </w:tc>
        <w:tc>
          <w:tcPr>
            <w:tcW w:type="dxa" w:w="1531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核心定位</w:t>
            </w:r>
          </w:p>
        </w:tc>
        <w:tc>
          <w:tcPr>
            <w:tcW w:type="dxa" w:w="2381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必须完成的工作</w:t>
            </w:r>
          </w:p>
        </w:tc>
        <w:tc>
          <w:tcPr>
            <w:tcW w:type="dxa" w:w="1701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结果责任</w:t>
            </w:r>
          </w:p>
        </w:tc>
        <w:tc>
          <w:tcPr>
            <w:tcW w:type="dxa" w:w="1474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边界</w:t>
            </w:r>
          </w:p>
        </w:tc>
      </w:tr>
      <w:tr>
        <w:tc>
          <w:tcPr>
            <w:tcW w:type="dxa" w:w="119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部门负责人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项目组合结果、资源、重大风险和部门经营</w:t>
            </w:r>
          </w:p>
        </w:tc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项目优先级、难度、资源分配、红灯升级、绩效校准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部门准时兑现、成本、质量和复用</w:t>
            </w:r>
          </w:p>
        </w:tc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不代替项目负责人逐项填任务</w:t>
            </w:r>
          </w:p>
        </w:tc>
      </w:tr>
      <w:tr>
        <w:tc>
          <w:tcPr>
            <w:tcW w:type="dxa" w:w="119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PMO/交付运营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统一事实源和管理节奏</w:t>
            </w:r>
          </w:p>
        </w:tc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项目建档、字段质量、周预测、容量汇总、大屏发布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数据真实、口径一致、报告准时</w:t>
            </w:r>
          </w:p>
        </w:tc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不替业务负责人编造状态</w:t>
            </w:r>
          </w:p>
        </w:tc>
      </w:tr>
      <w:tr>
        <w:tc>
          <w:tcPr>
            <w:tcW w:type="dxa" w:w="119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项目负责人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单项目最终结果</w:t>
            </w:r>
          </w:p>
        </w:tc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范围、计划、客户协同、预测、风险、验收和复盘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按范围、时间、质量、成本交付</w:t>
            </w:r>
          </w:p>
        </w:tc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不能把责任拆散给多人</w:t>
            </w:r>
          </w:p>
        </w:tc>
      </w:tr>
      <w:tr>
        <w:tc>
          <w:tcPr>
            <w:tcW w:type="dxa" w:w="119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任务主责人/实施工程师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被分配任务结果</w:t>
            </w:r>
          </w:p>
        </w:tc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执行、更新、证据、阻塞、工时和下一动作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任务按完成标准关闭</w:t>
            </w:r>
          </w:p>
        </w:tc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不能只报百分比不留证据</w:t>
            </w:r>
          </w:p>
        </w:tc>
      </w:tr>
      <w:tr>
        <w:tc>
          <w:tcPr>
            <w:tcW w:type="dxa" w:w="119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技术负责人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技术可行性和重大技术风险</w:t>
            </w:r>
          </w:p>
        </w:tc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方案、接口、部署、设备、生产门禁、疑难问题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技术方案可落地且风险提前暴露</w:t>
            </w:r>
          </w:p>
        </w:tc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生产和高风险动作必须人审</w:t>
            </w:r>
          </w:p>
        </w:tc>
      </w:tr>
      <w:tr>
        <w:tc>
          <w:tcPr>
            <w:tcW w:type="dxa" w:w="119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产品负责人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标准产品边界和复用</w:t>
            </w:r>
          </w:p>
        </w:tc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需求分类、定制判断、版本结论、标准资产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复用率提升、重复定制下降</w:t>
            </w:r>
          </w:p>
        </w:tc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不以单一客户要求替代产品判断</w:t>
            </w:r>
          </w:p>
        </w:tc>
      </w:tr>
      <w:tr>
        <w:tc>
          <w:tcPr>
            <w:tcW w:type="dxa" w:w="119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销售负责人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商务承诺、客户关系和催收</w:t>
            </w:r>
          </w:p>
        </w:tc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转交付资料、合同节点、客户商务协调、回款推进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承诺可交付、回款推进</w:t>
            </w:r>
          </w:p>
        </w:tc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不单方面改变交付范围和日期</w:t>
            </w:r>
          </w:p>
        </w:tc>
      </w:tr>
      <w:tr>
        <w:tc>
          <w:tcPr>
            <w:tcW w:type="dxa" w:w="119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财务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金额和到账事实</w:t>
            </w:r>
          </w:p>
        </w:tc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回款触发金额、应回日期和实际到账确认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经营数据准确</w:t>
            </w:r>
          </w:p>
        </w:tc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不负责项目交付判断</w:t>
            </w:r>
          </w:p>
        </w:tc>
      </w:tr>
      <w:tr>
        <w:tc>
          <w:tcPr>
            <w:tcW w:type="dxa" w:w="119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售后责任人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上线后的服务闭环</w:t>
            </w:r>
          </w:p>
        </w:tc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问题受理、SLA、复发识别和移交反馈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问题按时关闭、复发下降</w:t>
            </w:r>
          </w:p>
        </w:tc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6"/>
              </w:rPr>
              <w:t>不把产品缺陷长期当人工服务</w:t>
            </w:r>
          </w:p>
        </w:tc>
      </w:tr>
    </w:tbl>
    <w:p>
      <w:pPr>
        <w:spacing w:after="40"/>
      </w:pPr>
    </w:p>
    <w:p>
      <w:pPr>
        <w:spacing w:after="100" w:line="300" w:lineRule="auto"/>
      </w:pPr>
      <w:r>
        <w:rPr>
          <w:rFonts w:ascii="Microsoft YaHei" w:hAnsi="Microsoft YaHei" w:eastAsia="Microsoft YaHei"/>
          <w:b w:val="0"/>
          <w:color w:val="243B3D"/>
          <w:sz w:val="21"/>
        </w:rPr>
        <w:t>小团队可以一人兼多角色，但每个项目必须明确交付负责人、任务主责人、技术负责人和客户/商务接口，不能让责任随聊天和会议漂移。</w:t>
      </w:r>
    </w:p>
    <w:p>
      <w:pPr>
        <w:sectPr>
          <w:headerReference w:type="default" r:id="rId9"/>
          <w:footerReference w:type="default" r:id="rId10"/>
          <w:pgSz w:w="11906" w:h="16838"/>
          <w:pgMar w:top="1440" w:right="1800" w:bottom="1440" w:left="1800" w:header="680" w:footer="567" w:gutter="0"/>
          <w:pgNumType w:start="1"/>
          <w:cols w:space="425"/>
          <w:docGrid w:type="lines" w:linePitch="312"/>
        </w:sectPr>
      </w:pPr>
    </w:p>
    <w:p>
      <w:pPr>
        <w:pStyle w:val="1"/>
        <w:spacing w:before="200" w:after="100"/>
      </w:pPr>
      <w:r>
        <w:rPr>
          <w:rFonts w:ascii="Microsoft YaHei" w:hAnsi="Microsoft YaHei" w:eastAsia="Microsoft YaHei"/>
          <w:b/>
          <w:color w:val="176D69"/>
          <w:sz w:val="32"/>
        </w:rPr>
        <w:t>三、七阶段交付闭环</w:t>
      </w:r>
    </w:p>
    <w:p>
      <w:pPr>
        <w:spacing w:after="100" w:line="300" w:lineRule="auto"/>
      </w:pPr>
      <w:r>
        <w:rPr>
          <w:rFonts w:ascii="Microsoft YaHei" w:hAnsi="Microsoft YaHei" w:eastAsia="Microsoft YaHei"/>
          <w:b/>
          <w:color w:val="176D69"/>
          <w:sz w:val="21"/>
        </w:rPr>
        <w:t>S1 项目准备：</w:t>
      </w:r>
      <w:r>
        <w:rPr>
          <w:rFonts w:ascii="Microsoft YaHei" w:hAnsi="Microsoft YaHei" w:eastAsia="Microsoft YaHei"/>
          <w:b w:val="0"/>
          <w:color w:val="243B3D"/>
          <w:sz w:val="21"/>
        </w:rPr>
        <w:t>完成售前转交付与项目启动。完成门禁：范围、时间、验收、责任基线完成。</w:t>
      </w:r>
    </w:p>
    <w:p>
      <w:pPr>
        <w:spacing w:after="100" w:line="300" w:lineRule="auto"/>
      </w:pPr>
      <w:r>
        <w:rPr>
          <w:rFonts w:ascii="Microsoft YaHei" w:hAnsi="Microsoft YaHei" w:eastAsia="Microsoft YaHei"/>
          <w:b/>
          <w:color w:val="176D69"/>
          <w:sz w:val="21"/>
        </w:rPr>
        <w:t>S2 方案与部署准备：</w:t>
      </w:r>
      <w:r>
        <w:rPr>
          <w:rFonts w:ascii="Microsoft YaHei" w:hAnsi="Microsoft YaHei" w:eastAsia="Microsoft YaHei"/>
          <w:b w:val="0"/>
          <w:color w:val="243B3D"/>
          <w:sz w:val="21"/>
        </w:rPr>
        <w:t>完成技术方案、环境和资源准备。完成门禁：部署条件和方案评审通过。</w:t>
      </w:r>
    </w:p>
    <w:p>
      <w:pPr>
        <w:spacing w:after="100" w:line="300" w:lineRule="auto"/>
      </w:pPr>
      <w:r>
        <w:rPr>
          <w:rFonts w:ascii="Microsoft YaHei" w:hAnsi="Microsoft YaHei" w:eastAsia="Microsoft YaHei"/>
          <w:b/>
          <w:color w:val="176D69"/>
          <w:sz w:val="21"/>
        </w:rPr>
        <w:t>S3 数据与接口准备：</w:t>
      </w:r>
      <w:r>
        <w:rPr>
          <w:rFonts w:ascii="Microsoft YaHei" w:hAnsi="Microsoft YaHei" w:eastAsia="Microsoft YaHei"/>
          <w:b w:val="0"/>
          <w:color w:val="243B3D"/>
          <w:sz w:val="21"/>
        </w:rPr>
        <w:t>完成人员、账户、组织、接口等准备。完成门禁：数据校验与接口准备完成。</w:t>
      </w:r>
    </w:p>
    <w:p>
      <w:pPr>
        <w:spacing w:after="100" w:line="300" w:lineRule="auto"/>
      </w:pPr>
      <w:r>
        <w:rPr>
          <w:rFonts w:ascii="Microsoft YaHei" w:hAnsi="Microsoft YaHei" w:eastAsia="Microsoft YaHei"/>
          <w:b/>
          <w:color w:val="176D69"/>
          <w:sz w:val="21"/>
        </w:rPr>
        <w:t>S4 设备安装联调：</w:t>
      </w:r>
      <w:r>
        <w:rPr>
          <w:rFonts w:ascii="Microsoft YaHei" w:hAnsi="Microsoft YaHei" w:eastAsia="Microsoft YaHei"/>
          <w:b w:val="0"/>
          <w:color w:val="243B3D"/>
          <w:sz w:val="21"/>
        </w:rPr>
        <w:t>完成设备到货、安装和通讯联调。完成门禁：设备联调证据完成。</w:t>
      </w:r>
    </w:p>
    <w:p>
      <w:pPr>
        <w:spacing w:after="100" w:line="300" w:lineRule="auto"/>
      </w:pPr>
      <w:r>
        <w:rPr>
          <w:rFonts w:ascii="Microsoft YaHei" w:hAnsi="Microsoft YaHei" w:eastAsia="Microsoft YaHei"/>
          <w:b/>
          <w:color w:val="176D69"/>
          <w:sz w:val="21"/>
        </w:rPr>
        <w:t>S5 系统联调与培训：</w:t>
      </w:r>
      <w:r>
        <w:rPr>
          <w:rFonts w:ascii="Microsoft YaHei" w:hAnsi="Microsoft YaHei" w:eastAsia="Microsoft YaHei"/>
          <w:b w:val="0"/>
          <w:color w:val="243B3D"/>
          <w:sz w:val="21"/>
        </w:rPr>
        <w:t>完成端到端测试、培训和上线准备。完成门禁：上线检查表通过。</w:t>
      </w:r>
    </w:p>
    <w:p>
      <w:pPr>
        <w:spacing w:after="100" w:line="300" w:lineRule="auto"/>
      </w:pPr>
      <w:r>
        <w:rPr>
          <w:rFonts w:ascii="Microsoft YaHei" w:hAnsi="Microsoft YaHei" w:eastAsia="Microsoft YaHei"/>
          <w:b/>
          <w:color w:val="176D69"/>
          <w:sz w:val="21"/>
        </w:rPr>
        <w:t>S6 上线试运行：</w:t>
      </w:r>
      <w:r>
        <w:rPr>
          <w:rFonts w:ascii="Microsoft YaHei" w:hAnsi="Microsoft YaHei" w:eastAsia="Microsoft YaHei"/>
          <w:b w:val="0"/>
          <w:color w:val="243B3D"/>
          <w:sz w:val="21"/>
        </w:rPr>
        <w:t>真实场景运行并关闭上线问题。完成门禁：试运行门禁通过。</w:t>
      </w:r>
    </w:p>
    <w:p>
      <w:pPr>
        <w:spacing w:after="100" w:line="300" w:lineRule="auto"/>
      </w:pPr>
      <w:r>
        <w:rPr>
          <w:rFonts w:ascii="Microsoft YaHei" w:hAnsi="Microsoft YaHei" w:eastAsia="Microsoft YaHei"/>
          <w:b/>
          <w:color w:val="176D69"/>
          <w:sz w:val="21"/>
        </w:rPr>
        <w:t>S7 验收与移交：</w:t>
      </w:r>
      <w:r>
        <w:rPr>
          <w:rFonts w:ascii="Microsoft YaHei" w:hAnsi="Microsoft YaHei" w:eastAsia="Microsoft YaHei"/>
          <w:b w:val="0"/>
          <w:color w:val="243B3D"/>
          <w:sz w:val="21"/>
        </w:rPr>
        <w:t>完成验收、资料和售后移交。完成门禁：验收证据和移交记录齐全。</w:t>
      </w:r>
    </w:p>
    <w:p>
      <w:pPr>
        <w:pStyle w:val="1"/>
        <w:spacing w:before="200" w:after="100"/>
      </w:pPr>
      <w:r>
        <w:rPr>
          <w:rFonts w:ascii="Microsoft YaHei" w:hAnsi="Microsoft YaHei" w:eastAsia="Microsoft YaHei"/>
          <w:b/>
          <w:color w:val="176D69"/>
          <w:sz w:val="32"/>
        </w:rPr>
        <w:t>四、统一在线工作簿</w:t>
      </w:r>
    </w:p>
    <w:p>
      <w:pPr>
        <w:spacing w:after="100" w:line="300" w:lineRule="auto"/>
      </w:pPr>
      <w:r>
        <w:rPr>
          <w:rFonts w:ascii="Microsoft YaHei" w:hAnsi="Microsoft YaHei" w:eastAsia="Microsoft YaHei"/>
          <w:b w:val="0"/>
          <w:color w:val="243B3D"/>
          <w:sz w:val="21"/>
        </w:rPr>
        <w:t>员工只维护底层事实一次；个人视图、项目周报和领导驾驶舱均从同一工作簿聚合。在线工作簿入口：https://doc.weixin.qq.com/smartsheet/s3_AHkAH3hlAHwCNEimMj0R6Tr23Lr5t_a?scode=AEIAwQdFAAcB905WbSAHkAH3hlAHw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76"/>
        <w:gridCol w:w="2076"/>
        <w:gridCol w:w="2076"/>
        <w:gridCol w:w="2076"/>
      </w:tblGrid>
      <w:tr>
        <w:trPr>
          <w:tblHeader w:val="true"/>
        </w:trPr>
        <w:tc>
          <w:tcPr>
            <w:tcW w:type="dxa" w:w="1757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子表</w:t>
            </w:r>
          </w:p>
        </w:tc>
        <w:tc>
          <w:tcPr>
            <w:tcW w:type="dxa" w:w="1361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对象</w:t>
            </w:r>
          </w:p>
        </w:tc>
        <w:tc>
          <w:tcPr>
            <w:tcW w:type="dxa" w:w="4252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用途</w:t>
            </w:r>
          </w:p>
        </w:tc>
        <w:tc>
          <w:tcPr>
            <w:tcW w:type="dxa" w:w="737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字段数</w:t>
            </w:r>
          </w:p>
        </w:tc>
      </w:tr>
      <w:tr>
        <w:tc>
          <w:tcPr>
            <w:tcW w:type="dxa" w:w="175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00-使用说明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管理规则</w:t>
            </w:r>
          </w:p>
        </w:tc>
        <w:tc>
          <w:tcPr>
            <w:tcW w:type="dxa" w:w="425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说明唯一事实源、角色边界、更新节奏和人工门禁。</w:t>
            </w:r>
          </w:p>
        </w:tc>
        <w:tc>
          <w:tcPr>
            <w:tcW w:type="dxa" w:w="73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7</w:t>
            </w:r>
          </w:p>
        </w:tc>
      </w:tr>
      <w:tr>
        <w:tc>
          <w:tcPr>
            <w:tcW w:type="dxa" w:w="175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01-领导指标字典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经营指标</w:t>
            </w:r>
          </w:p>
        </w:tc>
        <w:tc>
          <w:tcPr>
            <w:tcW w:type="dxa" w:w="425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定义领导大屏上的指标、来源、口径和触发动作，不直接重复填报经营数据。</w:t>
            </w:r>
          </w:p>
        </w:tc>
        <w:tc>
          <w:tcPr>
            <w:tcW w:type="dxa" w:w="73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15</w:t>
            </w:r>
          </w:p>
        </w:tc>
      </w:tr>
      <w:tr>
        <w:tc>
          <w:tcPr>
            <w:tcW w:type="dxa" w:w="175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02-项目组合总表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项目</w:t>
            </w:r>
          </w:p>
        </w:tc>
        <w:tc>
          <w:tcPr>
            <w:tcW w:type="dxa" w:w="425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一项目一行，作为部门项目组合的唯一主数据。</w:t>
            </w:r>
          </w:p>
        </w:tc>
        <w:tc>
          <w:tcPr>
            <w:tcW w:type="dxa" w:w="73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32</w:t>
            </w:r>
          </w:p>
        </w:tc>
      </w:tr>
      <w:tr>
        <w:tc>
          <w:tcPr>
            <w:tcW w:type="dxa" w:w="175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03-里程碑任务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里程碑/任务</w:t>
            </w:r>
          </w:p>
        </w:tc>
        <w:tc>
          <w:tcPr>
            <w:tcW w:type="dxa" w:w="425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承载七阶段任务，确保每个人知道下一步、截止时间和完成标准。</w:t>
            </w:r>
          </w:p>
        </w:tc>
        <w:tc>
          <w:tcPr>
            <w:tcW w:type="dxa" w:w="73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25</w:t>
            </w:r>
          </w:p>
        </w:tc>
      </w:tr>
      <w:tr>
        <w:tc>
          <w:tcPr>
            <w:tcW w:type="dxa" w:w="175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04-风险问题变更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风险/问题/变更/决策</w:t>
            </w:r>
          </w:p>
        </w:tc>
        <w:tc>
          <w:tcPr>
            <w:tcW w:type="dxa" w:w="425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统一管理不确定性、已发生问题、范围变更和待决策事项。</w:t>
            </w:r>
          </w:p>
        </w:tc>
        <w:tc>
          <w:tcPr>
            <w:tcW w:type="dxa" w:w="73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23</w:t>
            </w:r>
          </w:p>
        </w:tc>
      </w:tr>
      <w:tr>
        <w:tc>
          <w:tcPr>
            <w:tcW w:type="dxa" w:w="175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05-人员容量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人员/周容量</w:t>
            </w:r>
          </w:p>
        </w:tc>
        <w:tc>
          <w:tcPr>
            <w:tcW w:type="dxa" w:w="425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按周管理人员负荷、能力标签和可接单容量，支持自动派单。</w:t>
            </w:r>
          </w:p>
        </w:tc>
        <w:tc>
          <w:tcPr>
            <w:tcW w:type="dxa" w:w="73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15</w:t>
            </w:r>
          </w:p>
        </w:tc>
      </w:tr>
      <w:tr>
        <w:tc>
          <w:tcPr>
            <w:tcW w:type="dxa" w:w="175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06-验收回款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验收/回款条件</w:t>
            </w:r>
          </w:p>
        </w:tc>
        <w:tc>
          <w:tcPr>
            <w:tcW w:type="dxa" w:w="425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管理上线后的验收闭环和回款条件，区分交付责任与财务责任。</w:t>
            </w:r>
          </w:p>
        </w:tc>
        <w:tc>
          <w:tcPr>
            <w:tcW w:type="dxa" w:w="73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21</w:t>
            </w:r>
          </w:p>
        </w:tc>
      </w:tr>
      <w:tr>
        <w:tc>
          <w:tcPr>
            <w:tcW w:type="dxa" w:w="175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07-产品复用售后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产品反馈/售后问题/复用资产</w:t>
            </w:r>
          </w:p>
        </w:tc>
        <w:tc>
          <w:tcPr>
            <w:tcW w:type="dxa" w:w="425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把项目需求和售后问题转化为标准产品、配置能力和可复用交付资产。</w:t>
            </w:r>
          </w:p>
        </w:tc>
        <w:tc>
          <w:tcPr>
            <w:tcW w:type="dxa" w:w="73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20</w:t>
            </w:r>
          </w:p>
        </w:tc>
      </w:tr>
      <w:tr>
        <w:tc>
          <w:tcPr>
            <w:tcW w:type="dxa" w:w="175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08-字段责任矩阵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字段治理</w:t>
            </w:r>
          </w:p>
        </w:tc>
        <w:tc>
          <w:tcPr>
            <w:tcW w:type="dxa" w:w="425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逐字段说明谁填、何时填、从哪里来以及质量门禁。</w:t>
            </w:r>
          </w:p>
        </w:tc>
        <w:tc>
          <w:tcPr>
            <w:tcW w:type="dxa" w:w="73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12</w:t>
            </w:r>
          </w:p>
        </w:tc>
      </w:tr>
      <w:tr>
        <w:tc>
          <w:tcPr>
            <w:tcW w:type="dxa" w:w="175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09-状态字典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状态治理</w:t>
            </w:r>
          </w:p>
        </w:tc>
        <w:tc>
          <w:tcPr>
            <w:tcW w:type="dxa" w:w="425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统一阶段、状态、健康灯和需求分类口径。</w:t>
            </w:r>
          </w:p>
        </w:tc>
        <w:tc>
          <w:tcPr>
            <w:tcW w:type="dxa" w:w="73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8</w:t>
            </w:r>
          </w:p>
        </w:tc>
      </w:tr>
    </w:tbl>
    <w:p>
      <w:pPr>
        <w:spacing w:after="40"/>
      </w:pPr>
    </w:p>
    <w:p>
      <w:pPr>
        <w:pStyle w:val="1"/>
        <w:spacing w:before="200" w:after="100"/>
      </w:pPr>
      <w:r>
        <w:rPr>
          <w:rFonts w:ascii="Microsoft YaHei" w:hAnsi="Microsoft YaHei" w:eastAsia="Microsoft YaHei"/>
          <w:b/>
          <w:color w:val="176D69"/>
          <w:sz w:val="32"/>
        </w:rPr>
        <w:t>五、字段由谁填、什么时候填</w:t>
      </w:r>
    </w:p>
    <w:p>
      <w:pPr>
        <w:spacing w:after="100" w:line="300" w:lineRule="auto"/>
      </w:pPr>
      <w:r>
        <w:rPr>
          <w:rFonts w:ascii="Microsoft YaHei" w:hAnsi="Microsoft YaHei" w:eastAsia="Microsoft YaHei"/>
          <w:b w:val="0"/>
          <w:color w:val="243B3D"/>
          <w:sz w:val="21"/>
        </w:rPr>
        <w:t>下面给出逐字段责任矩阵。完整可编辑版本同时保存在 CSV 和企微工作簿 08-字段责任矩阵中。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84"/>
        <w:gridCol w:w="1384"/>
        <w:gridCol w:w="1384"/>
        <w:gridCol w:w="1384"/>
        <w:gridCol w:w="1384"/>
        <w:gridCol w:w="1384"/>
      </w:tblGrid>
      <w:tr>
        <w:trPr>
          <w:tblHeader w:val="true"/>
        </w:trPr>
        <w:tc>
          <w:tcPr>
            <w:tcW w:type="dxa" w:w="1361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子表</w:t>
            </w:r>
          </w:p>
        </w:tc>
        <w:tc>
          <w:tcPr>
            <w:tcW w:type="dxa" w:w="1531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字段</w:t>
            </w:r>
          </w:p>
        </w:tc>
        <w:tc>
          <w:tcPr>
            <w:tcW w:type="dxa" w:w="1361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填写责任人</w:t>
            </w:r>
          </w:p>
        </w:tc>
        <w:tc>
          <w:tcPr>
            <w:tcW w:type="dxa" w:w="1814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填写时间</w:t>
            </w:r>
          </w:p>
        </w:tc>
        <w:tc>
          <w:tcPr>
            <w:tcW w:type="dxa" w:w="1701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质量规则</w:t>
            </w:r>
          </w:p>
        </w:tc>
        <w:tc>
          <w:tcPr>
            <w:tcW w:type="dxa" w:w="680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领导大屏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00-使用说明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规则ID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PMO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规则发布时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00-使用说明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主题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PMO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规则发布时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00-使用说明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规则内容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PMO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规则发布或变更时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00-使用说明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主责角色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部门负责人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规则发布时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00-使用说明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执行频率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PMO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规则发布时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00-使用说明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完成门禁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PMO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规则发布时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00-使用说明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证据要求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PMO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规则发布时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01-领导指标字典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指标ID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PMO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指标建立时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01-领导指标字典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指标名称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部门负责人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指标建立或调整时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01-领导指标字典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指标维度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PMO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指标建立时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01-领导指标字典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领导问题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部门负责人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指标建立时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01-领导指标字典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指标定义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PMO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指标建立时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01-领导指标字典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计算公式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PMO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指标建立或调整时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01-领导指标字典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来源子表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PMO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指标建立时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01-领导指标字典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来源字段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PMO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指标建立时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01-领导指标字典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口径责任人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部门负责人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指标建立时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01-领导指标字典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刷新频率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PMO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指标建立时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01-领导指标字典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展示形式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PMO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大屏设计时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01-领导指标字典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红灯规则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部门负责人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试运行基线确认后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01-领导指标字典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黄灯规则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部门负责人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试运行基线确认后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01-领导指标字典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触发动作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部门负责人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指标建立时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01-领导指标字典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证据等级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PMO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指标建立时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02-项目组合总表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项目ID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PMO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售前转交付通过当天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唯一、不可复用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02-项目组合总表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项目名称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项目建立当天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02-项目组合总表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客户/单位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销售负责人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售前转交付前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02-项目组合总表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项目类型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PMO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项目建立当天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02-项目组合总表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产品包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产品负责人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启动会前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02-项目组合总表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项目难度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部门负责人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资源分配前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02-项目组合总表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来源部门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销售负责人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售前转交付前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02-项目组合总表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销售负责人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销售负责人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售前转交付前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02-项目组合总表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交付负责人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部门负责人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资源分配时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02-项目组合总表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技术负责人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部门负责人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启动会前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02-项目组合总表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当前阶段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阶段变化当天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02-项目组合总表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项目状态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状态变化当天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02-项目组合总表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健康灯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每天有变化时；周五必更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02-项目组合总表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合同/立项日期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销售负责人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售前转交付前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02-项目组合总表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计划上线日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启动会后1个工作日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02-项目组合总表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预测上线日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每周一；发生偏差当天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02-项目组合总表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实际上线日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上线当天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必须有上线证据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02-项目组合总表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计划验收日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启动会后1个工作日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02-项目组合总表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预测验收日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每周一；发生偏差当天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02-项目组合总表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实际验收日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验收当天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必须关联验收证据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02-项目组合总表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当前进度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PMO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每日自动汇总；周五复核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02-项目组合总表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范围基线版本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启动会后；变更批准后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02-项目组合总表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验收标准摘要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启动会后1个工作日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02-项目组合总表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预算人天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部门负责人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资源分配时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02-项目组合总表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实际人天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PMO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每周五汇总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02-项目组合总表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定制化比例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产品负责人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范围冻结后；变更后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02-项目组合总表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下一里程碑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每周一；节点完成后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02-项目组合总表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下一动作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每个工作日有变化时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02-项目组合总表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客户配合项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识别当天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02-项目组合总表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领导决策项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部门负责人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形成红灯或跨部门阻塞当天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02-项目组合总表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证据链接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项目建立及关键节点后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02-项目组合总表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最后更新时间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系统/PMO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每次更新时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03-里程碑任务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任务ID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PMO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任务创建时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唯一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03-里程碑任务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项目ID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任务创建时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03-里程碑任务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阶段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任务创建时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03-里程碑任务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任务名称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任务创建时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03-里程碑任务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任务类别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任务创建时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03-里程碑任务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任务级别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任务创建时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03-里程碑任务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主责人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任务分派时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03-里程碑任务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协作人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任务分派时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03-里程碑任务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计划开始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计划发布时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03-里程碑任务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计划完成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计划发布时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03-里程碑任务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预测完成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任务主责人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每周一；发现偏差当天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03-里程碑任务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实际完成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任务主责人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完成当天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03-里程碑任务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状态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任务主责人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每天工作结束前；状态变化立即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03-里程碑任务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进度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任务主责人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每天工作结束前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03-里程碑任务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工作量点数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任务分派时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03-里程碑任务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预计工时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任务主责人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接单当天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03-里程碑任务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实际工时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任务主责人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完成当天；周五补齐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03-里程碑任务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交付物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任务创建时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03-里程碑任务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完成标准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任务创建时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无完成标准不得开工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03-里程碑任务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证据链接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任务主责人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完成当天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无证据不得标完成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03-里程碑任务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阻塞类型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任务主责人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阻塞识别当天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03-里程碑任务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阻塞说明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任务主责人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阻塞识别当天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03-里程碑任务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下一动作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任务主责人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每天工作结束前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03-里程碑任务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客户配合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识别当天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03-里程碑任务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最后更新时间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系统/PMO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每次更新时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04-风险问题变更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记录ID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PMO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事项登记时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唯一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04-风险问题变更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项目ID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登记人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事项登记时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04-风险问题变更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类型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登记人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事项登记时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04-风险问题变更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标题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登记人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事项登记时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04-风险问题变更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严重度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登记当天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04-风险问题变更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健康灯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登记当天；变化时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04-风险问题变更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发现日期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登记人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发现当天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04-风险问题变更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影响范围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登记当天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04-风险问题变更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进度影响天数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评估后1个工作日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04-风险问题变更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成本影响人天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评估后1个工作日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04-风险问题变更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主责人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登记当天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04-风险问题变更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协同角色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登记当天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04-风险问题变更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计划关闭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主责人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接单当天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04-风险问题变更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状态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主责人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状态变化当天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04-风险问题变更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处理方案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主责人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登记后1个工作日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04-风险问题变更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领导决策项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部门负责人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需要决策当天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04-风险问题变更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决策截止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部门负责人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提交决策时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04-风险问题变更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变更前基线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变更申请时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04-风险问题变更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变更后基线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变更批准当天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04-风险问题变更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客户确认状态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客户确认当天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04-风险问题变更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关闭证据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主责人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关闭当天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无证据不得关闭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04-风险问题变更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来源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登记人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事项登记时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04-风险问题变更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最后更新时间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系统/PMO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每次更新时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05-人员容量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人员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部门负责人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人员加入或变化时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05-人员容量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周起始日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PMO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每周五建立下周记录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05-人员容量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主角色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部门负责人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人员加入或角色变化时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05-人员容量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能力标签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部门负责人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月度能力盘点时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05-人员容量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标准工时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PMO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每周五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05-人员容量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可用工时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人员本人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每周五；请假变化时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05-人员容量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已承诺工时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PMO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每日自动汇总；周一锁定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05-人员容量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负荷率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系统/PMO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每日自动计算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05-人员容量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在手项目数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系统/PMO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每日自动计算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05-人员容量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P0/P1任务数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系统/PMO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每日自动计算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05-人员容量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可接新任务点数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PMO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每日自动计算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05-人员容量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容量风险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PMO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每日自动计算；人工复核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05-人员容量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管理动作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部门负责人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发现容量风险当天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05-人员容量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证据/说明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人员本人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发生变化当天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05-人员容量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最后更新时间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系统/PMO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每次更新时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06-验收回款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验收记录ID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PMO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验收计划建立时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06-验收回款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项目ID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验收计划建立时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06-验收回款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验收类型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验收计划建立时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06-验收回款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验收范围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验收计划建立时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06-验收回款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计划验收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启动会或变更批准后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06-验收回款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预测验收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每周一；偏差当天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06-验收回款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实际验收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验收当天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06-验收回款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验收状态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状态变化当天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06-验收回款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一次通过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验收当天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06-验收回款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未完成项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每次验收准备复核时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06-验收回款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交付负责人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部门负责人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验收计划建立时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06-验收回款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客户确认人/角色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验收前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06-验收回款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验收证据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验收当天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已验收必须有证据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06-验收回款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回款条件状态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销售负责人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验收节点后1个工作日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06-验收回款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回款触发金额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销售/财务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合同拆解或验收后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以合同和财务口径为准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06-验收回款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应回日期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销售/财务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合同拆解时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06-验收回款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实际回款金额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财务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到账后1个工作日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仅财务确认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06-验收回款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回款确认人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财务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到账后1个工作日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06-验收回款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移交状态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验收或运维接管当天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06-验收回款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售后起始日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售后责任人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移交当天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06-验收回款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最后更新时间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系统/PMO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每次更新时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07-产品复用售后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反馈ID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PMO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登记时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07-产品复用售后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项目ID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登记人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登记时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07-产品复用售后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来源类型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登记人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登记时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07-产品复用售后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需求/问题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登记人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发现当天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07-产品复用售后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使用场景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登记人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登记当天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07-产品复用售后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分类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产品负责人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评审后1个工作日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07-产品复用售后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发生次数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PMO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发现重复时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07-产品复用售后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影响等级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产品负责人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评审时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07-产品复用售后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临时方案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处理当天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07-产品复用售后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产品负责人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产品部门负责人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评审分派时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07-产品复用售后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处理结论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产品负责人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评审完成时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07-产品复用售后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计划版本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产品负责人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排期确认时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07-产品复用售后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标准资产类型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复盘时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07-产品复用售后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资产链接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资产完成当天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07-产品复用售后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售后SLA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售后责任人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售后问题登记时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07-产品复用售后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状态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产品/售后负责人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状态变化当天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07-产品复用售后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是否复发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售后责任人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复发当天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是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07-产品复用售后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复盘日期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项目负责人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项目关闭后5个工作日内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07-产品复用售后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证据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登记人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关闭或沉淀时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07-产品复用售后</w:t>
            </w:r>
          </w:p>
        </w:tc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最后更新时间</w:t>
            </w:r>
          </w:p>
        </w:tc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系统/PMO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每次更新时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非空且可追溯</w:t>
            </w:r>
          </w:p>
        </w:tc>
        <w:tc>
          <w:tcPr>
            <w:tcW w:type="dxa" w:w="6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4"/>
              </w:rPr>
              <w:t>否</w:t>
            </w:r>
          </w:p>
        </w:tc>
      </w:tr>
    </w:tbl>
    <w:p>
      <w:pPr>
        <w:spacing w:after="40"/>
      </w:pPr>
    </w:p>
    <w:p>
      <w:pPr>
        <w:sectPr>
          <w:pgSz w:w="11906" w:h="16838"/>
          <w:pgMar w:top="1440" w:right="1800" w:bottom="1440" w:left="1800" w:header="680" w:footer="567" w:gutter="0"/>
          <w:pgNumType w:start="1"/>
          <w:cols w:space="425"/>
          <w:docGrid w:type="lines" w:linePitch="312"/>
        </w:sectPr>
      </w:pPr>
    </w:p>
    <w:p>
      <w:pPr>
        <w:pStyle w:val="1"/>
        <w:spacing w:before="200" w:after="100"/>
      </w:pPr>
      <w:r>
        <w:rPr>
          <w:rFonts w:ascii="Microsoft YaHei" w:hAnsi="Microsoft YaHei" w:eastAsia="Microsoft YaHei"/>
          <w:b/>
          <w:color w:val="176D69"/>
          <w:sz w:val="32"/>
        </w:rPr>
        <w:t>六、领导驾驶舱</w:t>
      </w:r>
    </w:p>
    <w:p>
      <w:pPr>
        <w:spacing w:after="100" w:line="300" w:lineRule="auto"/>
      </w:pPr>
      <w:r>
        <w:rPr>
          <w:rFonts w:ascii="Microsoft YaHei" w:hAnsi="Microsoft YaHei" w:eastAsia="Microsoft YaHei"/>
          <w:b w:val="0"/>
          <w:color w:val="243B3D"/>
          <w:sz w:val="21"/>
        </w:rPr>
        <w:t>领导首页只展示能够触发决策的数据。项目总数、人员任务饼图和工作记录数下沉到内部分析，不占据首屏。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87"/>
        <w:gridCol w:w="1187"/>
        <w:gridCol w:w="1187"/>
        <w:gridCol w:w="1187"/>
        <w:gridCol w:w="1187"/>
        <w:gridCol w:w="1187"/>
        <w:gridCol w:w="1187"/>
      </w:tblGrid>
      <w:tr>
        <w:trPr>
          <w:tblHeader w:val="true"/>
        </w:trPr>
        <w:tc>
          <w:tcPr>
            <w:tcW w:type="dxa" w:w="737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ID</w:t>
            </w:r>
          </w:p>
        </w:tc>
        <w:tc>
          <w:tcPr>
            <w:tcW w:type="dxa" w:w="1417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指标</w:t>
            </w:r>
          </w:p>
        </w:tc>
        <w:tc>
          <w:tcPr>
            <w:tcW w:type="dxa" w:w="1701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领导问题</w:t>
            </w:r>
          </w:p>
        </w:tc>
        <w:tc>
          <w:tcPr>
            <w:tcW w:type="dxa" w:w="2268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定义</w:t>
            </w:r>
          </w:p>
        </w:tc>
        <w:tc>
          <w:tcPr>
            <w:tcW w:type="dxa" w:w="1134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责任人</w:t>
            </w:r>
          </w:p>
        </w:tc>
        <w:tc>
          <w:tcPr>
            <w:tcW w:type="dxa" w:w="850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刷新</w:t>
            </w:r>
          </w:p>
        </w:tc>
        <w:tc>
          <w:tcPr>
            <w:tcW w:type="dxa" w:w="964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展示</w:t>
            </w:r>
          </w:p>
        </w:tc>
      </w:tr>
      <w:tr>
        <w:tc>
          <w:tcPr>
            <w:tcW w:type="dxa" w:w="73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KPI-01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本月计划验收项目数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本月需要兑现多少项目</w:t>
            </w:r>
          </w:p>
        </w:tc>
        <w:tc>
          <w:tcPr>
            <w:tcW w:type="dxa" w:w="226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计划验收日在本月且未取消的项目数</w:t>
            </w:r>
          </w:p>
        </w:tc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PMO</w:t>
            </w:r>
          </w:p>
        </w:tc>
        <w:tc>
          <w:tcPr>
            <w:tcW w:type="dxa" w:w="85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每日；周五锁定</w:t>
            </w:r>
          </w:p>
        </w:tc>
        <w:tc>
          <w:tcPr>
            <w:tcW w:type="dxa" w:w="96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指标卡</w:t>
            </w:r>
          </w:p>
        </w:tc>
      </w:tr>
      <w:tr>
        <w:tc>
          <w:tcPr>
            <w:tcW w:type="dxa" w:w="73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KPI-02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本月预计按期验收项目数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本月承诺能兑现多少</w:t>
            </w:r>
          </w:p>
        </w:tc>
        <w:tc>
          <w:tcPr>
            <w:tcW w:type="dxa" w:w="226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预测验收不晚于计划验收且本月计划验收的项目数</w:t>
            </w:r>
          </w:p>
        </w:tc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项目负责人/PMO</w:t>
            </w:r>
          </w:p>
        </w:tc>
        <w:tc>
          <w:tcPr>
            <w:tcW w:type="dxa" w:w="85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每日</w:t>
            </w:r>
          </w:p>
        </w:tc>
        <w:tc>
          <w:tcPr>
            <w:tcW w:type="dxa" w:w="96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指标卡</w:t>
            </w:r>
          </w:p>
        </w:tc>
      </w:tr>
      <w:tr>
        <w:tc>
          <w:tcPr>
            <w:tcW w:type="dxa" w:w="73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KPI-03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验收准时预测率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交付是否可预测</w:t>
            </w:r>
          </w:p>
        </w:tc>
        <w:tc>
          <w:tcPr>
            <w:tcW w:type="dxa" w:w="226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预计按期验收项目数/本月计划验收项目数</w:t>
            </w:r>
          </w:p>
        </w:tc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PMO</w:t>
            </w:r>
          </w:p>
        </w:tc>
        <w:tc>
          <w:tcPr>
            <w:tcW w:type="dxa" w:w="85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每日</w:t>
            </w:r>
          </w:p>
        </w:tc>
        <w:tc>
          <w:tcPr>
            <w:tcW w:type="dxa" w:w="96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仪表/趋势</w:t>
            </w:r>
          </w:p>
        </w:tc>
      </w:tr>
      <w:tr>
        <w:tc>
          <w:tcPr>
            <w:tcW w:type="dxa" w:w="73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KPI-04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本月实际验收项目数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已经真正完成多少</w:t>
            </w:r>
          </w:p>
        </w:tc>
        <w:tc>
          <w:tcPr>
            <w:tcW w:type="dxa" w:w="226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实际验收日在本月且有验收证据的项目数</w:t>
            </w:r>
          </w:p>
        </w:tc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项目负责人/PMO</w:t>
            </w:r>
          </w:p>
        </w:tc>
        <w:tc>
          <w:tcPr>
            <w:tcW w:type="dxa" w:w="85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每日</w:t>
            </w:r>
          </w:p>
        </w:tc>
        <w:tc>
          <w:tcPr>
            <w:tcW w:type="dxa" w:w="96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指标卡</w:t>
            </w:r>
          </w:p>
        </w:tc>
      </w:tr>
      <w:tr>
        <w:tc>
          <w:tcPr>
            <w:tcW w:type="dxa" w:w="73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KPI-05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回款条件达成金额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交付为回款创造了多少条件</w:t>
            </w:r>
          </w:p>
        </w:tc>
        <w:tc>
          <w:tcPr>
            <w:tcW w:type="dxa" w:w="226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回款条件状态为已满足的触发金额合计</w:t>
            </w:r>
          </w:p>
        </w:tc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销售/财务</w:t>
            </w:r>
          </w:p>
        </w:tc>
        <w:tc>
          <w:tcPr>
            <w:tcW w:type="dxa" w:w="85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每日</w:t>
            </w:r>
          </w:p>
        </w:tc>
        <w:tc>
          <w:tcPr>
            <w:tcW w:type="dxa" w:w="96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指标卡</w:t>
            </w:r>
          </w:p>
        </w:tc>
      </w:tr>
      <w:tr>
        <w:tc>
          <w:tcPr>
            <w:tcW w:type="dxa" w:w="73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KPI-06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红色项目数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当前最危险的项目有多少</w:t>
            </w:r>
          </w:p>
        </w:tc>
        <w:tc>
          <w:tcPr>
            <w:tcW w:type="dxa" w:w="226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项目健康灯为红的在手项目数</w:t>
            </w:r>
          </w:p>
        </w:tc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部门负责人</w:t>
            </w:r>
          </w:p>
        </w:tc>
        <w:tc>
          <w:tcPr>
            <w:tcW w:type="dxa" w:w="85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实时</w:t>
            </w:r>
          </w:p>
        </w:tc>
        <w:tc>
          <w:tcPr>
            <w:tcW w:type="dxa" w:w="96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指标卡+清单</w:t>
            </w:r>
          </w:p>
        </w:tc>
      </w:tr>
      <w:tr>
        <w:tc>
          <w:tcPr>
            <w:tcW w:type="dxa" w:w="73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KPI-07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逾期关键里程碑数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哪些关键节点已经失守</w:t>
            </w:r>
          </w:p>
        </w:tc>
        <w:tc>
          <w:tcPr>
            <w:tcW w:type="dxa" w:w="226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P0/P1且计划完成已过、未完成的任务数</w:t>
            </w:r>
          </w:p>
        </w:tc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PMO</w:t>
            </w:r>
          </w:p>
        </w:tc>
        <w:tc>
          <w:tcPr>
            <w:tcW w:type="dxa" w:w="85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每日</w:t>
            </w:r>
          </w:p>
        </w:tc>
        <w:tc>
          <w:tcPr>
            <w:tcW w:type="dxa" w:w="96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柱状图+明细</w:t>
            </w:r>
          </w:p>
        </w:tc>
      </w:tr>
      <w:tr>
        <w:tc>
          <w:tcPr>
            <w:tcW w:type="dxa" w:w="73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KPI-08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待领导决策事项数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有哪些事情必须由领导拍板</w:t>
            </w:r>
          </w:p>
        </w:tc>
        <w:tc>
          <w:tcPr>
            <w:tcW w:type="dxa" w:w="226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状态为待决策且未超过决策截止的事项数</w:t>
            </w:r>
          </w:p>
        </w:tc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部门负责人</w:t>
            </w:r>
          </w:p>
        </w:tc>
        <w:tc>
          <w:tcPr>
            <w:tcW w:type="dxa" w:w="85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实时</w:t>
            </w:r>
          </w:p>
        </w:tc>
        <w:tc>
          <w:tcPr>
            <w:tcW w:type="dxa" w:w="96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决策清单</w:t>
            </w:r>
          </w:p>
        </w:tc>
      </w:tr>
      <w:tr>
        <w:tc>
          <w:tcPr>
            <w:tcW w:type="dxa" w:w="73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KPI-09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一次验收通过率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交付质量是否稳定</w:t>
            </w:r>
          </w:p>
        </w:tc>
        <w:tc>
          <w:tcPr>
            <w:tcW w:type="dxa" w:w="226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首次正式验收通过的记录数/已完成正式验收记录数</w:t>
            </w:r>
          </w:p>
        </w:tc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项目负责人/PMO</w:t>
            </w:r>
          </w:p>
        </w:tc>
        <w:tc>
          <w:tcPr>
            <w:tcW w:type="dxa" w:w="85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月度</w:t>
            </w:r>
          </w:p>
        </w:tc>
        <w:tc>
          <w:tcPr>
            <w:tcW w:type="dxa" w:w="96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趋势图</w:t>
            </w:r>
          </w:p>
        </w:tc>
      </w:tr>
      <w:tr>
        <w:tc>
          <w:tcPr>
            <w:tcW w:type="dxa" w:w="73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KPI-10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重大未关闭问题数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是否存在客户生产风险</w:t>
            </w:r>
          </w:p>
        </w:tc>
        <w:tc>
          <w:tcPr>
            <w:tcW w:type="dxa" w:w="226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严重度为重大或高且未关闭的问题数</w:t>
            </w:r>
          </w:p>
        </w:tc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技术负责人</w:t>
            </w:r>
          </w:p>
        </w:tc>
        <w:tc>
          <w:tcPr>
            <w:tcW w:type="dxa" w:w="85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实时</w:t>
            </w:r>
          </w:p>
        </w:tc>
        <w:tc>
          <w:tcPr>
            <w:tcW w:type="dxa" w:w="96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指标卡+清单</w:t>
            </w:r>
          </w:p>
        </w:tc>
      </w:tr>
      <w:tr>
        <w:tc>
          <w:tcPr>
            <w:tcW w:type="dxa" w:w="73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KPI-11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项目人天偏差率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交付成本是否失控</w:t>
            </w:r>
          </w:p>
        </w:tc>
        <w:tc>
          <w:tcPr>
            <w:tcW w:type="dxa" w:w="226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在手项目实际人天相对预算人天的偏差</w:t>
            </w:r>
          </w:p>
        </w:tc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部门负责人/PMO</w:t>
            </w:r>
          </w:p>
        </w:tc>
        <w:tc>
          <w:tcPr>
            <w:tcW w:type="dxa" w:w="85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周度</w:t>
            </w:r>
          </w:p>
        </w:tc>
        <w:tc>
          <w:tcPr>
            <w:tcW w:type="dxa" w:w="96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散点/柱状图</w:t>
            </w:r>
          </w:p>
        </w:tc>
      </w:tr>
      <w:tr>
        <w:tc>
          <w:tcPr>
            <w:tcW w:type="dxa" w:w="73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KPI-12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标准模块复用率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项目是否正在变成产品能力</w:t>
            </w:r>
          </w:p>
        </w:tc>
        <w:tc>
          <w:tcPr>
            <w:tcW w:type="dxa" w:w="226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标准与配置工作量/总交付工作量</w:t>
            </w:r>
          </w:p>
        </w:tc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产品负责人</w:t>
            </w:r>
          </w:p>
        </w:tc>
        <w:tc>
          <w:tcPr>
            <w:tcW w:type="dxa" w:w="85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月度</w:t>
            </w:r>
          </w:p>
        </w:tc>
        <w:tc>
          <w:tcPr>
            <w:tcW w:type="dxa" w:w="96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趋势+堆叠</w:t>
            </w:r>
          </w:p>
        </w:tc>
      </w:tr>
      <w:tr>
        <w:tc>
          <w:tcPr>
            <w:tcW w:type="dxa" w:w="73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KPI-13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定制化比例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项目是否被定制拖累</w:t>
            </w:r>
          </w:p>
        </w:tc>
        <w:tc>
          <w:tcPr>
            <w:tcW w:type="dxa" w:w="226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定制工作量/总交付工作量</w:t>
            </w:r>
          </w:p>
        </w:tc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产品负责人</w:t>
            </w:r>
          </w:p>
        </w:tc>
        <w:tc>
          <w:tcPr>
            <w:tcW w:type="dxa" w:w="85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周度</w:t>
            </w:r>
          </w:p>
        </w:tc>
        <w:tc>
          <w:tcPr>
            <w:tcW w:type="dxa" w:w="96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项目对比条</w:t>
            </w:r>
          </w:p>
        </w:tc>
      </w:tr>
      <w:tr>
        <w:tc>
          <w:tcPr>
            <w:tcW w:type="dxa" w:w="73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KPI-14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未来两周超负荷人数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团队是否还能接新项目</w:t>
            </w:r>
          </w:p>
        </w:tc>
        <w:tc>
          <w:tcPr>
            <w:tcW w:type="dxa" w:w="226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未来两周容量风险为超载的人数</w:t>
            </w:r>
          </w:p>
        </w:tc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部门负责人/PMO</w:t>
            </w:r>
          </w:p>
        </w:tc>
        <w:tc>
          <w:tcPr>
            <w:tcW w:type="dxa" w:w="85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每日</w:t>
            </w:r>
          </w:p>
        </w:tc>
        <w:tc>
          <w:tcPr>
            <w:tcW w:type="dxa" w:w="96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热力图+指标卡</w:t>
            </w:r>
          </w:p>
        </w:tc>
      </w:tr>
      <w:tr>
        <w:tc>
          <w:tcPr>
            <w:tcW w:type="dxa" w:w="73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KPI-15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重复问题数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交付是否在重复踩坑</w:t>
            </w:r>
          </w:p>
        </w:tc>
        <w:tc>
          <w:tcPr>
            <w:tcW w:type="dxa" w:w="226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发生次数大于1或是否复发为真的未关闭记录数</w:t>
            </w:r>
          </w:p>
        </w:tc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产品/售后负责人</w:t>
            </w:r>
          </w:p>
        </w:tc>
        <w:tc>
          <w:tcPr>
            <w:tcW w:type="dxa" w:w="85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周度</w:t>
            </w:r>
          </w:p>
        </w:tc>
        <w:tc>
          <w:tcPr>
            <w:tcW w:type="dxa" w:w="96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5"/>
              </w:rPr>
              <w:t>问题Top榜</w:t>
            </w:r>
          </w:p>
        </w:tc>
      </w:tr>
    </w:tbl>
    <w:p>
      <w:pPr>
        <w:spacing w:after="40"/>
      </w:pPr>
    </w:p>
    <w:p>
      <w:pPr>
        <w:spacing w:after="100" w:line="300" w:lineRule="auto"/>
      </w:pPr>
      <w:r>
        <w:rPr>
          <w:rFonts w:ascii="Microsoft YaHei" w:hAnsi="Microsoft YaHei" w:eastAsia="Microsoft YaHei"/>
          <w:b w:val="0"/>
          <w:color w:val="243B3D"/>
          <w:sz w:val="21"/>
        </w:rPr>
        <w:t>首屏六项：本月计划验收、本月预计按期验收、验收准时预测率、回款条件达成金额、红色项目数、未来两周超负荷人数。</w:t>
      </w:r>
    </w:p>
    <w:p>
      <w:pPr>
        <w:pStyle w:val="aa"/>
        <w:numPr>
          <w:ilvl w:val="0"/>
          <w:numId w:val="18"/>
        </w:numPr>
        <w:spacing w:after="60"/>
      </w:pPr>
      <w:r>
        <w:rPr>
          <w:rFonts w:ascii="Microsoft YaHei" w:hAnsi="Microsoft YaHei" w:eastAsia="Microsoft YaHei"/>
          <w:b w:val="0"/>
          <w:color w:val="243B3D"/>
          <w:sz w:val="20"/>
        </w:rPr>
        <w:t>项目健康矩阵：项目、阶段、计划验收、预测验收、偏差、健康灯、下一动作。</w:t>
      </w:r>
    </w:p>
    <w:p>
      <w:pPr>
        <w:pStyle w:val="aa"/>
        <w:numPr>
          <w:ilvl w:val="0"/>
          <w:numId w:val="18"/>
        </w:numPr>
        <w:spacing w:after="60"/>
      </w:pPr>
      <w:r>
        <w:rPr>
          <w:rFonts w:ascii="Microsoft YaHei" w:hAnsi="Microsoft YaHei" w:eastAsia="Microsoft YaHei"/>
          <w:b w:val="0"/>
          <w:color w:val="243B3D"/>
          <w:sz w:val="20"/>
        </w:rPr>
        <w:t>领导决策清单：事项、影响、建议方案、决策人、最晚决策时间。</w:t>
      </w:r>
    </w:p>
    <w:p>
      <w:pPr>
        <w:pStyle w:val="aa"/>
        <w:numPr>
          <w:ilvl w:val="0"/>
          <w:numId w:val="18"/>
        </w:numPr>
        <w:spacing w:after="60"/>
      </w:pPr>
      <w:r>
        <w:rPr>
          <w:rFonts w:ascii="Microsoft YaHei" w:hAnsi="Microsoft YaHei" w:eastAsia="Microsoft YaHei"/>
          <w:b w:val="0"/>
          <w:color w:val="243B3D"/>
          <w:sz w:val="20"/>
        </w:rPr>
        <w:t>进度与质量：逾期关键里程碑、一次验收通过率、重大未关闭问题。</w:t>
      </w:r>
    </w:p>
    <w:p>
      <w:pPr>
        <w:pStyle w:val="aa"/>
        <w:numPr>
          <w:ilvl w:val="0"/>
          <w:numId w:val="18"/>
        </w:numPr>
        <w:spacing w:after="60"/>
      </w:pPr>
      <w:r>
        <w:rPr>
          <w:rFonts w:ascii="Microsoft YaHei" w:hAnsi="Microsoft YaHei" w:eastAsia="Microsoft YaHei"/>
          <w:b w:val="0"/>
          <w:color w:val="243B3D"/>
          <w:sz w:val="20"/>
        </w:rPr>
        <w:t>成本与容量：项目人天偏差、人员负荷热力图、未来两周可接单能力。</w:t>
      </w:r>
    </w:p>
    <w:p>
      <w:pPr>
        <w:pStyle w:val="aa"/>
        <w:numPr>
          <w:ilvl w:val="0"/>
          <w:numId w:val="18"/>
        </w:numPr>
        <w:spacing w:after="60"/>
      </w:pPr>
      <w:r>
        <w:rPr>
          <w:rFonts w:ascii="Microsoft YaHei" w:hAnsi="Microsoft YaHei" w:eastAsia="Microsoft YaHei"/>
          <w:b w:val="0"/>
          <w:color w:val="243B3D"/>
          <w:sz w:val="20"/>
        </w:rPr>
        <w:t>产品与复用：标准/配置/定制分布、重复问题Top、标准资产沉淀。</w:t>
      </w:r>
    </w:p>
    <w:p>
      <w:pPr>
        <w:pStyle w:val="1"/>
        <w:spacing w:before="200" w:after="100"/>
      </w:pPr>
      <w:r>
        <w:rPr>
          <w:rFonts w:ascii="Microsoft YaHei" w:hAnsi="Microsoft YaHei" w:eastAsia="Microsoft YaHei"/>
          <w:b/>
          <w:color w:val="176D69"/>
          <w:sz w:val="32"/>
        </w:rPr>
        <w:t>七、固定填报节奏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76"/>
        <w:gridCol w:w="2076"/>
        <w:gridCol w:w="2076"/>
        <w:gridCol w:w="2076"/>
      </w:tblGrid>
      <w:tr>
        <w:trPr>
          <w:tblHeader w:val="true"/>
        </w:trPr>
        <w:tc>
          <w:tcPr>
            <w:tcW w:type="dxa" w:w="1417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时间</w:t>
            </w:r>
          </w:p>
        </w:tc>
        <w:tc>
          <w:tcPr>
            <w:tcW w:type="dxa" w:w="1814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谁填</w:t>
            </w:r>
          </w:p>
        </w:tc>
        <w:tc>
          <w:tcPr>
            <w:tcW w:type="dxa" w:w="3061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必须更新</w:t>
            </w:r>
          </w:p>
        </w:tc>
        <w:tc>
          <w:tcPr>
            <w:tcW w:type="dxa" w:w="1701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完成门禁</w:t>
            </w:r>
          </w:p>
        </w:tc>
      </w:tr>
      <w:tr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售前转交付当天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PMO/销售/部门负责人</w:t>
            </w:r>
          </w:p>
        </w:tc>
        <w:tc>
          <w:tcPr>
            <w:tcW w:type="dxa" w:w="30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项目ID、客户、负责人、承诺和商务节点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启动资料齐全</w:t>
            </w:r>
          </w:p>
        </w:tc>
      </w:tr>
      <w:tr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启动会后1个工作日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项目负责人</w:t>
            </w:r>
          </w:p>
        </w:tc>
        <w:tc>
          <w:tcPr>
            <w:tcW w:type="dxa" w:w="30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范围、上线、验收、验收标准和客户配合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基线版本形成</w:t>
            </w:r>
          </w:p>
        </w:tc>
      </w:tr>
      <w:tr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每天工作结束前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任务主责人</w:t>
            </w:r>
          </w:p>
        </w:tc>
        <w:tc>
          <w:tcPr>
            <w:tcW w:type="dxa" w:w="30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状态、进度、工时、阻塞和下一动作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与证据一致</w:t>
            </w:r>
          </w:p>
        </w:tc>
      </w:tr>
      <w:tr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每周一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项目负责人</w:t>
            </w:r>
          </w:p>
        </w:tc>
        <w:tc>
          <w:tcPr>
            <w:tcW w:type="dxa" w:w="30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预测上线、预测验收、下一里程碑和健康灯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预测可解释</w:t>
            </w:r>
          </w:p>
        </w:tc>
      </w:tr>
      <w:tr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每周五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PMO</w:t>
            </w:r>
          </w:p>
        </w:tc>
        <w:tc>
          <w:tcPr>
            <w:tcW w:type="dxa" w:w="30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人天、容量、风险、验收和数据完整性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领导周看板发布</w:t>
            </w:r>
          </w:p>
        </w:tc>
      </w:tr>
      <w:tr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事件后1个工作日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项目/销售/财务</w:t>
            </w:r>
          </w:p>
        </w:tc>
        <w:tc>
          <w:tcPr>
            <w:tcW w:type="dxa" w:w="30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验收证据、回款条件和到账事实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责任口径一致</w:t>
            </w:r>
          </w:p>
        </w:tc>
      </w:tr>
      <w:tr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项目关闭后5个工作日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项目/产品/售后</w:t>
            </w:r>
          </w:p>
        </w:tc>
        <w:tc>
          <w:tcPr>
            <w:tcW w:type="dxa" w:w="30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复盘、需求分类、复发和标准资产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7"/>
              </w:rPr>
              <w:t>结论或资产有证据</w:t>
            </w:r>
          </w:p>
        </w:tc>
      </w:tr>
    </w:tbl>
    <w:p>
      <w:pPr>
        <w:spacing w:after="40"/>
      </w:pPr>
    </w:p>
    <w:p>
      <w:pPr>
        <w:pStyle w:val="1"/>
        <w:spacing w:before="200" w:after="100"/>
      </w:pPr>
      <w:r>
        <w:rPr>
          <w:rFonts w:ascii="Microsoft YaHei" w:hAnsi="Microsoft YaHei" w:eastAsia="Microsoft YaHei"/>
          <w:b/>
          <w:color w:val="176D69"/>
          <w:sz w:val="32"/>
        </w:rPr>
        <w:t>八、数据质量与人工门禁</w:t>
      </w:r>
    </w:p>
    <w:p>
      <w:pPr>
        <w:pStyle w:val="aa"/>
        <w:numPr>
          <w:ilvl w:val="0"/>
          <w:numId w:val="18"/>
        </w:numPr>
        <w:spacing w:after="60"/>
      </w:pPr>
      <w:r>
        <w:rPr>
          <w:rFonts w:ascii="Microsoft YaHei" w:hAnsi="Microsoft YaHei" w:eastAsia="Microsoft YaHei"/>
          <w:b w:val="0"/>
          <w:color w:val="243B3D"/>
          <w:sz w:val="20"/>
        </w:rPr>
        <w:t>无项目ID不允许跨表流转；无主责人、截止时间、交付物、完成标准和证据要求的任务不得进入执行。</w:t>
      </w:r>
    </w:p>
    <w:p>
      <w:pPr>
        <w:pStyle w:val="aa"/>
        <w:numPr>
          <w:ilvl w:val="0"/>
          <w:numId w:val="18"/>
        </w:numPr>
        <w:spacing w:after="60"/>
      </w:pPr>
      <w:r>
        <w:rPr>
          <w:rFonts w:ascii="Microsoft YaHei" w:hAnsi="Microsoft YaHei" w:eastAsia="Microsoft YaHei"/>
          <w:b w:val="0"/>
          <w:color w:val="243B3D"/>
          <w:sz w:val="20"/>
        </w:rPr>
        <w:t>无证据不得标记已完成；已验收必须关联验收证据；金额只以合同和财务确认数据为准。</w:t>
      </w:r>
    </w:p>
    <w:p>
      <w:pPr>
        <w:pStyle w:val="aa"/>
        <w:numPr>
          <w:ilvl w:val="0"/>
          <w:numId w:val="18"/>
        </w:numPr>
        <w:spacing w:after="60"/>
      </w:pPr>
      <w:r>
        <w:rPr>
          <w:rFonts w:ascii="Microsoft YaHei" w:hAnsi="Microsoft YaHei" w:eastAsia="Microsoft YaHei"/>
          <w:b w:val="0"/>
          <w:color w:val="243B3D"/>
          <w:sz w:val="20"/>
        </w:rPr>
        <w:t>Agent可以整理、汇总、计算、提醒和生成周报；合同、金额、客户验收、生产上线、支付、设备控制和食安相关动作必须人工确认。</w:t>
      </w:r>
    </w:p>
    <w:p>
      <w:pPr>
        <w:pStyle w:val="aa"/>
        <w:numPr>
          <w:ilvl w:val="0"/>
          <w:numId w:val="18"/>
        </w:numPr>
        <w:spacing w:after="60"/>
      </w:pPr>
      <w:r>
        <w:rPr>
          <w:rFonts w:ascii="Microsoft YaHei" w:hAnsi="Microsoft YaHei" w:eastAsia="Microsoft YaHei"/>
          <w:b w:val="0"/>
          <w:color w:val="243B3D"/>
          <w:sz w:val="20"/>
        </w:rPr>
        <w:t>大屏每个指标必须能够回钻到项目、任务、风险或验收记录。</w:t>
      </w:r>
    </w:p>
    <w:p>
      <w:pPr>
        <w:pStyle w:val="1"/>
        <w:spacing w:before="200" w:after="100"/>
      </w:pPr>
      <w:r>
        <w:rPr>
          <w:rFonts w:ascii="Microsoft YaHei" w:hAnsi="Microsoft YaHei" w:eastAsia="Microsoft YaHei"/>
          <w:b/>
          <w:color w:val="176D69"/>
          <w:sz w:val="32"/>
        </w:rPr>
        <w:t>九、四周试运行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69"/>
        <w:gridCol w:w="2769"/>
        <w:gridCol w:w="2769"/>
      </w:tblGrid>
      <w:tr>
        <w:trPr>
          <w:tblHeader w:val="true"/>
        </w:trPr>
        <w:tc>
          <w:tcPr>
            <w:tcW w:type="dxa" w:w="1020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周次</w:t>
            </w:r>
          </w:p>
        </w:tc>
        <w:tc>
          <w:tcPr>
            <w:tcW w:type="dxa" w:w="4252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试运行内容</w:t>
            </w:r>
          </w:p>
        </w:tc>
        <w:tc>
          <w:tcPr>
            <w:tcW w:type="dxa" w:w="2948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通过标准</w:t>
            </w:r>
          </w:p>
        </w:tc>
      </w:tr>
      <w:tr>
        <w:tc>
          <w:tcPr>
            <w:tcW w:type="dxa" w:w="102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Microsoft YaHei" w:hAnsi="Microsoft YaHei" w:eastAsia="Microsoft YaHei"/>
                <w:b w:val="0"/>
                <w:color w:val="2A3C3E"/>
                <w:sz w:val="18"/>
              </w:rPr>
              <w:t>第1周</w:t>
            </w:r>
          </w:p>
        </w:tc>
        <w:tc>
          <w:tcPr>
            <w:tcW w:type="dxa" w:w="425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8"/>
              </w:rPr>
              <w:t>选择4个在手项目，建立主数据、七阶段里程碑和风险台账</w:t>
            </w:r>
          </w:p>
        </w:tc>
        <w:tc>
          <w:tcPr>
            <w:tcW w:type="dxa" w:w="294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8"/>
              </w:rPr>
              <w:t>项目ID、负责人、计划和风险齐全</w:t>
            </w:r>
          </w:p>
        </w:tc>
      </w:tr>
      <w:tr>
        <w:tc>
          <w:tcPr>
            <w:tcW w:type="dxa" w:w="102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Microsoft YaHei" w:hAnsi="Microsoft YaHei" w:eastAsia="Microsoft YaHei"/>
                <w:b w:val="0"/>
                <w:color w:val="2A3C3E"/>
                <w:sz w:val="18"/>
              </w:rPr>
              <w:t>第2周</w:t>
            </w:r>
          </w:p>
        </w:tc>
        <w:tc>
          <w:tcPr>
            <w:tcW w:type="dxa" w:w="425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8"/>
              </w:rPr>
              <w:t>启用每日任务更新、周一预测和周五复核</w:t>
            </w:r>
          </w:p>
        </w:tc>
        <w:tc>
          <w:tcPr>
            <w:tcW w:type="dxa" w:w="294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8"/>
              </w:rPr>
              <w:t>所有在执行任务有下一动作和证据</w:t>
            </w:r>
          </w:p>
        </w:tc>
      </w:tr>
      <w:tr>
        <w:tc>
          <w:tcPr>
            <w:tcW w:type="dxa" w:w="102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Microsoft YaHei" w:hAnsi="Microsoft YaHei" w:eastAsia="Microsoft YaHei"/>
                <w:b w:val="0"/>
                <w:color w:val="2A3C3E"/>
                <w:sz w:val="18"/>
              </w:rPr>
              <w:t>第3周</w:t>
            </w:r>
          </w:p>
        </w:tc>
        <w:tc>
          <w:tcPr>
            <w:tcW w:type="dxa" w:w="425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8"/>
              </w:rPr>
              <w:t>启用人员容量、验收回款条件和产品复用分类</w:t>
            </w:r>
          </w:p>
        </w:tc>
        <w:tc>
          <w:tcPr>
            <w:tcW w:type="dxa" w:w="294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8"/>
              </w:rPr>
              <w:t>容量、验收和分类可回读</w:t>
            </w:r>
          </w:p>
        </w:tc>
      </w:tr>
      <w:tr>
        <w:tc>
          <w:tcPr>
            <w:tcW w:type="dxa" w:w="102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Microsoft YaHei" w:hAnsi="Microsoft YaHei" w:eastAsia="Microsoft YaHei"/>
                <w:b w:val="0"/>
                <w:color w:val="2A3C3E"/>
                <w:sz w:val="18"/>
              </w:rPr>
              <w:t>第4周</w:t>
            </w:r>
          </w:p>
        </w:tc>
        <w:tc>
          <w:tcPr>
            <w:tcW w:type="dxa" w:w="425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8"/>
              </w:rPr>
              <w:t>用实际数据校准红黄灯、人天偏差、复用率和绩效目标</w:t>
            </w:r>
          </w:p>
        </w:tc>
        <w:tc>
          <w:tcPr>
            <w:tcW w:type="dxa" w:w="294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A3C3E"/>
                <w:sz w:val="18"/>
              </w:rPr>
              <w:t>形成管理基线和调整决策</w:t>
            </w:r>
          </w:p>
        </w:tc>
      </w:tr>
    </w:tbl>
    <w:p>
      <w:pPr>
        <w:spacing w:after="40"/>
      </w:pPr>
    </w:p>
    <w:p>
      <w:pPr>
        <w:spacing w:after="100" w:line="300" w:lineRule="auto"/>
      </w:pPr>
      <w:r>
        <w:rPr>
          <w:rFonts w:ascii="Microsoft YaHei" w:hAnsi="Microsoft YaHei" w:eastAsia="Microsoft YaHei"/>
          <w:b w:val="0"/>
          <w:color w:val="243B3D"/>
          <w:sz w:val="21"/>
        </w:rPr>
        <w:t>本体系在试运行前属于D级管理设计；阈值和绩效权重只有在真实项目基线、财务口径和部门评审完成后才能转为正式制度。</w:t>
      </w:r>
    </w:p>
    <w:sectPr w:rsidR="000E46D2" w:rsidRPr="00B60D04" w:rsidSect="006C0147">
      <w:pgSz w:w="11906" w:h="16838"/>
      <w:pgMar w:top="1440" w:right="1800" w:bottom="1440" w:left="1800" w:header="680" w:footer="567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18F7F" w14:textId="77777777" w:rsidR="00E45D97" w:rsidRDefault="00E45D97" w:rsidP="00F51BC0">
      <w:r>
        <w:separator/>
      </w:r>
    </w:p>
  </w:endnote>
  <w:endnote w:type="continuationSeparator" w:id="0">
    <w:p w14:paraId="540C2C5D" w14:textId="77777777" w:rsidR="00E45D97" w:rsidRDefault="00E45D97" w:rsidP="00F51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213035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E7E09F9" w14:textId="77777777" w:rsidR="008F471B" w:rsidRDefault="008F471B">
            <w:pPr>
              <w:pStyle w:val="a3"/>
              <w:jc w:val="center"/>
            </w:pPr>
            <w:r>
              <w:rPr>
                <w:lang w:val="zh-CN"/>
              </w:rPr>
              <w:t xml:space="preserve"> </w:t>
            </w:r>
          </w:p>
        </w:sdtContent>
      </w:sdt>
    </w:sdtContent>
  </w:sdt>
  <w:p w14:paraId="64514A81" w14:textId="77777777" w:rsidR="008F471B" w:rsidRDefault="008F471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6F33B" w14:textId="77777777" w:rsidR="008F471B" w:rsidRDefault="008F471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C278B" w14:textId="77777777" w:rsidR="00E45D97" w:rsidRDefault="00E45D97" w:rsidP="00F51BC0">
      <w:r>
        <w:separator/>
      </w:r>
    </w:p>
  </w:footnote>
  <w:footnote w:type="continuationSeparator" w:id="0">
    <w:p w14:paraId="64910533" w14:textId="77777777" w:rsidR="00E45D97" w:rsidRDefault="00E45D97" w:rsidP="00F51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484E4" w14:textId="35E7A118" w:rsidR="00B60D04" w:rsidRPr="00B60D04" w:rsidRDefault="00B60D04" w:rsidP="00B60D04">
    <w:pPr>
      <w:pStyle w:val="a5"/>
      <w:jc w:val="both"/>
    </w:pPr>
  </w:p>
  <w:p w14:paraId="2D1B016F" w14:textId="3FFC13EA" w:rsidR="00B60D04" w:rsidRPr="00B60D04" w:rsidRDefault="00B60D04" w:rsidP="00B60D04">
    <w:pPr>
      <w:pStyle w:val="a5"/>
      <w:jc w:val="right"/>
      <w:rPr>
        <w:b/>
        <w:bCs/>
      </w:rPr>
    </w:pPr>
  </w:p>
  <w:p w14:paraId="61F2BAA1" w14:textId="15A17736" w:rsidR="00B60D04" w:rsidRPr="005E3F61" w:rsidRDefault="0057238D" w:rsidP="0057238D">
    <w:pPr>
      <w:pStyle w:val="a5"/>
      <w:jc w:val="left"/>
      <w:rPr>
        <w:b/>
        <w:bCs/>
      </w:rPr>
    </w:pPr>
    <w:r>
      <w:rPr>
        <w:noProof/>
      </w:rPr>
      <w:drawing>
        <wp:inline distT="0" distB="0" distL="0" distR="0" wp14:anchorId="67EF65C3" wp14:editId="4E3A3753">
          <wp:extent cx="1169581" cy="181929"/>
          <wp:effectExtent l="0" t="0" r="0" b="8890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9581" cy="1819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b/>
        <w:bCs/>
        <w:sz w:val="24"/>
        <w:szCs w:val="24"/>
      </w:rPr>
      <w:t xml:space="preserve"> </w:t>
    </w:r>
    <w:r>
      <w:rPr>
        <w:b/>
        <w:bCs/>
        <w:sz w:val="24"/>
        <w:szCs w:val="24"/>
      </w:rPr>
      <w:t xml:space="preserve">                                 </w:t>
    </w:r>
    <w:r w:rsidR="005E3F61" w:rsidRPr="0057238D">
      <w:rPr>
        <w:rFonts w:hint="eastAsia"/>
        <w:b/>
        <w:bCs/>
        <w:sz w:val="24"/>
        <w:szCs w:val="24"/>
      </w:rPr>
      <w:t>康比特数字体育科技</w:t>
    </w:r>
    <w:r w:rsidR="005E3F61">
      <w:rPr>
        <w:rFonts w:hint="eastAsia"/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FF88732"/>
    <w:multiLevelType w:val="singleLevel"/>
    <w:tmpl w:val="BFF88732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F2EEC608"/>
    <w:multiLevelType w:val="multilevel"/>
    <w:tmpl w:val="F2EEC608"/>
    <w:lvl w:ilvl="0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21" w:hanging="480"/>
      </w:pPr>
    </w:lvl>
    <w:lvl w:ilvl="2">
      <w:start w:val="1"/>
      <w:numFmt w:val="lowerRoman"/>
      <w:lvlText w:val="%3."/>
      <w:lvlJc w:val="right"/>
      <w:pPr>
        <w:ind w:left="1901" w:hanging="480"/>
      </w:pPr>
    </w:lvl>
    <w:lvl w:ilvl="3">
      <w:start w:val="1"/>
      <w:numFmt w:val="decimal"/>
      <w:lvlText w:val="%4."/>
      <w:lvlJc w:val="left"/>
      <w:pPr>
        <w:ind w:left="2381" w:hanging="480"/>
      </w:pPr>
    </w:lvl>
    <w:lvl w:ilvl="4">
      <w:start w:val="1"/>
      <w:numFmt w:val="lowerLetter"/>
      <w:lvlText w:val="%5)"/>
      <w:lvlJc w:val="left"/>
      <w:pPr>
        <w:ind w:left="2861" w:hanging="480"/>
      </w:pPr>
    </w:lvl>
    <w:lvl w:ilvl="5">
      <w:start w:val="1"/>
      <w:numFmt w:val="lowerRoman"/>
      <w:lvlText w:val="%6."/>
      <w:lvlJc w:val="right"/>
      <w:pPr>
        <w:ind w:left="3341" w:hanging="480"/>
      </w:pPr>
    </w:lvl>
    <w:lvl w:ilvl="6">
      <w:start w:val="1"/>
      <w:numFmt w:val="decimal"/>
      <w:lvlText w:val="%7."/>
      <w:lvlJc w:val="left"/>
      <w:pPr>
        <w:ind w:left="3821" w:hanging="480"/>
      </w:pPr>
    </w:lvl>
    <w:lvl w:ilvl="7">
      <w:start w:val="1"/>
      <w:numFmt w:val="lowerLetter"/>
      <w:lvlText w:val="%8)"/>
      <w:lvlJc w:val="left"/>
      <w:pPr>
        <w:ind w:left="4301" w:hanging="480"/>
      </w:pPr>
    </w:lvl>
    <w:lvl w:ilvl="8">
      <w:start w:val="1"/>
      <w:numFmt w:val="lowerRoman"/>
      <w:lvlText w:val="%9."/>
      <w:lvlJc w:val="right"/>
      <w:pPr>
        <w:ind w:left="4781" w:hanging="480"/>
      </w:pPr>
    </w:lvl>
  </w:abstractNum>
  <w:abstractNum w:abstractNumId="2" w15:restartNumberingAfterBreak="0">
    <w:nsid w:val="02204144"/>
    <w:multiLevelType w:val="hybridMultilevel"/>
    <w:tmpl w:val="24AEAB04"/>
    <w:lvl w:ilvl="0" w:tplc="32568D4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CCB68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E416D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E0662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F6FBB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5EA0E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A86ED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DA82E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48F33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F1445"/>
    <w:multiLevelType w:val="hybridMultilevel"/>
    <w:tmpl w:val="0862EF6E"/>
    <w:lvl w:ilvl="0" w:tplc="916A1738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4" w15:restartNumberingAfterBreak="0">
    <w:nsid w:val="06C44F5D"/>
    <w:multiLevelType w:val="hybridMultilevel"/>
    <w:tmpl w:val="E40A0478"/>
    <w:lvl w:ilvl="0" w:tplc="EB26B36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B6465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5ED2C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1CF70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30904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D64A5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A2E5C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C6F28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84783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700A9"/>
    <w:multiLevelType w:val="hybridMultilevel"/>
    <w:tmpl w:val="EA020A48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773FF5"/>
    <w:multiLevelType w:val="hybridMultilevel"/>
    <w:tmpl w:val="7A16339E"/>
    <w:lvl w:ilvl="0" w:tplc="8C426CC6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7" w15:restartNumberingAfterBreak="0">
    <w:nsid w:val="133C1300"/>
    <w:multiLevelType w:val="hybridMultilevel"/>
    <w:tmpl w:val="416E8316"/>
    <w:lvl w:ilvl="0" w:tplc="6622BA9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9635B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4646F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C427B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888A1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4064C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5E39C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AA53A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965C1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06098"/>
    <w:multiLevelType w:val="hybridMultilevel"/>
    <w:tmpl w:val="C6BCAB4C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2C81B7C"/>
    <w:multiLevelType w:val="hybridMultilevel"/>
    <w:tmpl w:val="19D2D0FC"/>
    <w:lvl w:ilvl="0" w:tplc="F7ECD70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9C090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1EA3C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E2F43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AC743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C8B61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72074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6885B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DEA0A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F0BDF"/>
    <w:multiLevelType w:val="hybridMultilevel"/>
    <w:tmpl w:val="50F4F9F6"/>
    <w:lvl w:ilvl="0" w:tplc="143EF8E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4CF56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C2018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C64A2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B800D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BEFBD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AC3A3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B8C57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08D80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F4E27"/>
    <w:multiLevelType w:val="hybridMultilevel"/>
    <w:tmpl w:val="2684EE90"/>
    <w:lvl w:ilvl="0" w:tplc="57363726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12" w15:restartNumberingAfterBreak="0">
    <w:nsid w:val="30AF5514"/>
    <w:multiLevelType w:val="multilevel"/>
    <w:tmpl w:val="30AF5514"/>
    <w:lvl w:ilvl="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3" w15:restartNumberingAfterBreak="0">
    <w:nsid w:val="3F474726"/>
    <w:multiLevelType w:val="hybridMultilevel"/>
    <w:tmpl w:val="F36058C8"/>
    <w:lvl w:ilvl="0" w:tplc="F76A2FCC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1046C63"/>
    <w:multiLevelType w:val="hybridMultilevel"/>
    <w:tmpl w:val="A3EE6FD6"/>
    <w:lvl w:ilvl="0" w:tplc="C606869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FA447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2C09D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921B7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921A8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10857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BE331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7E9CF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58921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E0073A"/>
    <w:multiLevelType w:val="hybridMultilevel"/>
    <w:tmpl w:val="D61EC418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63C1633"/>
    <w:multiLevelType w:val="hybridMultilevel"/>
    <w:tmpl w:val="D4CC4B1E"/>
    <w:lvl w:ilvl="0" w:tplc="1F2C3D1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0C199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DC21D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FA8B8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BEA32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4EA35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C0D3C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568A0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18A00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51152"/>
    <w:multiLevelType w:val="singleLevel"/>
    <w:tmpl w:val="5A151152"/>
    <w:lvl w:ilvl="0">
      <w:start w:val="1"/>
      <w:numFmt w:val="decimal"/>
      <w:suff w:val="nothing"/>
      <w:lvlText w:val="（%1）"/>
      <w:lvlJc w:val="left"/>
    </w:lvl>
  </w:abstractNum>
  <w:abstractNum w:abstractNumId="18" w15:restartNumberingAfterBreak="0">
    <w:nsid w:val="5C463145"/>
    <w:multiLevelType w:val="hybridMultilevel"/>
    <w:tmpl w:val="CFCA1930"/>
    <w:lvl w:ilvl="0" w:tplc="A686174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84299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2818F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7C920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169D0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20097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B0CC8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A802D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1C9F2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FA1F0E"/>
    <w:multiLevelType w:val="hybridMultilevel"/>
    <w:tmpl w:val="1346B37C"/>
    <w:lvl w:ilvl="0" w:tplc="0ABE5B8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A616C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C6812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68AFF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FE6DB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A24A0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18C7D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FC807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48143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35078B"/>
    <w:multiLevelType w:val="hybridMultilevel"/>
    <w:tmpl w:val="3580F2BE"/>
    <w:lvl w:ilvl="0" w:tplc="E788E21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A2614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EA6FD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466B8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0CD43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90510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3261F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E09D7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B0544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0540C"/>
    <w:multiLevelType w:val="hybridMultilevel"/>
    <w:tmpl w:val="2A08EB18"/>
    <w:lvl w:ilvl="0" w:tplc="BB5C387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A4141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306FB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B0EC4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06FBE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9EC4A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439F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2A86C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38EDA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97CD7"/>
    <w:multiLevelType w:val="hybridMultilevel"/>
    <w:tmpl w:val="26526E0C"/>
    <w:lvl w:ilvl="0" w:tplc="426C85D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EE08E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2EE0F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4AA6A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CAF8F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4AB2E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E86CD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68721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F8D5F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FF568A"/>
    <w:multiLevelType w:val="hybridMultilevel"/>
    <w:tmpl w:val="427E4092"/>
    <w:lvl w:ilvl="0" w:tplc="8460C08C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4" w15:restartNumberingAfterBreak="0">
    <w:nsid w:val="77467E9D"/>
    <w:multiLevelType w:val="hybridMultilevel"/>
    <w:tmpl w:val="42BC8A18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EFF4144"/>
    <w:multiLevelType w:val="hybridMultilevel"/>
    <w:tmpl w:val="0492B558"/>
    <w:lvl w:ilvl="0" w:tplc="1A441EF6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26" w15:restartNumberingAfterBreak="0">
    <w:nsid w:val="7F7DECA2"/>
    <w:multiLevelType w:val="multilevel"/>
    <w:tmpl w:val="7F7DECA2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Times New Roman" w:hAnsi="Times New Roman" w:cs="Times New Roman" w:hint="default"/>
        <w:sz w:val="21"/>
        <w:szCs w:val="2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972008979">
    <w:abstractNumId w:val="17"/>
  </w:num>
  <w:num w:numId="2" w16cid:durableId="2027365823">
    <w:abstractNumId w:val="12"/>
  </w:num>
  <w:num w:numId="3" w16cid:durableId="1816414616">
    <w:abstractNumId w:val="23"/>
  </w:num>
  <w:num w:numId="4" w16cid:durableId="2104104762">
    <w:abstractNumId w:val="13"/>
  </w:num>
  <w:num w:numId="5" w16cid:durableId="1820341649">
    <w:abstractNumId w:val="16"/>
  </w:num>
  <w:num w:numId="6" w16cid:durableId="988171151">
    <w:abstractNumId w:val="21"/>
  </w:num>
  <w:num w:numId="7" w16cid:durableId="1861310424">
    <w:abstractNumId w:val="10"/>
  </w:num>
  <w:num w:numId="8" w16cid:durableId="509875563">
    <w:abstractNumId w:val="24"/>
  </w:num>
  <w:num w:numId="9" w16cid:durableId="871461693">
    <w:abstractNumId w:val="8"/>
  </w:num>
  <w:num w:numId="10" w16cid:durableId="1814836403">
    <w:abstractNumId w:val="15"/>
  </w:num>
  <w:num w:numId="11" w16cid:durableId="517698332">
    <w:abstractNumId w:val="18"/>
  </w:num>
  <w:num w:numId="12" w16cid:durableId="2100249031">
    <w:abstractNumId w:val="5"/>
  </w:num>
  <w:num w:numId="13" w16cid:durableId="138613016">
    <w:abstractNumId w:val="20"/>
  </w:num>
  <w:num w:numId="14" w16cid:durableId="2031179725">
    <w:abstractNumId w:val="7"/>
  </w:num>
  <w:num w:numId="15" w16cid:durableId="1505586190">
    <w:abstractNumId w:val="19"/>
  </w:num>
  <w:num w:numId="16" w16cid:durableId="382212336">
    <w:abstractNumId w:val="14"/>
  </w:num>
  <w:num w:numId="17" w16cid:durableId="1312171337">
    <w:abstractNumId w:val="9"/>
  </w:num>
  <w:num w:numId="18" w16cid:durableId="676343369">
    <w:abstractNumId w:val="2"/>
  </w:num>
  <w:num w:numId="19" w16cid:durableId="834803733">
    <w:abstractNumId w:val="4"/>
  </w:num>
  <w:num w:numId="20" w16cid:durableId="770055770">
    <w:abstractNumId w:val="22"/>
  </w:num>
  <w:num w:numId="21" w16cid:durableId="394007813">
    <w:abstractNumId w:val="11"/>
  </w:num>
  <w:num w:numId="22" w16cid:durableId="2062749804">
    <w:abstractNumId w:val="3"/>
  </w:num>
  <w:num w:numId="23" w16cid:durableId="2103795380">
    <w:abstractNumId w:val="25"/>
  </w:num>
  <w:num w:numId="24" w16cid:durableId="1228296194">
    <w:abstractNumId w:val="6"/>
  </w:num>
  <w:num w:numId="25" w16cid:durableId="1174758904">
    <w:abstractNumId w:val="1"/>
  </w:num>
  <w:num w:numId="26" w16cid:durableId="523716152">
    <w:abstractNumId w:val="0"/>
  </w:num>
  <w:num w:numId="27" w16cid:durableId="47618708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C8B"/>
    <w:rsid w:val="000033B2"/>
    <w:rsid w:val="00003E67"/>
    <w:rsid w:val="000047E0"/>
    <w:rsid w:val="00005571"/>
    <w:rsid w:val="000120CD"/>
    <w:rsid w:val="0001277A"/>
    <w:rsid w:val="000131D0"/>
    <w:rsid w:val="00016EE5"/>
    <w:rsid w:val="00025632"/>
    <w:rsid w:val="00030586"/>
    <w:rsid w:val="00030AA6"/>
    <w:rsid w:val="00032717"/>
    <w:rsid w:val="000367B2"/>
    <w:rsid w:val="00041146"/>
    <w:rsid w:val="0004149F"/>
    <w:rsid w:val="00047E36"/>
    <w:rsid w:val="000538F2"/>
    <w:rsid w:val="00057E37"/>
    <w:rsid w:val="000651C6"/>
    <w:rsid w:val="000702EE"/>
    <w:rsid w:val="00071C87"/>
    <w:rsid w:val="00081075"/>
    <w:rsid w:val="0008457F"/>
    <w:rsid w:val="00086BF2"/>
    <w:rsid w:val="00092659"/>
    <w:rsid w:val="000956DB"/>
    <w:rsid w:val="000965C6"/>
    <w:rsid w:val="000966B7"/>
    <w:rsid w:val="000A03AB"/>
    <w:rsid w:val="000A5306"/>
    <w:rsid w:val="000B16F9"/>
    <w:rsid w:val="000B6578"/>
    <w:rsid w:val="000B71B0"/>
    <w:rsid w:val="000D2496"/>
    <w:rsid w:val="000E00E7"/>
    <w:rsid w:val="000E260C"/>
    <w:rsid w:val="000E3947"/>
    <w:rsid w:val="000E3D10"/>
    <w:rsid w:val="000E46D2"/>
    <w:rsid w:val="000F21BA"/>
    <w:rsid w:val="000F25CC"/>
    <w:rsid w:val="000F6F82"/>
    <w:rsid w:val="00102C96"/>
    <w:rsid w:val="0010351F"/>
    <w:rsid w:val="001043FD"/>
    <w:rsid w:val="00107509"/>
    <w:rsid w:val="00107CDC"/>
    <w:rsid w:val="001103EC"/>
    <w:rsid w:val="001126ED"/>
    <w:rsid w:val="00112E3D"/>
    <w:rsid w:val="00114005"/>
    <w:rsid w:val="00115766"/>
    <w:rsid w:val="00115933"/>
    <w:rsid w:val="0011783C"/>
    <w:rsid w:val="001206B2"/>
    <w:rsid w:val="001244F1"/>
    <w:rsid w:val="00125DAC"/>
    <w:rsid w:val="00126367"/>
    <w:rsid w:val="00126579"/>
    <w:rsid w:val="00126B71"/>
    <w:rsid w:val="00133A70"/>
    <w:rsid w:val="00137F62"/>
    <w:rsid w:val="00143A8C"/>
    <w:rsid w:val="0015126D"/>
    <w:rsid w:val="00151BB5"/>
    <w:rsid w:val="00152719"/>
    <w:rsid w:val="00153BAF"/>
    <w:rsid w:val="001554EA"/>
    <w:rsid w:val="00170947"/>
    <w:rsid w:val="001722C7"/>
    <w:rsid w:val="00172A7A"/>
    <w:rsid w:val="00176461"/>
    <w:rsid w:val="0018520D"/>
    <w:rsid w:val="00186D25"/>
    <w:rsid w:val="001909B6"/>
    <w:rsid w:val="00190DFC"/>
    <w:rsid w:val="0019176A"/>
    <w:rsid w:val="00193256"/>
    <w:rsid w:val="00195CDD"/>
    <w:rsid w:val="001A046A"/>
    <w:rsid w:val="001A16CF"/>
    <w:rsid w:val="001A1F3A"/>
    <w:rsid w:val="001A2067"/>
    <w:rsid w:val="001A30B4"/>
    <w:rsid w:val="001A4218"/>
    <w:rsid w:val="001A427E"/>
    <w:rsid w:val="001A791C"/>
    <w:rsid w:val="001B2902"/>
    <w:rsid w:val="001B2C51"/>
    <w:rsid w:val="001B4BF2"/>
    <w:rsid w:val="001B66B3"/>
    <w:rsid w:val="001B7697"/>
    <w:rsid w:val="001B79CE"/>
    <w:rsid w:val="001C3204"/>
    <w:rsid w:val="001D0C68"/>
    <w:rsid w:val="001D3627"/>
    <w:rsid w:val="001D6835"/>
    <w:rsid w:val="001D6C59"/>
    <w:rsid w:val="001D72AD"/>
    <w:rsid w:val="001E0AA9"/>
    <w:rsid w:val="001E35DC"/>
    <w:rsid w:val="001E636D"/>
    <w:rsid w:val="001E674E"/>
    <w:rsid w:val="001F5AA1"/>
    <w:rsid w:val="002015FC"/>
    <w:rsid w:val="0020465A"/>
    <w:rsid w:val="002069BF"/>
    <w:rsid w:val="00207B1E"/>
    <w:rsid w:val="002141AB"/>
    <w:rsid w:val="00216415"/>
    <w:rsid w:val="00222B7A"/>
    <w:rsid w:val="00224FAF"/>
    <w:rsid w:val="00227D46"/>
    <w:rsid w:val="00227ECC"/>
    <w:rsid w:val="00233086"/>
    <w:rsid w:val="00236236"/>
    <w:rsid w:val="00237FB8"/>
    <w:rsid w:val="00240AE0"/>
    <w:rsid w:val="00243549"/>
    <w:rsid w:val="00243960"/>
    <w:rsid w:val="00244D2F"/>
    <w:rsid w:val="00246EB1"/>
    <w:rsid w:val="0025432E"/>
    <w:rsid w:val="002548B9"/>
    <w:rsid w:val="00256327"/>
    <w:rsid w:val="002569CF"/>
    <w:rsid w:val="00260872"/>
    <w:rsid w:val="00261CD2"/>
    <w:rsid w:val="00264CE5"/>
    <w:rsid w:val="00271632"/>
    <w:rsid w:val="00271F56"/>
    <w:rsid w:val="002724DF"/>
    <w:rsid w:val="00272BCD"/>
    <w:rsid w:val="002735E8"/>
    <w:rsid w:val="00273869"/>
    <w:rsid w:val="00276FD9"/>
    <w:rsid w:val="002770E0"/>
    <w:rsid w:val="00280C1B"/>
    <w:rsid w:val="00282170"/>
    <w:rsid w:val="002922E1"/>
    <w:rsid w:val="002947C2"/>
    <w:rsid w:val="002A2F40"/>
    <w:rsid w:val="002A540A"/>
    <w:rsid w:val="002A6DDC"/>
    <w:rsid w:val="002A7478"/>
    <w:rsid w:val="002B0FC3"/>
    <w:rsid w:val="002B1741"/>
    <w:rsid w:val="002B55A4"/>
    <w:rsid w:val="002C2C23"/>
    <w:rsid w:val="002C75CF"/>
    <w:rsid w:val="002D11C8"/>
    <w:rsid w:val="002D2191"/>
    <w:rsid w:val="002D30DE"/>
    <w:rsid w:val="002D5D60"/>
    <w:rsid w:val="002D6236"/>
    <w:rsid w:val="002D693D"/>
    <w:rsid w:val="002D741E"/>
    <w:rsid w:val="002D790C"/>
    <w:rsid w:val="002E3485"/>
    <w:rsid w:val="002E5942"/>
    <w:rsid w:val="002F0E59"/>
    <w:rsid w:val="002F4FAA"/>
    <w:rsid w:val="003033EE"/>
    <w:rsid w:val="003120AD"/>
    <w:rsid w:val="0031247A"/>
    <w:rsid w:val="003124C9"/>
    <w:rsid w:val="00312A60"/>
    <w:rsid w:val="003149CE"/>
    <w:rsid w:val="0031514B"/>
    <w:rsid w:val="003153E8"/>
    <w:rsid w:val="003165EA"/>
    <w:rsid w:val="003166FE"/>
    <w:rsid w:val="00316746"/>
    <w:rsid w:val="00320BDB"/>
    <w:rsid w:val="00320C32"/>
    <w:rsid w:val="003226A1"/>
    <w:rsid w:val="00323060"/>
    <w:rsid w:val="003250A3"/>
    <w:rsid w:val="003304BE"/>
    <w:rsid w:val="0033649A"/>
    <w:rsid w:val="003374FC"/>
    <w:rsid w:val="003412FD"/>
    <w:rsid w:val="00341F7E"/>
    <w:rsid w:val="00344EB6"/>
    <w:rsid w:val="00345D66"/>
    <w:rsid w:val="0034696C"/>
    <w:rsid w:val="00350605"/>
    <w:rsid w:val="00353A5A"/>
    <w:rsid w:val="00353C15"/>
    <w:rsid w:val="00354531"/>
    <w:rsid w:val="00360B85"/>
    <w:rsid w:val="00361421"/>
    <w:rsid w:val="003702BE"/>
    <w:rsid w:val="0038124C"/>
    <w:rsid w:val="00381D0D"/>
    <w:rsid w:val="00383526"/>
    <w:rsid w:val="003918DF"/>
    <w:rsid w:val="00392354"/>
    <w:rsid w:val="0039327D"/>
    <w:rsid w:val="003953B3"/>
    <w:rsid w:val="003967F3"/>
    <w:rsid w:val="003A061D"/>
    <w:rsid w:val="003A22A5"/>
    <w:rsid w:val="003A4452"/>
    <w:rsid w:val="003A5DFC"/>
    <w:rsid w:val="003B2653"/>
    <w:rsid w:val="003B467B"/>
    <w:rsid w:val="003B7887"/>
    <w:rsid w:val="003D1DC8"/>
    <w:rsid w:val="003D26C1"/>
    <w:rsid w:val="003D54F6"/>
    <w:rsid w:val="003E03B5"/>
    <w:rsid w:val="003E336D"/>
    <w:rsid w:val="003F13B1"/>
    <w:rsid w:val="003F13BA"/>
    <w:rsid w:val="003F4C21"/>
    <w:rsid w:val="00401732"/>
    <w:rsid w:val="00401F43"/>
    <w:rsid w:val="00403D65"/>
    <w:rsid w:val="00414806"/>
    <w:rsid w:val="004171AE"/>
    <w:rsid w:val="00426546"/>
    <w:rsid w:val="00431FCE"/>
    <w:rsid w:val="00432499"/>
    <w:rsid w:val="00433E90"/>
    <w:rsid w:val="00436B6F"/>
    <w:rsid w:val="00437CEF"/>
    <w:rsid w:val="00441887"/>
    <w:rsid w:val="0044530A"/>
    <w:rsid w:val="00446771"/>
    <w:rsid w:val="0044695C"/>
    <w:rsid w:val="00452A1E"/>
    <w:rsid w:val="004626D1"/>
    <w:rsid w:val="0046396D"/>
    <w:rsid w:val="00470A34"/>
    <w:rsid w:val="00472D31"/>
    <w:rsid w:val="004730B7"/>
    <w:rsid w:val="004735A8"/>
    <w:rsid w:val="004814CD"/>
    <w:rsid w:val="00483520"/>
    <w:rsid w:val="004835A0"/>
    <w:rsid w:val="004877AE"/>
    <w:rsid w:val="004922F2"/>
    <w:rsid w:val="00495388"/>
    <w:rsid w:val="00497167"/>
    <w:rsid w:val="004A1C0D"/>
    <w:rsid w:val="004A319C"/>
    <w:rsid w:val="004B20A9"/>
    <w:rsid w:val="004B66CD"/>
    <w:rsid w:val="004B7C38"/>
    <w:rsid w:val="004C066A"/>
    <w:rsid w:val="004C17B7"/>
    <w:rsid w:val="004C3911"/>
    <w:rsid w:val="004C42A6"/>
    <w:rsid w:val="004C452D"/>
    <w:rsid w:val="004C50F3"/>
    <w:rsid w:val="004C7115"/>
    <w:rsid w:val="004D0200"/>
    <w:rsid w:val="004D342C"/>
    <w:rsid w:val="004E3C64"/>
    <w:rsid w:val="004E496B"/>
    <w:rsid w:val="004F0E93"/>
    <w:rsid w:val="004F1AB6"/>
    <w:rsid w:val="004F3D39"/>
    <w:rsid w:val="004F59E0"/>
    <w:rsid w:val="004F686A"/>
    <w:rsid w:val="005033CB"/>
    <w:rsid w:val="005036BE"/>
    <w:rsid w:val="005056E7"/>
    <w:rsid w:val="00510C4F"/>
    <w:rsid w:val="00517AEB"/>
    <w:rsid w:val="005214E8"/>
    <w:rsid w:val="0052175E"/>
    <w:rsid w:val="00522A4D"/>
    <w:rsid w:val="00527FC7"/>
    <w:rsid w:val="00540400"/>
    <w:rsid w:val="00542A7D"/>
    <w:rsid w:val="0054328A"/>
    <w:rsid w:val="005477AF"/>
    <w:rsid w:val="00551373"/>
    <w:rsid w:val="00554C92"/>
    <w:rsid w:val="00556BEE"/>
    <w:rsid w:val="00564848"/>
    <w:rsid w:val="005668F3"/>
    <w:rsid w:val="0056696F"/>
    <w:rsid w:val="00566A84"/>
    <w:rsid w:val="005720C5"/>
    <w:rsid w:val="0057238D"/>
    <w:rsid w:val="00573A84"/>
    <w:rsid w:val="0058441A"/>
    <w:rsid w:val="00584BDC"/>
    <w:rsid w:val="00586F90"/>
    <w:rsid w:val="0058727D"/>
    <w:rsid w:val="005878CE"/>
    <w:rsid w:val="00591F6D"/>
    <w:rsid w:val="00593227"/>
    <w:rsid w:val="00597742"/>
    <w:rsid w:val="005A0578"/>
    <w:rsid w:val="005A1970"/>
    <w:rsid w:val="005A22A8"/>
    <w:rsid w:val="005A5AE7"/>
    <w:rsid w:val="005A66E0"/>
    <w:rsid w:val="005B2E16"/>
    <w:rsid w:val="005B4888"/>
    <w:rsid w:val="005C7412"/>
    <w:rsid w:val="005C75D0"/>
    <w:rsid w:val="005D2987"/>
    <w:rsid w:val="005E120A"/>
    <w:rsid w:val="005E3F61"/>
    <w:rsid w:val="005E6F08"/>
    <w:rsid w:val="005F03B1"/>
    <w:rsid w:val="005F2EE9"/>
    <w:rsid w:val="005F394C"/>
    <w:rsid w:val="00602E35"/>
    <w:rsid w:val="00605226"/>
    <w:rsid w:val="00614CAA"/>
    <w:rsid w:val="0061764C"/>
    <w:rsid w:val="006230DF"/>
    <w:rsid w:val="00627F20"/>
    <w:rsid w:val="00631931"/>
    <w:rsid w:val="00633257"/>
    <w:rsid w:val="00634B14"/>
    <w:rsid w:val="0064079D"/>
    <w:rsid w:val="0064327A"/>
    <w:rsid w:val="00643A69"/>
    <w:rsid w:val="00644649"/>
    <w:rsid w:val="00644C96"/>
    <w:rsid w:val="00647573"/>
    <w:rsid w:val="0065475B"/>
    <w:rsid w:val="00666924"/>
    <w:rsid w:val="00666D81"/>
    <w:rsid w:val="00670002"/>
    <w:rsid w:val="00673849"/>
    <w:rsid w:val="0067507F"/>
    <w:rsid w:val="00675F3C"/>
    <w:rsid w:val="006805DB"/>
    <w:rsid w:val="00685B92"/>
    <w:rsid w:val="00692B68"/>
    <w:rsid w:val="006945F1"/>
    <w:rsid w:val="006A2D46"/>
    <w:rsid w:val="006A694D"/>
    <w:rsid w:val="006A69FD"/>
    <w:rsid w:val="006B14AC"/>
    <w:rsid w:val="006B2D23"/>
    <w:rsid w:val="006B4E9F"/>
    <w:rsid w:val="006B6E1C"/>
    <w:rsid w:val="006C0147"/>
    <w:rsid w:val="006C26D4"/>
    <w:rsid w:val="006C2AD4"/>
    <w:rsid w:val="006C3634"/>
    <w:rsid w:val="006C51F9"/>
    <w:rsid w:val="006C5789"/>
    <w:rsid w:val="006C7D6B"/>
    <w:rsid w:val="006D028F"/>
    <w:rsid w:val="006D28CA"/>
    <w:rsid w:val="006D2B6D"/>
    <w:rsid w:val="006D53F8"/>
    <w:rsid w:val="006D65C7"/>
    <w:rsid w:val="006E113B"/>
    <w:rsid w:val="006E711F"/>
    <w:rsid w:val="006F3BBD"/>
    <w:rsid w:val="006F6D47"/>
    <w:rsid w:val="0070062F"/>
    <w:rsid w:val="00702B7E"/>
    <w:rsid w:val="00702D8B"/>
    <w:rsid w:val="007063FC"/>
    <w:rsid w:val="00707F31"/>
    <w:rsid w:val="0071099A"/>
    <w:rsid w:val="007237C4"/>
    <w:rsid w:val="00727022"/>
    <w:rsid w:val="0073100E"/>
    <w:rsid w:val="007310F4"/>
    <w:rsid w:val="00731E9C"/>
    <w:rsid w:val="00732EDC"/>
    <w:rsid w:val="007366AB"/>
    <w:rsid w:val="00740703"/>
    <w:rsid w:val="00745D8E"/>
    <w:rsid w:val="00747BCD"/>
    <w:rsid w:val="007502B0"/>
    <w:rsid w:val="007609FD"/>
    <w:rsid w:val="007613EC"/>
    <w:rsid w:val="00762205"/>
    <w:rsid w:val="007727F5"/>
    <w:rsid w:val="00775FFB"/>
    <w:rsid w:val="00780195"/>
    <w:rsid w:val="007820BD"/>
    <w:rsid w:val="0078261D"/>
    <w:rsid w:val="0078432E"/>
    <w:rsid w:val="00786D2F"/>
    <w:rsid w:val="007939B2"/>
    <w:rsid w:val="007947FA"/>
    <w:rsid w:val="007A2819"/>
    <w:rsid w:val="007A3399"/>
    <w:rsid w:val="007A6BCA"/>
    <w:rsid w:val="007B323B"/>
    <w:rsid w:val="007B511C"/>
    <w:rsid w:val="007C01DB"/>
    <w:rsid w:val="007C160C"/>
    <w:rsid w:val="007C1C5E"/>
    <w:rsid w:val="007C2571"/>
    <w:rsid w:val="007C2778"/>
    <w:rsid w:val="007C3B17"/>
    <w:rsid w:val="007C5C86"/>
    <w:rsid w:val="007D03F0"/>
    <w:rsid w:val="007D1430"/>
    <w:rsid w:val="007D1AE7"/>
    <w:rsid w:val="007D28B1"/>
    <w:rsid w:val="007D3C49"/>
    <w:rsid w:val="007D3F1D"/>
    <w:rsid w:val="007D551E"/>
    <w:rsid w:val="007E009A"/>
    <w:rsid w:val="007E0265"/>
    <w:rsid w:val="007E0498"/>
    <w:rsid w:val="007E37EB"/>
    <w:rsid w:val="007E5351"/>
    <w:rsid w:val="007E79FA"/>
    <w:rsid w:val="007F25E5"/>
    <w:rsid w:val="007F3D49"/>
    <w:rsid w:val="007F5BDE"/>
    <w:rsid w:val="00801849"/>
    <w:rsid w:val="0080695C"/>
    <w:rsid w:val="00807673"/>
    <w:rsid w:val="00807BB1"/>
    <w:rsid w:val="008106E9"/>
    <w:rsid w:val="0081165C"/>
    <w:rsid w:val="00814CF3"/>
    <w:rsid w:val="00815686"/>
    <w:rsid w:val="00817F8C"/>
    <w:rsid w:val="008209C2"/>
    <w:rsid w:val="0082211B"/>
    <w:rsid w:val="0082432C"/>
    <w:rsid w:val="0083086A"/>
    <w:rsid w:val="008316FC"/>
    <w:rsid w:val="00831D12"/>
    <w:rsid w:val="00837F43"/>
    <w:rsid w:val="00843134"/>
    <w:rsid w:val="00843B4E"/>
    <w:rsid w:val="00843E3A"/>
    <w:rsid w:val="00846247"/>
    <w:rsid w:val="0084692C"/>
    <w:rsid w:val="008545D8"/>
    <w:rsid w:val="00857313"/>
    <w:rsid w:val="00861102"/>
    <w:rsid w:val="00864A8D"/>
    <w:rsid w:val="00870C8C"/>
    <w:rsid w:val="00874107"/>
    <w:rsid w:val="008804D3"/>
    <w:rsid w:val="008809D0"/>
    <w:rsid w:val="00880FE3"/>
    <w:rsid w:val="00883001"/>
    <w:rsid w:val="008857D4"/>
    <w:rsid w:val="00885888"/>
    <w:rsid w:val="00885EE3"/>
    <w:rsid w:val="00886118"/>
    <w:rsid w:val="00886371"/>
    <w:rsid w:val="00886409"/>
    <w:rsid w:val="00893584"/>
    <w:rsid w:val="008944F5"/>
    <w:rsid w:val="008A0C18"/>
    <w:rsid w:val="008A4C44"/>
    <w:rsid w:val="008B06FA"/>
    <w:rsid w:val="008B10A5"/>
    <w:rsid w:val="008B1395"/>
    <w:rsid w:val="008B15EC"/>
    <w:rsid w:val="008B52BF"/>
    <w:rsid w:val="008B7862"/>
    <w:rsid w:val="008C4880"/>
    <w:rsid w:val="008C4B7E"/>
    <w:rsid w:val="008D138F"/>
    <w:rsid w:val="008D1F73"/>
    <w:rsid w:val="008D2ADD"/>
    <w:rsid w:val="008D4CF2"/>
    <w:rsid w:val="008D5659"/>
    <w:rsid w:val="008E0439"/>
    <w:rsid w:val="008E0B1D"/>
    <w:rsid w:val="008E0EE4"/>
    <w:rsid w:val="008E1C86"/>
    <w:rsid w:val="008E5740"/>
    <w:rsid w:val="008E76E8"/>
    <w:rsid w:val="008E7A0D"/>
    <w:rsid w:val="008F0E9C"/>
    <w:rsid w:val="008F1EBC"/>
    <w:rsid w:val="008F2041"/>
    <w:rsid w:val="008F471B"/>
    <w:rsid w:val="008F4741"/>
    <w:rsid w:val="00904535"/>
    <w:rsid w:val="00904A6E"/>
    <w:rsid w:val="00910CD8"/>
    <w:rsid w:val="009134EC"/>
    <w:rsid w:val="009207F4"/>
    <w:rsid w:val="00927230"/>
    <w:rsid w:val="00927359"/>
    <w:rsid w:val="009275E9"/>
    <w:rsid w:val="009346A7"/>
    <w:rsid w:val="00934C56"/>
    <w:rsid w:val="00950061"/>
    <w:rsid w:val="00950AEC"/>
    <w:rsid w:val="00957714"/>
    <w:rsid w:val="00961405"/>
    <w:rsid w:val="0096162D"/>
    <w:rsid w:val="009627B9"/>
    <w:rsid w:val="0096306D"/>
    <w:rsid w:val="009642EF"/>
    <w:rsid w:val="00970775"/>
    <w:rsid w:val="009714BD"/>
    <w:rsid w:val="0097300A"/>
    <w:rsid w:val="00982DBC"/>
    <w:rsid w:val="0098349A"/>
    <w:rsid w:val="0098702B"/>
    <w:rsid w:val="00987668"/>
    <w:rsid w:val="00991F10"/>
    <w:rsid w:val="00992141"/>
    <w:rsid w:val="0099299B"/>
    <w:rsid w:val="00992FC3"/>
    <w:rsid w:val="009955D0"/>
    <w:rsid w:val="0099746E"/>
    <w:rsid w:val="009A6239"/>
    <w:rsid w:val="009B33EA"/>
    <w:rsid w:val="009B60AC"/>
    <w:rsid w:val="009B64C7"/>
    <w:rsid w:val="009B7C17"/>
    <w:rsid w:val="009C7CFB"/>
    <w:rsid w:val="009D6204"/>
    <w:rsid w:val="009D6CA0"/>
    <w:rsid w:val="009E483E"/>
    <w:rsid w:val="009E4A9A"/>
    <w:rsid w:val="009E4B7E"/>
    <w:rsid w:val="009E7C18"/>
    <w:rsid w:val="009F0F19"/>
    <w:rsid w:val="009F2A11"/>
    <w:rsid w:val="009F7AFE"/>
    <w:rsid w:val="009F7F2C"/>
    <w:rsid w:val="00A01FDD"/>
    <w:rsid w:val="00A04A78"/>
    <w:rsid w:val="00A06BA3"/>
    <w:rsid w:val="00A10829"/>
    <w:rsid w:val="00A12BCE"/>
    <w:rsid w:val="00A13A35"/>
    <w:rsid w:val="00A179B2"/>
    <w:rsid w:val="00A214DD"/>
    <w:rsid w:val="00A264B5"/>
    <w:rsid w:val="00A268CC"/>
    <w:rsid w:val="00A27118"/>
    <w:rsid w:val="00A307D0"/>
    <w:rsid w:val="00A35810"/>
    <w:rsid w:val="00A36F45"/>
    <w:rsid w:val="00A40A70"/>
    <w:rsid w:val="00A41301"/>
    <w:rsid w:val="00A42A41"/>
    <w:rsid w:val="00A443E4"/>
    <w:rsid w:val="00A4532C"/>
    <w:rsid w:val="00A46FDF"/>
    <w:rsid w:val="00A57EC4"/>
    <w:rsid w:val="00A660E1"/>
    <w:rsid w:val="00A66146"/>
    <w:rsid w:val="00A66234"/>
    <w:rsid w:val="00A70DCA"/>
    <w:rsid w:val="00A714C0"/>
    <w:rsid w:val="00A71E68"/>
    <w:rsid w:val="00A720C8"/>
    <w:rsid w:val="00A723C2"/>
    <w:rsid w:val="00A73ABC"/>
    <w:rsid w:val="00A77A6F"/>
    <w:rsid w:val="00A77FBD"/>
    <w:rsid w:val="00A80878"/>
    <w:rsid w:val="00A84489"/>
    <w:rsid w:val="00A84DCB"/>
    <w:rsid w:val="00A86507"/>
    <w:rsid w:val="00A866FC"/>
    <w:rsid w:val="00A913C7"/>
    <w:rsid w:val="00A96216"/>
    <w:rsid w:val="00AA1FE8"/>
    <w:rsid w:val="00AA239F"/>
    <w:rsid w:val="00AB075B"/>
    <w:rsid w:val="00AB1ADE"/>
    <w:rsid w:val="00AB2900"/>
    <w:rsid w:val="00AB2E79"/>
    <w:rsid w:val="00AB48FB"/>
    <w:rsid w:val="00AB6F5C"/>
    <w:rsid w:val="00AC0422"/>
    <w:rsid w:val="00AC5A39"/>
    <w:rsid w:val="00AD66D5"/>
    <w:rsid w:val="00AD72F7"/>
    <w:rsid w:val="00AE35A1"/>
    <w:rsid w:val="00AE781B"/>
    <w:rsid w:val="00AF3FAF"/>
    <w:rsid w:val="00AF5551"/>
    <w:rsid w:val="00AF56B6"/>
    <w:rsid w:val="00AF5FB4"/>
    <w:rsid w:val="00AF63E1"/>
    <w:rsid w:val="00B004F1"/>
    <w:rsid w:val="00B00FB5"/>
    <w:rsid w:val="00B03027"/>
    <w:rsid w:val="00B03A1E"/>
    <w:rsid w:val="00B10013"/>
    <w:rsid w:val="00B11690"/>
    <w:rsid w:val="00B11691"/>
    <w:rsid w:val="00B1332A"/>
    <w:rsid w:val="00B16798"/>
    <w:rsid w:val="00B17B06"/>
    <w:rsid w:val="00B26FAB"/>
    <w:rsid w:val="00B30022"/>
    <w:rsid w:val="00B31070"/>
    <w:rsid w:val="00B33982"/>
    <w:rsid w:val="00B33C2B"/>
    <w:rsid w:val="00B365E6"/>
    <w:rsid w:val="00B545FE"/>
    <w:rsid w:val="00B60D04"/>
    <w:rsid w:val="00B62CAB"/>
    <w:rsid w:val="00B6412B"/>
    <w:rsid w:val="00B73830"/>
    <w:rsid w:val="00B7402B"/>
    <w:rsid w:val="00B76790"/>
    <w:rsid w:val="00B8031A"/>
    <w:rsid w:val="00B805E2"/>
    <w:rsid w:val="00B82E27"/>
    <w:rsid w:val="00B830DA"/>
    <w:rsid w:val="00B8333A"/>
    <w:rsid w:val="00B8537E"/>
    <w:rsid w:val="00B85CC7"/>
    <w:rsid w:val="00B865ED"/>
    <w:rsid w:val="00B929D4"/>
    <w:rsid w:val="00BA4C0B"/>
    <w:rsid w:val="00BA6D09"/>
    <w:rsid w:val="00BB3205"/>
    <w:rsid w:val="00BB4238"/>
    <w:rsid w:val="00BB532E"/>
    <w:rsid w:val="00BB5F43"/>
    <w:rsid w:val="00BB6658"/>
    <w:rsid w:val="00BB72EC"/>
    <w:rsid w:val="00BC1272"/>
    <w:rsid w:val="00BC176B"/>
    <w:rsid w:val="00BC1BF9"/>
    <w:rsid w:val="00BC45A7"/>
    <w:rsid w:val="00BC76A2"/>
    <w:rsid w:val="00BC7C8B"/>
    <w:rsid w:val="00BD0F48"/>
    <w:rsid w:val="00BD1F9D"/>
    <w:rsid w:val="00BD1FDA"/>
    <w:rsid w:val="00BD454B"/>
    <w:rsid w:val="00BE189D"/>
    <w:rsid w:val="00BE3823"/>
    <w:rsid w:val="00BE5335"/>
    <w:rsid w:val="00BE5B3A"/>
    <w:rsid w:val="00BF0F01"/>
    <w:rsid w:val="00C02237"/>
    <w:rsid w:val="00C026DC"/>
    <w:rsid w:val="00C10F6F"/>
    <w:rsid w:val="00C110A1"/>
    <w:rsid w:val="00C1496A"/>
    <w:rsid w:val="00C15BFD"/>
    <w:rsid w:val="00C21720"/>
    <w:rsid w:val="00C21E7C"/>
    <w:rsid w:val="00C22A1C"/>
    <w:rsid w:val="00C25211"/>
    <w:rsid w:val="00C26A84"/>
    <w:rsid w:val="00C30F13"/>
    <w:rsid w:val="00C35F1F"/>
    <w:rsid w:val="00C37901"/>
    <w:rsid w:val="00C41038"/>
    <w:rsid w:val="00C4144C"/>
    <w:rsid w:val="00C417C7"/>
    <w:rsid w:val="00C43AC9"/>
    <w:rsid w:val="00C50CB5"/>
    <w:rsid w:val="00C51333"/>
    <w:rsid w:val="00C568A8"/>
    <w:rsid w:val="00C578AB"/>
    <w:rsid w:val="00C624FF"/>
    <w:rsid w:val="00C638F1"/>
    <w:rsid w:val="00C743C9"/>
    <w:rsid w:val="00C80A72"/>
    <w:rsid w:val="00C832EF"/>
    <w:rsid w:val="00C84D79"/>
    <w:rsid w:val="00C858CB"/>
    <w:rsid w:val="00C87AD9"/>
    <w:rsid w:val="00C908A8"/>
    <w:rsid w:val="00C91617"/>
    <w:rsid w:val="00CA0AD8"/>
    <w:rsid w:val="00CA4F90"/>
    <w:rsid w:val="00CA51C7"/>
    <w:rsid w:val="00CA6A8F"/>
    <w:rsid w:val="00CB5CD1"/>
    <w:rsid w:val="00CB675F"/>
    <w:rsid w:val="00CB7029"/>
    <w:rsid w:val="00CB7C2E"/>
    <w:rsid w:val="00CC31CC"/>
    <w:rsid w:val="00CC663F"/>
    <w:rsid w:val="00CD3B11"/>
    <w:rsid w:val="00CD53BF"/>
    <w:rsid w:val="00CD5D4A"/>
    <w:rsid w:val="00CD6EBF"/>
    <w:rsid w:val="00CE0154"/>
    <w:rsid w:val="00CE1E82"/>
    <w:rsid w:val="00CE1F7E"/>
    <w:rsid w:val="00CE7742"/>
    <w:rsid w:val="00CF23C2"/>
    <w:rsid w:val="00CF41E3"/>
    <w:rsid w:val="00CF50A5"/>
    <w:rsid w:val="00CF5A4C"/>
    <w:rsid w:val="00CF6A76"/>
    <w:rsid w:val="00D04946"/>
    <w:rsid w:val="00D061B0"/>
    <w:rsid w:val="00D06A6B"/>
    <w:rsid w:val="00D101DD"/>
    <w:rsid w:val="00D11A8F"/>
    <w:rsid w:val="00D11EFE"/>
    <w:rsid w:val="00D160E3"/>
    <w:rsid w:val="00D161CA"/>
    <w:rsid w:val="00D1736C"/>
    <w:rsid w:val="00D17575"/>
    <w:rsid w:val="00D20B0F"/>
    <w:rsid w:val="00D21FC8"/>
    <w:rsid w:val="00D22CA2"/>
    <w:rsid w:val="00D22F2A"/>
    <w:rsid w:val="00D23A85"/>
    <w:rsid w:val="00D25B67"/>
    <w:rsid w:val="00D44E68"/>
    <w:rsid w:val="00D45409"/>
    <w:rsid w:val="00D456E1"/>
    <w:rsid w:val="00D47B43"/>
    <w:rsid w:val="00D5071D"/>
    <w:rsid w:val="00D51040"/>
    <w:rsid w:val="00D516D7"/>
    <w:rsid w:val="00D519AD"/>
    <w:rsid w:val="00D544B5"/>
    <w:rsid w:val="00D55272"/>
    <w:rsid w:val="00D6013B"/>
    <w:rsid w:val="00D63247"/>
    <w:rsid w:val="00D63588"/>
    <w:rsid w:val="00D639EF"/>
    <w:rsid w:val="00D74BE1"/>
    <w:rsid w:val="00D81B9A"/>
    <w:rsid w:val="00D84909"/>
    <w:rsid w:val="00D902CC"/>
    <w:rsid w:val="00D9049A"/>
    <w:rsid w:val="00D92BA0"/>
    <w:rsid w:val="00D934D1"/>
    <w:rsid w:val="00D94DF2"/>
    <w:rsid w:val="00DA1517"/>
    <w:rsid w:val="00DA3519"/>
    <w:rsid w:val="00DA52E9"/>
    <w:rsid w:val="00DA6081"/>
    <w:rsid w:val="00DA7BB5"/>
    <w:rsid w:val="00DB5732"/>
    <w:rsid w:val="00DB5E66"/>
    <w:rsid w:val="00DC0913"/>
    <w:rsid w:val="00DC0C1F"/>
    <w:rsid w:val="00DC1499"/>
    <w:rsid w:val="00DC2887"/>
    <w:rsid w:val="00DD13B9"/>
    <w:rsid w:val="00DD5323"/>
    <w:rsid w:val="00DD54A5"/>
    <w:rsid w:val="00DD5C2A"/>
    <w:rsid w:val="00DE0216"/>
    <w:rsid w:val="00DE0F57"/>
    <w:rsid w:val="00DE18BD"/>
    <w:rsid w:val="00DE6E20"/>
    <w:rsid w:val="00DE7326"/>
    <w:rsid w:val="00DF3342"/>
    <w:rsid w:val="00E00872"/>
    <w:rsid w:val="00E00AD6"/>
    <w:rsid w:val="00E024E2"/>
    <w:rsid w:val="00E036A0"/>
    <w:rsid w:val="00E10432"/>
    <w:rsid w:val="00E10A57"/>
    <w:rsid w:val="00E14057"/>
    <w:rsid w:val="00E148F0"/>
    <w:rsid w:val="00E1565B"/>
    <w:rsid w:val="00E202E4"/>
    <w:rsid w:val="00E24AD3"/>
    <w:rsid w:val="00E31A65"/>
    <w:rsid w:val="00E32CEF"/>
    <w:rsid w:val="00E36EB4"/>
    <w:rsid w:val="00E37A1D"/>
    <w:rsid w:val="00E40B28"/>
    <w:rsid w:val="00E41953"/>
    <w:rsid w:val="00E42237"/>
    <w:rsid w:val="00E4371E"/>
    <w:rsid w:val="00E45918"/>
    <w:rsid w:val="00E45D97"/>
    <w:rsid w:val="00E51ABD"/>
    <w:rsid w:val="00E52CAF"/>
    <w:rsid w:val="00E56751"/>
    <w:rsid w:val="00E60245"/>
    <w:rsid w:val="00E60BF9"/>
    <w:rsid w:val="00E60E69"/>
    <w:rsid w:val="00E613C9"/>
    <w:rsid w:val="00E64033"/>
    <w:rsid w:val="00E64809"/>
    <w:rsid w:val="00E66789"/>
    <w:rsid w:val="00E66AC7"/>
    <w:rsid w:val="00E66F1C"/>
    <w:rsid w:val="00E70C79"/>
    <w:rsid w:val="00E7211F"/>
    <w:rsid w:val="00E726AD"/>
    <w:rsid w:val="00E804C3"/>
    <w:rsid w:val="00E80A8A"/>
    <w:rsid w:val="00E8280B"/>
    <w:rsid w:val="00E84845"/>
    <w:rsid w:val="00E86CAD"/>
    <w:rsid w:val="00E91945"/>
    <w:rsid w:val="00E95A17"/>
    <w:rsid w:val="00E97E97"/>
    <w:rsid w:val="00EA00D0"/>
    <w:rsid w:val="00EA520B"/>
    <w:rsid w:val="00EA669F"/>
    <w:rsid w:val="00EA73A7"/>
    <w:rsid w:val="00EA7FEF"/>
    <w:rsid w:val="00EB12D1"/>
    <w:rsid w:val="00EB31E6"/>
    <w:rsid w:val="00EB3476"/>
    <w:rsid w:val="00EB3C06"/>
    <w:rsid w:val="00EB75D4"/>
    <w:rsid w:val="00EB78A5"/>
    <w:rsid w:val="00EC0169"/>
    <w:rsid w:val="00EC32D9"/>
    <w:rsid w:val="00ED0142"/>
    <w:rsid w:val="00ED3738"/>
    <w:rsid w:val="00EE3D20"/>
    <w:rsid w:val="00EE4656"/>
    <w:rsid w:val="00EE6701"/>
    <w:rsid w:val="00EE68C6"/>
    <w:rsid w:val="00EE6A52"/>
    <w:rsid w:val="00EF35F7"/>
    <w:rsid w:val="00EF40A0"/>
    <w:rsid w:val="00F01CB2"/>
    <w:rsid w:val="00F072F7"/>
    <w:rsid w:val="00F10437"/>
    <w:rsid w:val="00F134A5"/>
    <w:rsid w:val="00F136A1"/>
    <w:rsid w:val="00F13C86"/>
    <w:rsid w:val="00F1730D"/>
    <w:rsid w:val="00F174B2"/>
    <w:rsid w:val="00F22A97"/>
    <w:rsid w:val="00F265F2"/>
    <w:rsid w:val="00F277DC"/>
    <w:rsid w:val="00F30812"/>
    <w:rsid w:val="00F326E2"/>
    <w:rsid w:val="00F32E16"/>
    <w:rsid w:val="00F364E2"/>
    <w:rsid w:val="00F40B9D"/>
    <w:rsid w:val="00F448E6"/>
    <w:rsid w:val="00F448FA"/>
    <w:rsid w:val="00F46590"/>
    <w:rsid w:val="00F51BC0"/>
    <w:rsid w:val="00F51DF5"/>
    <w:rsid w:val="00F5611C"/>
    <w:rsid w:val="00F6063C"/>
    <w:rsid w:val="00F60B7B"/>
    <w:rsid w:val="00F6594C"/>
    <w:rsid w:val="00F71ECF"/>
    <w:rsid w:val="00F73B74"/>
    <w:rsid w:val="00F75FA2"/>
    <w:rsid w:val="00F770D1"/>
    <w:rsid w:val="00F805C7"/>
    <w:rsid w:val="00F83166"/>
    <w:rsid w:val="00F83B4E"/>
    <w:rsid w:val="00F90918"/>
    <w:rsid w:val="00F9233A"/>
    <w:rsid w:val="00F94CAC"/>
    <w:rsid w:val="00F950AF"/>
    <w:rsid w:val="00F972C5"/>
    <w:rsid w:val="00FB67A3"/>
    <w:rsid w:val="00FB7AAE"/>
    <w:rsid w:val="00FC2B9F"/>
    <w:rsid w:val="00FD0BA7"/>
    <w:rsid w:val="00FD1532"/>
    <w:rsid w:val="00FD4D2C"/>
    <w:rsid w:val="00FE06F9"/>
    <w:rsid w:val="00FE305B"/>
    <w:rsid w:val="00FE5607"/>
    <w:rsid w:val="00FE7E6D"/>
    <w:rsid w:val="00FF04F6"/>
    <w:rsid w:val="00FF18C4"/>
    <w:rsid w:val="00FF1C05"/>
    <w:rsid w:val="07F15BCB"/>
    <w:rsid w:val="3767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3E41AD3"/>
  <w15:docId w15:val="{CA27A935-005B-4915-BC7F-B61F755D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 w:ascii="Microsoft YaHei" w:hAnsi="Microsoft YaHei" w:eastAsia="Microsoft YaHe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styleId="aa">
    <w:name w:val="List Paragraph"/>
    <w:basedOn w:val="a"/>
    <w:uiPriority w:val="34"/>
    <w:qFormat/>
    <w:pPr>
      <w:ind w:firstLineChars="200" w:firstLine="420"/>
    </w:pPr>
    <w:rPr>
      <w:rFonts w:ascii="Microsoft YaHei" w:hAnsi="Microsoft YaHei" w:eastAsia="Microsoft YaHei"/>
      <w:sz w:val="21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F51BC0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F51BC0"/>
    <w:rPr>
      <w:rFonts w:asciiTheme="minorHAnsi" w:eastAsiaTheme="minorEastAsia" w:hAnsiTheme="minorHAnsi" w:cstheme="minorBidi"/>
      <w:kern w:val="2"/>
      <w:sz w:val="18"/>
      <w:szCs w:val="18"/>
    </w:rPr>
  </w:style>
  <w:style w:type="table" w:customStyle="1" w:styleId="1-51">
    <w:name w:val="网格表 1 浅色 - 着色 51"/>
    <w:basedOn w:val="a1"/>
    <w:uiPriority w:val="46"/>
    <w:rsid w:val="008F471B"/>
    <w:rPr>
      <w:rFonts w:asciiTheme="minorHAnsi" w:eastAsiaTheme="minorEastAsia" w:hAnsiTheme="minorHAnsi" w:cstheme="minorBidi"/>
      <w:kern w:val="2"/>
      <w:sz w:val="21"/>
      <w:szCs w:val="22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d">
    <w:name w:val="Document Map"/>
    <w:basedOn w:val="a"/>
    <w:link w:val="ae"/>
    <w:uiPriority w:val="99"/>
    <w:semiHidden/>
    <w:unhideWhenUsed/>
    <w:rsid w:val="00AB48FB"/>
    <w:rPr>
      <w:rFonts w:ascii="宋体" w:eastAsia="宋体"/>
      <w:sz w:val="24"/>
      <w:szCs w:val="24"/>
    </w:rPr>
  </w:style>
  <w:style w:type="character" w:customStyle="1" w:styleId="ae">
    <w:name w:val="文档结构图 字符"/>
    <w:basedOn w:val="a0"/>
    <w:link w:val="ad"/>
    <w:uiPriority w:val="99"/>
    <w:semiHidden/>
    <w:rsid w:val="00AB48FB"/>
    <w:rPr>
      <w:rFonts w:ascii="宋体" w:hAnsiTheme="minorHAnsi" w:cstheme="minorBidi"/>
      <w:kern w:val="2"/>
      <w:sz w:val="24"/>
      <w:szCs w:val="24"/>
    </w:rPr>
  </w:style>
  <w:style w:type="table" w:customStyle="1" w:styleId="gbc1">
    <w:name w:val="gbc1"/>
    <w:uiPriority w:val="99"/>
    <w:semiHidden/>
    <w:unhideWhenUsed/>
    <w:qFormat/>
    <w:rsid w:val="0099746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979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974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85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19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64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3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5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69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2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1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833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596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77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71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9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4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63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35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05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62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93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093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7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06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5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79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931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95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B91C102-E3E4-FB4F-AB83-E92A3EF5A2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2</Pages>
  <Words>0</Words>
  <Characters>1</Characters>
  <Application>Microsoft Office Word</Application>
  <DocSecurity>0</DocSecurity>
  <Lines>1</Lines>
  <Paragraphs>1</Paragraphs>
  <ScaleCrop>false</ScaleCrop>
  <Company>Lenovo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王 丽芳</cp:lastModifiedBy>
  <cp:revision>345</cp:revision>
  <cp:lastPrinted>2019-07-03T09:31:00Z</cp:lastPrinted>
  <dcterms:created xsi:type="dcterms:W3CDTF">2019-07-03T01:13:00Z</dcterms:created>
  <dcterms:modified xsi:type="dcterms:W3CDTF">2022-06-27T02:31:00Z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