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98BA48">
      <w:pPr>
        <w:pStyle w:val="165"/>
      </w:pPr>
      <w:r>
        <w:rPr>
          <w:rFonts w:ascii="Noto Sans CJK SC" w:hAnsi="Noto Sans CJK SC" w:eastAsia="Noto Sans CJK SC"/>
          <w:b/>
          <w:i w:val="0"/>
          <w:sz w:val="32"/>
        </w:rPr>
        <w:t>2026年2月月度工作汇报</w:t>
      </w:r>
    </w:p>
    <w:p w14:paraId="01D17895">
      <w:pPr>
        <w:pStyle w:val="166"/>
      </w:pPr>
      <w:r>
        <w:rPr>
          <w:rFonts w:ascii="Noto Sans CJK SC" w:hAnsi="Noto Sans CJK SC" w:eastAsia="Noto Sans CJK SC"/>
          <w:b w:val="0"/>
          <w:i w:val="0"/>
          <w:sz w:val="23"/>
        </w:rPr>
        <w:t>汇报部门：数字技术中心        汇报人：姜阳</w:t>
      </w:r>
    </w:p>
    <w:p w14:paraId="6A67AF43">
      <w:pPr>
        <w:pStyle w:val="167"/>
      </w:pPr>
      <w:r>
        <w:rPr>
          <w:rFonts w:ascii="Noto Sans CJK SC" w:hAnsi="Noto Sans CJK SC" w:eastAsia="Noto Sans CJK SC"/>
          <w:b/>
          <w:i w:val="0"/>
          <w:color w:val="CC5500"/>
          <w:sz w:val="28"/>
        </w:rPr>
        <w:t>一、2月阶段性工作总结</w:t>
      </w:r>
    </w:p>
    <w:p w14:paraId="1EB4FC0A">
      <w:pPr>
        <w:pStyle w:val="168"/>
      </w:pPr>
      <w:r>
        <w:rPr>
          <w:rFonts w:ascii="Noto Sans CJK SC" w:hAnsi="Noto Sans CJK SC" w:eastAsia="Noto Sans CJK SC"/>
          <w:b/>
          <w:i w:val="0"/>
          <w:sz w:val="24"/>
        </w:rPr>
        <w:t>1. 项目交付能力建设</w:t>
      </w:r>
    </w:p>
    <w:p w14:paraId="58FA061B">
      <w:pPr>
        <w:pStyle w:val="170"/>
        <w:spacing w:after="80"/>
        <w:ind w:left="0" w:firstLine="0"/>
        <w:rPr>
          <w:rFonts w:ascii="Noto Sans CJK SC" w:hAnsi="Noto Sans CJK SC" w:eastAsia="Noto Sans CJK SC"/>
          <w:b w:val="0"/>
          <w:i w:val="0"/>
          <w:sz w:val="22"/>
        </w:rPr>
      </w:pPr>
      <w:r>
        <w:rPr>
          <w:rFonts w:ascii="Noto Sans CJK SC" w:hAnsi="Noto Sans CJK SC" w:eastAsia="Noto Sans CJK SC"/>
          <w:b/>
          <w:i w:val="0"/>
          <w:sz w:val="22"/>
        </w:rPr>
        <w:t>核心项目清单与里程碑：</w:t>
      </w:r>
      <w:r>
        <w:rPr>
          <w:rFonts w:ascii="Noto Sans CJK SC" w:hAnsi="Noto Sans CJK SC" w:eastAsia="Noto Sans CJK SC"/>
          <w:b w:val="0"/>
          <w:i w:val="0"/>
          <w:sz w:val="22"/>
        </w:rPr>
        <w:t>本阶段围绕</w:t>
      </w:r>
      <w:r>
        <w:rPr>
          <w:rFonts w:ascii="Noto Sans CJK SC" w:hAnsi="Noto Sans CJK SC" w:eastAsia="Noto Sans CJK SC"/>
          <w:b w:val="0"/>
          <w:i w:val="0"/>
          <w:color w:val="FF0000"/>
          <w:sz w:val="22"/>
        </w:rPr>
        <w:t>机场、赛迪</w:t>
      </w:r>
      <w:r>
        <w:rPr>
          <w:rFonts w:ascii="Noto Sans CJK SC" w:hAnsi="Noto Sans CJK SC" w:eastAsia="Noto Sans CJK SC"/>
          <w:b w:val="0"/>
          <w:i w:val="0"/>
          <w:sz w:val="22"/>
        </w:rPr>
        <w:t>、中央网信办、中央国债、江西206、湖南体职院等项目持续推进，重点项目基本都进入了“能上线、能稳定运行、能准备验收”的阶段。荣海小学等学校类项目机会同步跟进，作为后续学校场景复制储备。</w:t>
      </w:r>
    </w:p>
    <w:p w14:paraId="712B8502">
      <w:pPr>
        <w:pStyle w:val="170"/>
        <w:spacing w:after="80"/>
        <w:ind w:left="0" w:firstLine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="Noto Sans CJK SC" w:hAnsi="Noto Sans CJK SC" w:eastAsia="Noto Sans CJK SC"/>
          <w:b w:val="0"/>
          <w:i w:val="0"/>
          <w:sz w:val="22"/>
          <w:lang w:eastAsia="zh-CN"/>
        </w:rPr>
        <w:drawing>
          <wp:inline distT="0" distB="0" distL="114300" distR="114300">
            <wp:extent cx="2956560" cy="1663700"/>
            <wp:effectExtent l="0" t="0" r="15240" b="12700"/>
            <wp:docPr id="1" name="图片 1" descr="企业微信截图_17722734632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企业微信截图_1772273463256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5656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Noto Sans CJK SC" w:hAnsi="Noto Sans CJK SC" w:eastAsia="Noto Sans CJK SC"/>
          <w:b w:val="0"/>
          <w:i w:val="0"/>
          <w:sz w:val="22"/>
          <w:lang w:eastAsia="zh-CN"/>
        </w:rPr>
        <w:drawing>
          <wp:inline distT="0" distB="0" distL="114300" distR="114300">
            <wp:extent cx="2836545" cy="1560195"/>
            <wp:effectExtent l="0" t="0" r="8255" b="14605"/>
            <wp:docPr id="2" name="图片 2" descr="企业微信截图_95b4dd1c-0468-4cea-ac5f-e15c85beec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企业微信截图_95b4dd1c-0468-4cea-ac5f-e15c85beec8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36545" cy="156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285D7">
      <w:pPr>
        <w:pStyle w:val="170"/>
        <w:tabs>
          <w:tab w:val="left" w:pos="2749"/>
        </w:tabs>
        <w:spacing w:after="80"/>
        <w:ind w:left="0" w:firstLine="0"/>
      </w:pPr>
      <w:r>
        <w:drawing>
          <wp:inline distT="0" distB="0" distL="114300" distR="114300">
            <wp:extent cx="2950845" cy="1736725"/>
            <wp:effectExtent l="0" t="0" r="20955" b="1587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50845" cy="173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98750" cy="1777365"/>
            <wp:effectExtent l="0" t="0" r="19050" b="63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98750" cy="177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1B0B2">
      <w:pPr>
        <w:pStyle w:val="170"/>
        <w:tabs>
          <w:tab w:val="left" w:pos="2749"/>
        </w:tabs>
        <w:spacing w:after="80"/>
        <w:ind w:left="0" w:firstLine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drawing>
          <wp:inline distT="0" distB="0" distL="114300" distR="114300">
            <wp:extent cx="2787015" cy="1589405"/>
            <wp:effectExtent l="0" t="0" r="6985" b="10795"/>
            <wp:docPr id="11" name="图片 11" descr="企业微信截图_ccef8270-5ee8-4193-83d1-be9011459c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企业微信截图_ccef8270-5ee8-4193-83d1-be9011459cf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87015" cy="158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drawing>
          <wp:inline distT="0" distB="0" distL="114300" distR="114300">
            <wp:extent cx="3075940" cy="1763395"/>
            <wp:effectExtent l="0" t="0" r="22860" b="14605"/>
            <wp:docPr id="10" name="图片 10" descr="企业微信截图_94143deb-3303-4a48-a9b0-54a353b417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企业微信截图_94143deb-3303-4a48-a9b0-54a353b417cf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75940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48121">
      <w:pPr>
        <w:pStyle w:val="172"/>
        <w:ind w:left="283" w:hanging="255"/>
        <w:rPr>
          <w:rFonts w:ascii="Noto Sans CJK SC" w:hAnsi="Noto Sans CJK SC" w:eastAsia="Noto Sans CJK SC"/>
          <w:b w:val="0"/>
          <w:i w:val="0"/>
          <w:sz w:val="21"/>
        </w:rPr>
      </w:pPr>
      <w:r>
        <w:rPr>
          <w:rFonts w:ascii="Noto Sans CJK SC" w:hAnsi="Noto Sans CJK SC" w:eastAsia="Noto Sans CJK SC"/>
          <w:b w:val="0"/>
          <w:i w:val="0"/>
          <w:sz w:val="21"/>
        </w:rPr>
        <w:t>- 首都机场项目：1月24日上线，交易额3</w:t>
      </w:r>
      <w:r>
        <w:rPr>
          <w:rFonts w:hint="eastAsia" w:ascii="Noto Sans CJK SC" w:hAnsi="Noto Sans CJK SC" w:eastAsia="Noto Sans CJK SC"/>
          <w:b w:val="0"/>
          <w:i w:val="0"/>
          <w:sz w:val="21"/>
          <w:lang w:val="en-US" w:eastAsia="zh-CN"/>
        </w:rPr>
        <w:t>97.6</w:t>
      </w:r>
      <w:r>
        <w:rPr>
          <w:rFonts w:ascii="Noto Sans CJK SC" w:hAnsi="Noto Sans CJK SC" w:eastAsia="Noto Sans CJK SC"/>
          <w:b w:val="0"/>
          <w:i w:val="0"/>
          <w:sz w:val="21"/>
        </w:rPr>
        <w:t>万元，累计订单约1</w:t>
      </w:r>
      <w:r>
        <w:rPr>
          <w:rFonts w:hint="eastAsia" w:ascii="Noto Sans CJK SC" w:hAnsi="Noto Sans CJK SC" w:eastAsia="Noto Sans CJK SC"/>
          <w:b w:val="0"/>
          <w:i w:val="0"/>
          <w:sz w:val="21"/>
          <w:lang w:val="en-US" w:eastAsia="zh-CN"/>
        </w:rPr>
        <w:t>4.8</w:t>
      </w:r>
      <w:r>
        <w:rPr>
          <w:rFonts w:ascii="Noto Sans CJK SC" w:hAnsi="Noto Sans CJK SC" w:eastAsia="Noto Sans CJK SC"/>
          <w:b w:val="0"/>
          <w:i w:val="0"/>
          <w:sz w:val="21"/>
        </w:rPr>
        <w:t>万单。</w:t>
      </w:r>
      <w:r>
        <w:rPr>
          <w:rFonts w:hint="eastAsia" w:ascii="Noto Sans CJK SC" w:hAnsi="Noto Sans CJK SC" w:eastAsia="Noto Sans CJK SC"/>
          <w:b w:val="0"/>
          <w:i w:val="0"/>
          <w:sz w:val="21"/>
          <w:lang w:val="en-US" w:eastAsia="zh-CN"/>
        </w:rPr>
        <w:t xml:space="preserve">在机场项目中，系统覆盖用户 8700人，累计使用用户 </w:t>
      </w:r>
      <w:r>
        <w:rPr>
          <w:rFonts w:hint="eastAsia"/>
          <w:b w:val="0"/>
          <w:i w:val="0"/>
          <w:sz w:val="21"/>
          <w:lang w:val="en-US" w:eastAsia="zh-CN"/>
        </w:rPr>
        <w:t>7342</w:t>
      </w:r>
      <w:r>
        <w:rPr>
          <w:rFonts w:hint="eastAsia" w:ascii="Noto Sans CJK SC" w:hAnsi="Noto Sans CJK SC" w:eastAsia="Noto Sans CJK SC"/>
          <w:b w:val="0"/>
          <w:i w:val="0"/>
          <w:sz w:val="21"/>
          <w:lang w:val="en-US" w:eastAsia="zh-CN"/>
        </w:rPr>
        <w:t>人，日活跃用户 2000 人以上。</w:t>
      </w:r>
    </w:p>
    <w:p w14:paraId="2B5728B1">
      <w:pPr>
        <w:pStyle w:val="172"/>
        <w:ind w:left="283" w:hanging="255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ascii="Noto Sans CJK SC" w:hAnsi="Noto Sans CJK SC" w:eastAsia="Noto Sans CJK SC"/>
          <w:b w:val="0"/>
          <w:i w:val="0"/>
          <w:sz w:val="21"/>
        </w:rPr>
        <w:t>- 赛迪项目：1月18日上线，累计交易额约</w:t>
      </w:r>
      <w:r>
        <w:rPr>
          <w:rFonts w:hint="eastAsia" w:ascii="Noto Sans CJK SC" w:hAnsi="Noto Sans CJK SC" w:eastAsia="Noto Sans CJK SC"/>
          <w:b w:val="0"/>
          <w:i w:val="0"/>
          <w:sz w:val="21"/>
          <w:lang w:val="en-US" w:eastAsia="zh-CN"/>
        </w:rPr>
        <w:t>35.2</w:t>
      </w:r>
      <w:r>
        <w:rPr>
          <w:rFonts w:ascii="Noto Sans CJK SC" w:hAnsi="Noto Sans CJK SC" w:eastAsia="Noto Sans CJK SC"/>
          <w:b w:val="0"/>
          <w:i w:val="0"/>
          <w:sz w:val="21"/>
        </w:rPr>
        <w:t>万元，</w:t>
      </w:r>
      <w:r>
        <w:rPr>
          <w:rFonts w:hint="eastAsia" w:ascii="Noto Sans CJK SC" w:hAnsi="Noto Sans CJK SC" w:eastAsia="Noto Sans CJK SC"/>
          <w:b w:val="0"/>
          <w:i w:val="0"/>
          <w:sz w:val="21"/>
          <w:lang w:val="en-US" w:eastAsia="zh-CN"/>
        </w:rPr>
        <w:t>累计订单2.1万单</w:t>
      </w:r>
      <w:r>
        <w:rPr>
          <w:rFonts w:ascii="Noto Sans CJK SC" w:hAnsi="Noto Sans CJK SC" w:eastAsia="Noto Sans CJK SC"/>
          <w:b w:val="0"/>
          <w:i w:val="0"/>
          <w:sz w:val="21"/>
        </w:rPr>
        <w:t>日均使用人数800人以上。项目已经从“上线交付”进入“持续运营”阶段。</w:t>
      </w:r>
      <w:r>
        <w:rPr>
          <w:rFonts w:hint="eastAsia" w:ascii="Noto Sans CJK SC" w:hAnsi="Noto Sans CJK SC" w:eastAsia="Noto Sans CJK SC"/>
          <w:b w:val="0"/>
          <w:i w:val="0"/>
          <w:sz w:val="21"/>
          <w:lang w:val="en-US" w:eastAsia="zh-CN"/>
        </w:rPr>
        <w:t>系统已覆盖约 4000 名用户，累计实际使用用户 1</w:t>
      </w:r>
      <w:r>
        <w:rPr>
          <w:rFonts w:hint="eastAsia"/>
          <w:b w:val="0"/>
          <w:i w:val="0"/>
          <w:sz w:val="21"/>
          <w:lang w:val="en-US" w:eastAsia="zh-CN"/>
        </w:rPr>
        <w:t>951</w:t>
      </w:r>
      <w:r>
        <w:rPr>
          <w:rFonts w:hint="eastAsia" w:ascii="Noto Sans CJK SC" w:hAnsi="Noto Sans CJK SC" w:eastAsia="Noto Sans CJK SC"/>
          <w:b w:val="0"/>
          <w:i w:val="0"/>
          <w:sz w:val="21"/>
          <w:lang w:val="en-US" w:eastAsia="zh-CN"/>
        </w:rPr>
        <w:t>人，日活跃用户稳定在 700 人以上</w:t>
      </w:r>
      <w:r>
        <w:rPr>
          <w:rFonts w:hint="eastAsia"/>
          <w:b w:val="0"/>
          <w:i w:val="0"/>
          <w:sz w:val="21"/>
          <w:lang w:val="en-US" w:eastAsia="zh-CN"/>
        </w:rPr>
        <w:t>。</w:t>
      </w:r>
      <w:r>
        <w:rPr>
          <w:rFonts w:ascii="Noto Sans CJK SC" w:hAnsi="Noto Sans CJK SC" w:eastAsia="Noto Sans CJK SC"/>
          <w:b w:val="0"/>
          <w:i w:val="0"/>
          <w:color w:val="FF0000"/>
          <w:sz w:val="21"/>
        </w:rPr>
        <w:t>系统在高峰就餐场景下保持稳定，说明团队已经具备承接大体量团餐场景的交付能力。</w:t>
      </w:r>
    </w:p>
    <w:p w14:paraId="4B5BF862">
      <w:pPr>
        <w:pStyle w:val="172"/>
        <w:ind w:left="283" w:hanging="255"/>
        <w:rPr>
          <w:rFonts w:ascii="Noto Sans CJK SC" w:hAnsi="Noto Sans CJK SC" w:eastAsia="Noto Sans CJK SC"/>
          <w:b w:val="0"/>
          <w:i w:val="0"/>
          <w:sz w:val="21"/>
        </w:rPr>
      </w:pPr>
      <w:r>
        <w:rPr>
          <w:rFonts w:ascii="Noto Sans CJK SC" w:hAnsi="Noto Sans CJK SC" w:eastAsia="Noto Sans CJK SC"/>
          <w:b/>
          <w:i w:val="0"/>
          <w:sz w:val="22"/>
        </w:rPr>
        <w:t xml:space="preserve">- </w:t>
      </w:r>
      <w:r>
        <w:rPr>
          <w:rFonts w:ascii="Noto Sans CJK SC" w:hAnsi="Noto Sans CJK SC" w:eastAsia="Noto Sans CJK SC"/>
          <w:b w:val="0"/>
          <w:i w:val="0"/>
          <w:sz w:val="21"/>
        </w:rPr>
        <w:t>湖南体职院项目：已启动体脂秤、体成分仪和运动设备对接，为“AI运动营养师”场景落地打基础。</w:t>
      </w:r>
    </w:p>
    <w:p w14:paraId="27A90EC6">
      <w:pPr>
        <w:pStyle w:val="172"/>
        <w:ind w:left="283" w:hanging="255"/>
        <w:rPr>
          <w:rFonts w:hint="eastAsia" w:ascii="Noto Sans CJK SC" w:hAnsi="Noto Sans CJK SC" w:eastAsia="Noto Sans CJK SC"/>
          <w:b w:val="0"/>
          <w:i w:val="0"/>
          <w:sz w:val="21"/>
          <w:lang w:val="en-US" w:eastAsia="zh-CN"/>
        </w:rPr>
      </w:pPr>
      <w:r>
        <w:rPr>
          <w:rFonts w:hint="eastAsia"/>
          <w:b w:val="0"/>
          <w:i w:val="0"/>
          <w:sz w:val="21"/>
          <w:lang w:val="en-US" w:eastAsia="zh-CN"/>
        </w:rPr>
        <w:t xml:space="preserve">- </w:t>
      </w:r>
      <w:r>
        <w:rPr>
          <w:rFonts w:hint="eastAsia" w:ascii="Noto Sans CJK SC" w:hAnsi="Noto Sans CJK SC" w:eastAsia="Noto Sans CJK SC"/>
          <w:b w:val="0"/>
          <w:i w:val="0"/>
          <w:sz w:val="21"/>
          <w:lang w:val="en-US" w:eastAsia="zh-CN"/>
        </w:rPr>
        <w:t>中国银行项目目前处于</w:t>
      </w:r>
      <w:r>
        <w:rPr>
          <w:rFonts w:hint="eastAsia"/>
          <w:b w:val="0"/>
          <w:i w:val="0"/>
          <w:sz w:val="21"/>
          <w:lang w:val="en-US" w:eastAsia="zh-CN"/>
        </w:rPr>
        <w:t>封版测试</w:t>
      </w:r>
      <w:r>
        <w:rPr>
          <w:rFonts w:hint="eastAsia" w:ascii="Noto Sans CJK SC" w:hAnsi="Noto Sans CJK SC" w:eastAsia="Noto Sans CJK SC"/>
          <w:b w:val="0"/>
          <w:i w:val="0"/>
          <w:sz w:val="21"/>
          <w:lang w:val="en-US" w:eastAsia="zh-CN"/>
        </w:rPr>
        <w:t>阶段，围绕“员工体重管理与健康行为记录”构建了完整业务闭环。现阶段已实现运动打卡记录、饮食与运动计划制定、个人健康档案管理等核心功能，形成“记录—计划—跟踪—展示”的基础产品形态，并支撑客户演示与内部验证使用。该项目当前以功能完整性和逻辑闭环为主要目标，尚未进入大规模真实用户运行阶段，后续将结合客户使用反馈与场景需求，逐步完善产品细节与稳定性。</w:t>
      </w:r>
    </w:p>
    <w:p w14:paraId="43D8CB21">
      <w:pPr>
        <w:pStyle w:val="30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0" w:firstLineChars="0"/>
        <w:rPr>
          <w:rFonts w:ascii="Noto Sans CJK SC" w:hAnsi="Noto Sans CJK SC" w:eastAsia="Noto Sans CJK SC"/>
          <w:b w:val="0"/>
          <w:i w:val="0"/>
          <w:sz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drawing>
          <wp:inline distT="0" distB="0" distL="114300" distR="114300">
            <wp:extent cx="1169670" cy="2545715"/>
            <wp:effectExtent l="0" t="0" r="24130" b="19685"/>
            <wp:docPr id="14" name="图片 14" descr="fa525355839a27648d07a357b0a40f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a525355839a27648d07a357b0a40f6a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254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drawing>
          <wp:inline distT="0" distB="0" distL="114300" distR="114300">
            <wp:extent cx="1189990" cy="2586990"/>
            <wp:effectExtent l="0" t="0" r="3810" b="3810"/>
            <wp:docPr id="15" name="图片 15" descr="d205f68eb2cdce210e8e48cfbd481b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d205f68eb2cdce210e8e48cfbd481ba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89990" cy="258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drawing>
          <wp:inline distT="0" distB="0" distL="114300" distR="114300">
            <wp:extent cx="1137920" cy="2474595"/>
            <wp:effectExtent l="0" t="0" r="5080" b="14605"/>
            <wp:docPr id="19" name="图片 19" descr="2f6fc698ee5a407d5a9ba380bcd4e0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2f6fc698ee5a407d5a9ba380bcd4e03b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37920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drawing>
          <wp:inline distT="0" distB="0" distL="114300" distR="114300">
            <wp:extent cx="1157605" cy="2517775"/>
            <wp:effectExtent l="0" t="0" r="10795" b="22225"/>
            <wp:docPr id="18" name="图片 18" descr="035f6dbe9b9b30cbf4faa230de0184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035f6dbe9b9b30cbf4faa230de01844a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57605" cy="251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drawing>
          <wp:inline distT="0" distB="0" distL="114300" distR="114300">
            <wp:extent cx="1137920" cy="2474595"/>
            <wp:effectExtent l="0" t="0" r="5080" b="14605"/>
            <wp:docPr id="17" name="图片 17" descr="39598584e36130f92af9ef4fc6f98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39598584e36130f92af9ef4fc6f9891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37920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9837E">
      <w:pPr>
        <w:pStyle w:val="170"/>
        <w:spacing w:after="80"/>
        <w:ind w:left="0" w:firstLine="0"/>
      </w:pPr>
      <w:r>
        <w:rPr>
          <w:rFonts w:ascii="Noto Sans CJK SC" w:hAnsi="Noto Sans CJK SC" w:eastAsia="Noto Sans CJK SC"/>
          <w:b/>
          <w:i w:val="0"/>
          <w:sz w:val="22"/>
        </w:rPr>
        <w:t>对业务收入、回款、客户关系的支撑作用：</w:t>
      </w:r>
      <w:r>
        <w:rPr>
          <w:rFonts w:ascii="Noto Sans CJK SC" w:hAnsi="Noto Sans CJK SC" w:eastAsia="Noto Sans CJK SC"/>
          <w:b w:val="0"/>
          <w:i w:val="0"/>
          <w:sz w:val="22"/>
        </w:rPr>
        <w:t>这些项目不仅带来当期收入，更重要的是形成了样板客户和市场背书。机场项目直接支撑天津机场、大兴机场后续机会；中央网信办和中央国债项目提升了我们在政企和金融场景的可信度。</w:t>
      </w:r>
    </w:p>
    <w:p w14:paraId="2995024A">
      <w:pPr>
        <w:pStyle w:val="168"/>
        <w:numPr>
          <w:ilvl w:val="0"/>
          <w:numId w:val="7"/>
        </w:numPr>
        <w:rPr>
          <w:rFonts w:ascii="Noto Sans CJK SC" w:hAnsi="Noto Sans CJK SC" w:eastAsia="Noto Sans CJK SC"/>
          <w:b/>
          <w:i w:val="0"/>
          <w:sz w:val="24"/>
        </w:rPr>
      </w:pPr>
      <w:r>
        <w:rPr>
          <w:rFonts w:ascii="Noto Sans CJK SC" w:hAnsi="Noto Sans CJK SC" w:eastAsia="Noto Sans CJK SC"/>
          <w:b/>
          <w:i w:val="0"/>
          <w:sz w:val="24"/>
        </w:rPr>
        <w:t>产品能力进展</w:t>
      </w:r>
    </w:p>
    <w:p w14:paraId="314777BC">
      <w:pPr>
        <w:pStyle w:val="170"/>
        <w:spacing w:after="80"/>
        <w:ind w:firstLine="440" w:firstLineChars="200"/>
        <w:rPr>
          <w:rFonts w:hint="eastAsia"/>
          <w:b w:val="0"/>
          <w:i w:val="0"/>
          <w:sz w:val="22"/>
          <w:lang w:val="en-US" w:eastAsia="zh-CN"/>
        </w:rPr>
      </w:pPr>
      <w:r>
        <w:rPr>
          <w:rFonts w:hint="eastAsia"/>
          <w:b w:val="0"/>
          <w:i w:val="0"/>
          <w:sz w:val="22"/>
          <w:lang w:val="en-US" w:eastAsia="zh-CN"/>
        </w:rPr>
        <w:t>沿着年初定义的3大产品策略推进产品工作。</w:t>
      </w:r>
    </w:p>
    <w:p w14:paraId="0D830A88">
      <w:pPr>
        <w:pStyle w:val="170"/>
        <w:spacing w:after="80"/>
        <w:ind w:firstLine="440" w:firstLineChars="200"/>
        <w:rPr>
          <w:rFonts w:hint="eastAsia"/>
          <w:b w:val="0"/>
          <w:i w:val="0"/>
          <w:sz w:val="22"/>
          <w:lang w:val="en-US" w:eastAsia="zh-CN"/>
        </w:rPr>
      </w:pPr>
      <w:r>
        <w:rPr>
          <w:rFonts w:hint="eastAsia"/>
          <w:b w:val="0"/>
          <w:i w:val="0"/>
          <w:sz w:val="22"/>
          <w:lang w:val="en-US" w:eastAsia="zh-CN"/>
        </w:rPr>
        <w:t>产品策略1：在将“AI智慧营养”装进高频的结算场景中的差异化策略。</w:t>
      </w:r>
    </w:p>
    <w:p w14:paraId="5D27C679">
      <w:pPr>
        <w:pStyle w:val="170"/>
        <w:spacing w:after="80"/>
        <w:ind w:firstLine="440" w:firstLineChars="200"/>
        <w:rPr>
          <w:rFonts w:hint="eastAsia"/>
          <w:b w:val="0"/>
          <w:i w:val="0"/>
          <w:sz w:val="22"/>
          <w:lang w:val="en-US" w:eastAsia="zh-CN"/>
        </w:rPr>
      </w:pPr>
      <w:r>
        <w:rPr>
          <w:rFonts w:ascii="Noto Sans CJK SC" w:hAnsi="Noto Sans CJK SC" w:eastAsia="Noto Sans CJK SC"/>
          <w:b w:val="0"/>
          <w:i w:val="0"/>
          <w:sz w:val="22"/>
        </w:rPr>
        <w:t>AI智慧营养已经明确落到几个能让客户看得见的功能上，包括菜品营养标签、热量合计、支付后餐盘结构评价、AI一句话营养建议、智能排菜建议等。</w:t>
      </w:r>
      <w:r>
        <w:rPr>
          <w:rFonts w:hint="eastAsia"/>
          <w:b w:val="0"/>
          <w:i w:val="0"/>
          <w:sz w:val="22"/>
          <w:lang w:val="en-US" w:eastAsia="zh-CN"/>
        </w:rPr>
        <w:t>呈现的载体有PC端、移动端和设备端。</w:t>
      </w:r>
    </w:p>
    <w:p w14:paraId="575C29D1">
      <w:pPr>
        <w:pStyle w:val="170"/>
        <w:spacing w:after="80"/>
        <w:ind w:firstLine="440" w:firstLineChars="200"/>
        <w:rPr>
          <w:rFonts w:hint="default"/>
          <w:b w:val="0"/>
          <w:i w:val="0"/>
          <w:sz w:val="22"/>
          <w:lang w:val="en-US" w:eastAsia="zh-CN"/>
        </w:rPr>
      </w:pPr>
      <w:r>
        <w:rPr>
          <w:rFonts w:hint="eastAsia"/>
          <w:b w:val="0"/>
          <w:i w:val="0"/>
          <w:sz w:val="22"/>
          <w:lang w:val="en-US" w:eastAsia="zh-CN"/>
        </w:rPr>
        <w:t>下面放pc端、移动端、设备端3个图片</w:t>
      </w:r>
      <w:bookmarkStart w:id="0" w:name="_GoBack"/>
      <w:bookmarkEnd w:id="0"/>
    </w:p>
    <w:p w14:paraId="0FA4F72D">
      <w:pPr>
        <w:pStyle w:val="168"/>
        <w:numPr>
          <w:ilvl w:val="0"/>
          <w:numId w:val="0"/>
        </w:numPr>
      </w:pPr>
      <w:r>
        <w:drawing>
          <wp:inline distT="0" distB="0" distL="114300" distR="114300">
            <wp:extent cx="5908675" cy="1522730"/>
            <wp:effectExtent l="0" t="0" r="9525" b="127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08675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2D357">
      <w:pPr>
        <w:pStyle w:val="168"/>
        <w:numPr>
          <w:ilvl w:val="0"/>
          <w:numId w:val="0"/>
        </w:numPr>
      </w:pPr>
      <w:r>
        <w:drawing>
          <wp:inline distT="0" distB="0" distL="114300" distR="114300">
            <wp:extent cx="5895340" cy="2997200"/>
            <wp:effectExtent l="0" t="0" r="22860" b="0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9534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C3E21">
      <w:pPr>
        <w:pStyle w:val="170"/>
        <w:spacing w:after="80"/>
        <w:ind w:left="0" w:firstLine="720" w:firstLineChars="0"/>
        <w:rPr>
          <w:rFonts w:hint="default"/>
          <w:b w:val="0"/>
          <w:i w:val="0"/>
          <w:sz w:val="22"/>
          <w:lang w:val="en-US" w:eastAsia="zh-CN"/>
        </w:rPr>
      </w:pPr>
      <w:r>
        <w:rPr>
          <w:rFonts w:hint="eastAsia"/>
          <w:b w:val="0"/>
          <w:i w:val="0"/>
          <w:sz w:val="22"/>
          <w:lang w:val="en-US" w:eastAsia="zh-CN"/>
        </w:rPr>
        <w:t>②</w:t>
      </w:r>
      <w:r>
        <w:rPr>
          <w:rFonts w:ascii="Noto Sans CJK SC" w:hAnsi="Noto Sans CJK SC" w:eastAsia="Noto Sans CJK SC"/>
          <w:b w:val="0"/>
          <w:i w:val="0"/>
          <w:sz w:val="22"/>
        </w:rPr>
        <w:t>产品思路开始从“围着</w:t>
      </w:r>
      <w:r>
        <w:rPr>
          <w:rFonts w:hint="eastAsia"/>
          <w:b w:val="0"/>
          <w:i w:val="0"/>
          <w:sz w:val="22"/>
          <w:lang w:val="en-US" w:eastAsia="zh-CN"/>
        </w:rPr>
        <w:t>项目</w:t>
      </w:r>
      <w:r>
        <w:rPr>
          <w:rFonts w:ascii="Noto Sans CJK SC" w:hAnsi="Noto Sans CJK SC" w:eastAsia="Noto Sans CJK SC"/>
          <w:b w:val="0"/>
          <w:i w:val="0"/>
          <w:sz w:val="22"/>
        </w:rPr>
        <w:t>做功能”转向“围着客户目标做产品”。学校场景已经明确以“安全、健康、经营”三大目标为顶层设计，对应落到营养结算、智能供餐、营养宣教、食安监管、进销存和经营分析等模块。</w:t>
      </w:r>
      <w:r>
        <w:rPr>
          <w:rFonts w:hint="eastAsia"/>
          <w:b w:val="0"/>
          <w:i w:val="0"/>
          <w:sz w:val="22"/>
          <w:lang w:val="en-US" w:eastAsia="zh-CN"/>
        </w:rPr>
        <w:t>接下来梳理产品规划。</w:t>
      </w:r>
    </w:p>
    <w:p w14:paraId="7F4803A2">
      <w:pPr>
        <w:ind w:left="0" w:leftChars="0" w:firstLine="720" w:firstLineChars="0"/>
        <w:rPr>
          <w:rFonts w:hint="eastAsia"/>
          <w:lang w:val="en-US" w:eastAsia="zh-CN"/>
        </w:rPr>
      </w:pPr>
      <w:r>
        <w:rPr>
          <w:rFonts w:hint="eastAsia"/>
          <w:b w:val="0"/>
          <w:i w:val="0"/>
          <w:sz w:val="22"/>
          <w:lang w:val="en-US" w:eastAsia="zh-CN"/>
        </w:rPr>
        <w:t>③根据项目</w:t>
      </w:r>
      <w:r>
        <w:rPr>
          <w:rFonts w:ascii="Noto Sans CJK SC" w:hAnsi="Noto Sans CJK SC" w:eastAsia="Noto Sans CJK SC"/>
          <w:b w:val="0"/>
          <w:i w:val="0"/>
          <w:sz w:val="21"/>
        </w:rPr>
        <w:t>推进体脂秤、体成分仪和运动设备接入，为“饮食+运动+数据”闭环做准备。</w:t>
      </w:r>
      <w:r>
        <w:rPr>
          <w:rFonts w:hint="eastAsia"/>
          <w:lang w:val="en-US" w:eastAsia="zh-CN"/>
        </w:rPr>
        <w:t xml:space="preserve"> </w:t>
      </w:r>
    </w:p>
    <w:p w14:paraId="35753E7F">
      <w:pPr>
        <w:ind w:left="0" w:leftChars="0" w:firstLine="7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产品策略2：补齐标准化团餐产品。</w:t>
      </w:r>
    </w:p>
    <w:p w14:paraId="57A9F8AA">
      <w:pPr>
        <w:ind w:left="0" w:leftChars="0" w:firstLine="0" w:firstLineChars="0"/>
      </w:pPr>
      <w:r>
        <w:drawing>
          <wp:inline distT="0" distB="0" distL="114300" distR="114300">
            <wp:extent cx="6183630" cy="3400425"/>
            <wp:effectExtent l="0" t="0" r="13970" b="3175"/>
            <wp:docPr id="2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8363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7BBB0">
      <w:pPr>
        <w:ind w:left="0" w:leftChars="0" w:firstLine="0" w:firstLineChars="0"/>
      </w:pPr>
      <w:r>
        <w:drawing>
          <wp:inline distT="0" distB="0" distL="114300" distR="114300">
            <wp:extent cx="5894070" cy="3354070"/>
            <wp:effectExtent l="0" t="0" r="24130" b="2413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94070" cy="335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EEAE2">
      <w:pPr>
        <w:ind w:left="0" w:leftChars="0" w:firstLine="0" w:firstLineChars="0"/>
        <w:jc w:val="center"/>
      </w:pPr>
      <w:r>
        <w:drawing>
          <wp:inline distT="0" distB="0" distL="114300" distR="114300">
            <wp:extent cx="3056255" cy="2853055"/>
            <wp:effectExtent l="0" t="0" r="17145" b="1714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56255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31677">
      <w:pPr>
        <w:ind w:left="0" w:leftChars="0" w:firstLine="7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产品策略3：AI赋能团队。（我们不只是“用AI”，而是在“造AI能力”）</w:t>
      </w:r>
    </w:p>
    <w:p w14:paraId="08CA311B">
      <w:pPr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922645" cy="2451100"/>
            <wp:effectExtent l="0" t="0" r="20955" b="12700"/>
            <wp:docPr id="13" name="图片 17" descr="/Users/jack/Library/Containers/com.kingsoft.wpsoffice.mac/Data/tmp/picturecompress_20260115011210/output_1.pn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7" descr="/Users/jack/Library/Containers/com.kingsoft.wpsoffice.mac/Data/tmp/picturecompress_20260115011210/output_1.pngoutput_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22645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5FC7A">
      <w:pPr>
        <w:pStyle w:val="169"/>
      </w:pPr>
      <w:r>
        <w:rPr>
          <w:rFonts w:ascii="Noto Sans CJK SC" w:hAnsi="Noto Sans CJK SC" w:eastAsia="Noto Sans CJK SC"/>
          <w:b/>
          <w:i w:val="0"/>
          <w:sz w:val="23"/>
        </w:rPr>
        <w:t>A. AI用于内部提效</w:t>
      </w:r>
    </w:p>
    <w:p w14:paraId="6F33F29F">
      <w:pPr>
        <w:pStyle w:val="170"/>
        <w:spacing w:after="80"/>
        <w:ind w:left="170" w:firstLine="0"/>
      </w:pPr>
      <w:r>
        <w:rPr>
          <w:rFonts w:ascii="Noto Sans CJK SC" w:hAnsi="Noto Sans CJK SC" w:eastAsia="Noto Sans CJK SC"/>
          <w:b/>
          <w:i w:val="0"/>
          <w:sz w:val="22"/>
        </w:rPr>
        <w:t>成果：</w:t>
      </w:r>
      <w:r>
        <w:rPr>
          <w:rFonts w:ascii="Noto Sans CJK SC" w:hAnsi="Noto Sans CJK SC" w:eastAsia="Noto Sans CJK SC"/>
          <w:b w:val="0"/>
          <w:i w:val="0"/>
          <w:sz w:val="22"/>
        </w:rPr>
        <w:t>团队在老项目技术升级中，借助AI完成依赖升级、自动校验、错误记录和修复建议输出，把原本很重的重构工作明显提速。AI还开始用于文档编写、接口梳理、风险检查等重复性工作。</w:t>
      </w:r>
      <w:r>
        <w:rPr>
          <w:rFonts w:ascii="Noto Sans CJK SC" w:hAnsi="Noto Sans CJK SC" w:eastAsia="Noto Sans CJK SC"/>
          <w:b/>
          <w:i w:val="0"/>
          <w:sz w:val="22"/>
        </w:rPr>
        <w:t>影响：</w:t>
      </w:r>
      <w:r>
        <w:rPr>
          <w:rFonts w:ascii="Noto Sans CJK SC" w:hAnsi="Noto Sans CJK SC" w:eastAsia="Noto Sans CJK SC"/>
          <w:b w:val="0"/>
          <w:i w:val="0"/>
          <w:sz w:val="22"/>
        </w:rPr>
        <w:t>研发和测试的很多机械劳动开始被替代，团队可以把更多精力放到关键设计和问题判断上。</w:t>
      </w:r>
    </w:p>
    <w:p w14:paraId="18C24D68">
      <w:pPr>
        <w:pStyle w:val="169"/>
      </w:pPr>
      <w:r>
        <w:rPr>
          <w:rFonts w:ascii="Noto Sans CJK SC" w:hAnsi="Noto Sans CJK SC" w:eastAsia="Noto Sans CJK SC"/>
          <w:b/>
          <w:i w:val="0"/>
          <w:sz w:val="23"/>
        </w:rPr>
        <w:t>B. AI用于客户产品</w:t>
      </w:r>
    </w:p>
    <w:p w14:paraId="284973B1">
      <w:pPr>
        <w:pStyle w:val="170"/>
        <w:spacing w:after="80"/>
        <w:ind w:left="170" w:firstLine="0"/>
      </w:pPr>
      <w:r>
        <w:rPr>
          <w:rFonts w:ascii="Noto Sans CJK SC" w:hAnsi="Noto Sans CJK SC" w:eastAsia="Noto Sans CJK SC"/>
          <w:b/>
          <w:i w:val="0"/>
          <w:sz w:val="22"/>
        </w:rPr>
        <w:t>成果：</w:t>
      </w:r>
      <w:r>
        <w:rPr>
          <w:rFonts w:ascii="Noto Sans CJK SC" w:hAnsi="Noto Sans CJK SC" w:eastAsia="Noto Sans CJK SC"/>
          <w:b w:val="0"/>
          <w:i w:val="0"/>
          <w:sz w:val="22"/>
        </w:rPr>
        <w:t>中债项目的AI消费机已经稳定运行；中国银行项目形成了“记录-计划-跟踪-展示”的体重管理闭环；湖南体职院启动AI运动营养师与设备对接；学校版AI智慧营养已完成一批核心场景定义和原型设计。</w:t>
      </w:r>
      <w:r>
        <w:rPr>
          <w:rFonts w:ascii="Noto Sans CJK SC" w:hAnsi="Noto Sans CJK SC" w:eastAsia="Noto Sans CJK SC"/>
          <w:b/>
          <w:i w:val="0"/>
          <w:sz w:val="22"/>
        </w:rPr>
        <w:t>影响：</w:t>
      </w:r>
      <w:r>
        <w:rPr>
          <w:rFonts w:ascii="Noto Sans CJK SC" w:hAnsi="Noto Sans CJK SC" w:eastAsia="Noto Sans CJK SC"/>
          <w:b w:val="0"/>
          <w:i w:val="0"/>
          <w:sz w:val="22"/>
        </w:rPr>
        <w:t>AI开始成为客户看得见、销售讲得出、项目能演示的产品卖点，而不再只是内部效率工具。</w:t>
      </w:r>
    </w:p>
    <w:p w14:paraId="2836B0D5">
      <w:pPr>
        <w:pStyle w:val="167"/>
      </w:pPr>
      <w:r>
        <w:rPr>
          <w:rFonts w:ascii="Noto Sans CJK SC" w:hAnsi="Noto Sans CJK SC" w:eastAsia="Noto Sans CJK SC"/>
          <w:b/>
          <w:i w:val="0"/>
          <w:color w:val="CC5500"/>
          <w:sz w:val="28"/>
        </w:rPr>
        <w:t>二、阶段问题复盘与解决方案</w:t>
      </w:r>
    </w:p>
    <w:p w14:paraId="320CC3D1">
      <w:pPr>
        <w:pStyle w:val="168"/>
      </w:pPr>
      <w:r>
        <w:rPr>
          <w:rFonts w:ascii="Noto Sans CJK SC" w:hAnsi="Noto Sans CJK SC" w:eastAsia="Noto Sans CJK SC"/>
          <w:b/>
          <w:i w:val="0"/>
          <w:sz w:val="24"/>
        </w:rPr>
        <w:t>问题：AI能力还比较碎片化</w:t>
      </w:r>
    </w:p>
    <w:p w14:paraId="1A3B46D9">
      <w:pPr>
        <w:pStyle w:val="170"/>
        <w:spacing w:after="80"/>
        <w:ind w:left="0" w:firstLine="0"/>
      </w:pPr>
      <w:r>
        <w:rPr>
          <w:rFonts w:ascii="Noto Sans CJK SC" w:hAnsi="Noto Sans CJK SC" w:eastAsia="Noto Sans CJK SC"/>
          <w:b/>
          <w:i w:val="0"/>
          <w:sz w:val="22"/>
        </w:rPr>
        <w:t>现象：</w:t>
      </w:r>
      <w:r>
        <w:rPr>
          <w:rFonts w:ascii="Noto Sans CJK SC" w:hAnsi="Noto Sans CJK SC" w:eastAsia="Noto Sans CJK SC"/>
          <w:b w:val="0"/>
          <w:i w:val="0"/>
          <w:sz w:val="22"/>
        </w:rPr>
        <w:t>团队里已经有同事把AI用进研发流程，但也有很多场景还停留在零散试用，没有形成统一打法。</w:t>
      </w:r>
    </w:p>
    <w:p w14:paraId="07E1BADF">
      <w:pPr>
        <w:pStyle w:val="170"/>
        <w:spacing w:after="80"/>
        <w:ind w:left="0" w:firstLine="0"/>
      </w:pPr>
      <w:r>
        <w:rPr>
          <w:rFonts w:ascii="Noto Sans CJK SC" w:hAnsi="Noto Sans CJK SC" w:eastAsia="Noto Sans CJK SC"/>
          <w:b/>
          <w:i w:val="0"/>
          <w:sz w:val="22"/>
        </w:rPr>
        <w:t>影响：</w:t>
      </w:r>
      <w:r>
        <w:rPr>
          <w:rFonts w:ascii="Noto Sans CJK SC" w:hAnsi="Noto Sans CJK SC" w:eastAsia="Noto Sans CJK SC"/>
          <w:b w:val="0"/>
          <w:i w:val="0"/>
          <w:sz w:val="22"/>
        </w:rPr>
        <w:t>结果就是个人效率能提升，但组织效率提升不稳定，难以快速复制到研发、测试、交付和产品全流程。</w:t>
      </w:r>
    </w:p>
    <w:p w14:paraId="66FA1D65">
      <w:pPr>
        <w:pStyle w:val="170"/>
        <w:spacing w:after="80"/>
        <w:ind w:left="0" w:firstLine="0"/>
      </w:pPr>
      <w:r>
        <w:rPr>
          <w:rFonts w:ascii="Noto Sans CJK SC" w:hAnsi="Noto Sans CJK SC" w:eastAsia="Noto Sans CJK SC"/>
          <w:b/>
          <w:i w:val="0"/>
          <w:sz w:val="22"/>
        </w:rPr>
        <w:t>根因：</w:t>
      </w:r>
      <w:r>
        <w:rPr>
          <w:rFonts w:ascii="Noto Sans CJK SC" w:hAnsi="Noto Sans CJK SC" w:eastAsia="Noto Sans CJK SC"/>
          <w:b w:val="0"/>
          <w:i w:val="0"/>
          <w:sz w:val="22"/>
        </w:rPr>
        <w:t>缺少统一的Prompt模板和规则库；没有团队级的工具链和接口标准；缺少AI结果是否可用的验收标准</w:t>
      </w:r>
    </w:p>
    <w:p w14:paraId="036957C5">
      <w:pPr>
        <w:pStyle w:val="170"/>
        <w:spacing w:after="80"/>
        <w:ind w:left="0" w:firstLine="0"/>
      </w:pPr>
      <w:r>
        <w:rPr>
          <w:rFonts w:ascii="Noto Sans CJK SC" w:hAnsi="Noto Sans CJK SC" w:eastAsia="Noto Sans CJK SC"/>
          <w:b/>
          <w:i w:val="0"/>
          <w:sz w:val="22"/>
        </w:rPr>
        <w:t>已采取措施：</w:t>
      </w:r>
      <w:r>
        <w:rPr>
          <w:rFonts w:ascii="Noto Sans CJK SC" w:hAnsi="Noto Sans CJK SC" w:eastAsia="Noto Sans CJK SC"/>
          <w:b w:val="0"/>
          <w:i w:val="0"/>
          <w:sz w:val="22"/>
        </w:rPr>
        <w:t>通过周会分享了一批AI实践案例，团队对AI从“聊天工具”走向“工作助手”已经形成共识。</w:t>
      </w:r>
    </w:p>
    <w:p w14:paraId="6B9BB584">
      <w:pPr>
        <w:pStyle w:val="170"/>
        <w:spacing w:after="80"/>
        <w:ind w:left="0" w:firstLine="0"/>
      </w:pPr>
      <w:r>
        <w:rPr>
          <w:rFonts w:ascii="Noto Sans CJK SC" w:hAnsi="Noto Sans CJK SC" w:eastAsia="Noto Sans CJK SC"/>
          <w:b/>
          <w:i w:val="0"/>
          <w:sz w:val="22"/>
        </w:rPr>
        <w:t>3月解决动作：</w:t>
      </w:r>
      <w:r>
        <w:rPr>
          <w:rFonts w:ascii="Noto Sans CJK SC" w:hAnsi="Noto Sans CJK SC" w:eastAsia="Noto Sans CJK SC"/>
          <w:b w:val="0"/>
          <w:i w:val="0"/>
          <w:sz w:val="22"/>
        </w:rPr>
        <w:t>沉淀研发、测试、交付、文档四类共用AI模板，形成第一版团队AI协作规范。</w:t>
      </w:r>
    </w:p>
    <w:p w14:paraId="366AA2C7">
      <w:pPr>
        <w:pStyle w:val="170"/>
        <w:spacing w:after="80"/>
        <w:ind w:left="0" w:firstLine="0"/>
      </w:pPr>
      <w:r>
        <w:rPr>
          <w:rFonts w:ascii="Noto Sans CJK SC" w:hAnsi="Noto Sans CJK SC" w:eastAsia="Noto Sans CJK SC"/>
          <w:b/>
          <w:i w:val="0"/>
          <w:sz w:val="22"/>
        </w:rPr>
        <w:t>2季度根治方案：</w:t>
      </w:r>
      <w:r>
        <w:rPr>
          <w:rFonts w:ascii="Noto Sans CJK SC" w:hAnsi="Noto Sans CJK SC" w:eastAsia="Noto Sans CJK SC"/>
          <w:b w:val="0"/>
          <w:i w:val="0"/>
          <w:sz w:val="22"/>
        </w:rPr>
        <w:t>建设AI中台底座，把知识库、规则库、样本集和标准接口统一起来，让AI可复用、可评估、可持续迭代。</w:t>
      </w:r>
    </w:p>
    <w:p w14:paraId="0A6A7A98">
      <w:pPr>
        <w:pStyle w:val="170"/>
        <w:spacing w:after="80"/>
        <w:ind w:left="0" w:firstLine="0"/>
        <w:rPr>
          <w:rFonts w:hint="eastAsia" w:eastAsia="Noto Sans CJK SC"/>
          <w:lang w:eastAsia="zh-CN"/>
        </w:rPr>
      </w:pPr>
      <w:r>
        <w:rPr>
          <w:rFonts w:ascii="Noto Sans CJK SC" w:hAnsi="Noto Sans CJK SC" w:eastAsia="Noto Sans CJK SC"/>
          <w:b/>
          <w:i w:val="0"/>
          <w:sz w:val="22"/>
        </w:rPr>
        <w:t>验证指标：</w:t>
      </w:r>
      <w:r>
        <w:rPr>
          <w:rFonts w:ascii="Noto Sans CJK SC" w:hAnsi="Noto Sans CJK SC" w:eastAsia="Noto Sans CJK SC"/>
          <w:b w:val="0"/>
          <w:i w:val="0"/>
          <w:sz w:val="22"/>
        </w:rPr>
        <w:t>团队AI工具覆盖率、可复用模板数量、AI辅助研发/测试工时占比、AI输出一次通过率。</w:t>
      </w:r>
    </w:p>
    <w:p w14:paraId="384788ED">
      <w:pPr>
        <w:pStyle w:val="167"/>
      </w:pPr>
      <w:r>
        <w:rPr>
          <w:rFonts w:ascii="Noto Sans CJK SC" w:hAnsi="Noto Sans CJK SC" w:eastAsia="Noto Sans CJK SC"/>
          <w:b/>
          <w:i w:val="0"/>
          <w:color w:val="CC5500"/>
          <w:sz w:val="28"/>
        </w:rPr>
        <w:t>三、3月重点工作规划</w:t>
      </w:r>
    </w:p>
    <w:p w14:paraId="57C85F57">
      <w:pPr>
        <w:pStyle w:val="170"/>
      </w:pPr>
      <w:r>
        <w:rPr>
          <w:rFonts w:ascii="Noto Sans CJK SC" w:hAnsi="Noto Sans CJK SC" w:eastAsia="Noto Sans CJK SC"/>
          <w:b w:val="0"/>
          <w:i w:val="0"/>
          <w:sz w:val="22"/>
        </w:rPr>
        <w:t>3月的关键词</w:t>
      </w:r>
      <w:r>
        <w:rPr>
          <w:rFonts w:hint="eastAsia"/>
          <w:b w:val="0"/>
          <w:i w:val="0"/>
          <w:sz w:val="22"/>
          <w:lang w:val="en-US" w:eastAsia="zh-CN"/>
        </w:rPr>
        <w:t>是更多售前支持的项目转化成订单</w:t>
      </w:r>
      <w:r>
        <w:rPr>
          <w:rFonts w:ascii="Noto Sans CJK SC" w:hAnsi="Noto Sans CJK SC" w:eastAsia="Noto Sans CJK SC"/>
          <w:b w:val="0"/>
          <w:i w:val="0"/>
          <w:sz w:val="22"/>
        </w:rPr>
        <w:t>，</w:t>
      </w:r>
      <w:r>
        <w:rPr>
          <w:rFonts w:hint="eastAsia"/>
          <w:b w:val="0"/>
          <w:i w:val="0"/>
          <w:sz w:val="22"/>
          <w:lang w:val="en-US" w:eastAsia="zh-CN"/>
        </w:rPr>
        <w:t>交付的项目尽快签验收</w:t>
      </w:r>
      <w:r>
        <w:rPr>
          <w:rFonts w:ascii="Noto Sans CJK SC" w:hAnsi="Noto Sans CJK SC" w:eastAsia="Noto Sans CJK SC"/>
          <w:b w:val="0"/>
          <w:i w:val="0"/>
          <w:sz w:val="22"/>
        </w:rPr>
        <w:t>。</w:t>
      </w:r>
    </w:p>
    <w:p w14:paraId="443C5399">
      <w:pPr>
        <w:pStyle w:val="168"/>
      </w:pPr>
      <w:r>
        <w:t>1. 项目层面</w:t>
      </w:r>
    </w:p>
    <w:p w14:paraId="39BAF69F">
      <w:pPr>
        <w:pStyle w:val="170"/>
        <w:ind w:firstLine="440" w:firstLineChars="200"/>
      </w:pPr>
      <w:r>
        <w:rPr>
          <w:b/>
        </w:rPr>
        <w:t>本月关键里程碑：</w:t>
      </w:r>
      <w:r>
        <w:t>①江西206项目确保3月15日上线开餐，同步完成部署、调试、数据录入测试、用户手册更新和验收资料准备；②荣海小学营养结算项目按“3月15日完成开发、3月30日投入使用”推进，重点打通营养结算与邮储App接入流程；③湖南体职院项目围绕体脂秤、体成分仪和运动设备对接，形成“AI运动营养师”阶段性可演示成果；④中央网信办项目推动进销存真正用起来，连续稳定运行并达到验收触发条件；⑤首都机场、赛迪、中央国债项目由“已上线”转向“稳定样板”，重点解决补贴导入、验收准备、AI消费机优化等工作。</w:t>
      </w:r>
    </w:p>
    <w:p w14:paraId="266347C2">
      <w:pPr>
        <w:pStyle w:val="168"/>
      </w:pPr>
      <w:r>
        <w:t>2. 产品层面</w:t>
      </w:r>
    </w:p>
    <w:p w14:paraId="2C17B88D">
      <w:pPr>
        <w:pStyle w:val="170"/>
        <w:ind w:firstLine="440" w:firstLineChars="200"/>
      </w:pPr>
      <w:r>
        <w:t>3月产品工作继续围绕三条产品策略深化，目标是把分散的项目需求收口成可销售、可交付、可复制的标准产品能力。</w:t>
      </w:r>
    </w:p>
    <w:p w14:paraId="78E0450D">
      <w:pPr>
        <w:pStyle w:val="170"/>
        <w:rPr>
          <w:rFonts w:hint="eastAsia"/>
          <w:lang w:val="en-US" w:eastAsia="zh-CN"/>
        </w:rPr>
      </w:pPr>
      <w:r>
        <w:rPr>
          <w:b/>
        </w:rPr>
        <w:t>产品策略1：把“AI智慧营养”装进高频结算场景。</w:t>
      </w:r>
      <w:r>
        <w:t xml:space="preserve"> 本月重点把营养能力做成客户看得见、听得懂、愿意买单的功能，而不是停留在概念表达。具体推进菜品营养标签、热量合计、支付后餐盘结构评价、AI一句话营养建议、电子价签营养展示和小程序营养反馈，形成前台设备、移动端和管理端三端一致的表达方式。</w:t>
      </w:r>
      <w:r>
        <w:rPr>
          <w:rFonts w:hint="eastAsia"/>
          <w:lang w:val="en-US" w:eastAsia="zh-CN"/>
        </w:rPr>
        <w:t>重点在于构建以AI智慧营养为中枢的健康团餐技术体系。</w:t>
      </w:r>
    </w:p>
    <w:p w14:paraId="06387FBB">
      <w:pPr>
        <w:pStyle w:val="170"/>
        <w:rPr>
          <w:rFonts w:hint="eastAsia"/>
          <w:lang w:val="en-US" w:eastAsia="zh-CN"/>
        </w:rPr>
      </w:pPr>
      <w:r>
        <w:drawing>
          <wp:inline distT="0" distB="0" distL="114300" distR="114300">
            <wp:extent cx="5891530" cy="3231515"/>
            <wp:effectExtent l="0" t="0" r="1270" b="19685"/>
            <wp:docPr id="2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91530" cy="323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9EE83">
      <w:pPr>
        <w:pStyle w:val="170"/>
      </w:pPr>
      <w:r>
        <w:drawing>
          <wp:inline distT="0" distB="0" distL="114300" distR="114300">
            <wp:extent cx="5899150" cy="3415030"/>
            <wp:effectExtent l="0" t="0" r="19050" b="13970"/>
            <wp:docPr id="2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99150" cy="341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6DC8A">
      <w:pPr>
        <w:pStyle w:val="170"/>
        <w:rPr>
          <w:rFonts w:hint="eastAsia" w:eastAsia="Noto Sans CJK SC"/>
          <w:lang w:eastAsia="zh-CN"/>
        </w:rPr>
      </w:pPr>
      <w:r>
        <w:rPr>
          <w:b/>
        </w:rPr>
        <w:t>产品策略2：补齐标准化团餐产品。</w:t>
      </w:r>
      <w:r>
        <w:t xml:space="preserve"> 围绕前厅营养结算、后厨进销存、食安监管三条主线继续收口，重点把退款、冲正、补贴导入、卡务变更、异常数据处理等依赖人工的流程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机场项目需求</w:t>
      </w:r>
      <w:r>
        <w:rPr>
          <w:rFonts w:hint="eastAsia"/>
          <w:lang w:eastAsia="zh-CN"/>
        </w:rPr>
        <w:t>）</w:t>
      </w:r>
      <w:r>
        <w:t>逐步产品化。同时</w:t>
      </w:r>
      <w:r>
        <w:rPr>
          <w:rFonts w:hint="eastAsia"/>
          <w:lang w:val="en-US" w:eastAsia="zh-CN"/>
        </w:rPr>
        <w:t>启动AI菜品识别的开发和进销存系统的开发，预期完成60%</w:t>
      </w:r>
      <w:r>
        <w:t>。</w:t>
      </w:r>
    </w:p>
    <w:p w14:paraId="3AA9AEC4">
      <w:pPr>
        <w:pStyle w:val="170"/>
        <w:jc w:val="center"/>
      </w:pPr>
      <w:r>
        <w:drawing>
          <wp:inline distT="0" distB="0" distL="114300" distR="114300">
            <wp:extent cx="5328920" cy="1076960"/>
            <wp:effectExtent l="0" t="0" r="5080" b="15240"/>
            <wp:docPr id="2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"/>
                    <pic:cNvPicPr/>
                  </pic:nvPicPr>
                  <pic:blipFill>
                    <a:blip r:embed="rId27" r:link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28920" cy="107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53C0F">
      <w:pPr>
        <w:pStyle w:val="170"/>
        <w:jc w:val="center"/>
      </w:pPr>
      <w:r>
        <w:drawing>
          <wp:inline distT="0" distB="0" distL="114300" distR="114300">
            <wp:extent cx="3860165" cy="3707765"/>
            <wp:effectExtent l="0" t="0" r="635" b="635"/>
            <wp:docPr id="2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6016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F3D6C">
      <w:pPr>
        <w:pStyle w:val="170"/>
        <w:rPr>
          <w:rFonts w:hint="eastAsia" w:eastAsia="Noto Sans CJK SC"/>
          <w:lang w:eastAsia="zh-CN"/>
        </w:rPr>
      </w:pPr>
      <w:r>
        <w:rPr>
          <w:rFonts w:hint="eastAsia" w:eastAsia="Noto Sans CJK SC"/>
          <w:lang w:eastAsia="zh-CN"/>
        </w:rPr>
        <w:drawing>
          <wp:inline distT="0" distB="0" distL="114300" distR="114300">
            <wp:extent cx="5892800" cy="3302635"/>
            <wp:effectExtent l="0" t="0" r="0" b="24765"/>
            <wp:docPr id="21" name="图片 21" descr="ee1b52c0d26ee6da35b3214de64803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ee1b52c0d26ee6da35b3214de64803ec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330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89E8D">
      <w:pPr>
        <w:pStyle w:val="170"/>
      </w:pPr>
      <w:r>
        <w:rPr>
          <w:b/>
        </w:rPr>
        <w:t>产品策略3：AI赋能团队，启动“产品经理岗+Agent工程师岗”双角色模型。</w:t>
      </w:r>
      <w:r>
        <w:t xml:space="preserve"> 结合当前项目并行、产品深化和AI工程化推进的实际情况，数字技术中心计划逐步简化岗位分工，把传统前端、后端、测试、产品、实施的长链条协作，过渡为以AI Agent为核心的双角色协同模式。</w:t>
      </w:r>
    </w:p>
    <w:p w14:paraId="7AEC8563">
      <w:pPr>
        <w:pStyle w:val="170"/>
        <w:spacing w:after="80"/>
        <w:ind w:left="0" w:firstLine="0"/>
        <w:rPr>
          <w:rFonts w:ascii="Noto Sans CJK SC" w:hAnsi="Noto Sans CJK SC" w:eastAsia="Noto Sans CJK SC"/>
          <w:b w:val="0"/>
          <w:i w:val="0"/>
          <w:sz w:val="22"/>
        </w:rPr>
      </w:pPr>
      <w:r>
        <w:drawing>
          <wp:inline distT="0" distB="0" distL="114300" distR="114300">
            <wp:extent cx="5760720" cy="3164840"/>
            <wp:effectExtent l="0" t="0" r="5080" b="1016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6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388DE">
      <w:pPr>
        <w:pStyle w:val="170"/>
      </w:pPr>
      <w:r>
        <w:rPr>
          <w:b/>
        </w:rPr>
        <w:t>3月启动动作：</w:t>
      </w:r>
      <w:r>
        <w:t>先完成双角色岗位说明书、能力清单和试点项目分配；在重点项目中试运行“1名产品经理+1名Agent工程师”的协同方式；统一团队AI工具、Skills清单、Prompt模板、规则库和文档规范；每周复盘一次，用项目结果反推组织调整节奏。</w:t>
      </w:r>
    </w:p>
    <w:p w14:paraId="681752F1">
      <w:pPr>
        <w:pStyle w:val="170"/>
      </w:pPr>
      <w:r>
        <w:rPr>
          <w:b/>
        </w:rPr>
        <w:t>半年调整路径：</w:t>
      </w:r>
      <w:r>
        <w:t>3月完成角色定义和试点启动，4-5月进入双角色并行运行阶段，6-8月逐步完成主要项目团队的协作方式切换。这个动作本质上是把公司人才发展战略落到岗位能力升级上，把“单点职能型人才”升级为“懂业务、会用AI、能独立推进结果”的复合型人才。</w:t>
      </w:r>
    </w:p>
    <w:p w14:paraId="375CE445">
      <w:pPr>
        <w:pStyle w:val="170"/>
        <w:rPr>
          <w:rFonts w:ascii="Noto Sans CJK SC" w:hAnsi="Noto Sans CJK SC" w:eastAsia="Noto Sans CJK SC"/>
          <w:b w:val="0"/>
          <w:i w:val="0"/>
          <w:sz w:val="22"/>
        </w:rPr>
      </w:pPr>
      <w:r>
        <w:rPr>
          <w:b/>
        </w:rPr>
        <w:t>对公司战略的支撑：</w:t>
      </w:r>
      <w:r>
        <w:t>一方面，通过双角色模型、AI工具链和岗位能力升级，直接支撑公司“3+2”战略中的人才发展战略；另一方面，通过项目经验沉淀、产品标准化和数据资产建设，持续支撑公司的数字化战略，让数字技术中心从支撑部门进一步升级为能力建设部门。</w:t>
      </w:r>
    </w:p>
    <w:tbl>
      <w:tblPr>
        <w:tblStyle w:val="33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8"/>
      </w:tblGrid>
      <w:tr w14:paraId="24A61EBC">
        <w:trPr>
          <w:jc w:val="center"/>
        </w:trPr>
        <w:tc>
          <w:tcPr>
            <w:tcW w:w="9298" w:type="dxa"/>
            <w:tcBorders>
              <w:top w:val="single" w:color="F4B183" w:sz="6" w:space="0"/>
              <w:left w:val="single" w:color="E97132" w:sz="24" w:space="0"/>
              <w:bottom w:val="single" w:color="F4B183" w:sz="6" w:space="0"/>
              <w:right w:val="single" w:color="F4B183" w:sz="6" w:space="0"/>
            </w:tcBorders>
            <w:shd w:val="clear" w:color="auto" w:fill="FFF4E8"/>
          </w:tcPr>
          <w:p w14:paraId="32D74A91">
            <w:pPr>
              <w:pStyle w:val="30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/>
                <w:b/>
                <w:i w:val="0"/>
                <w:color w:val="CC5500"/>
                <w:sz w:val="28"/>
                <w:lang w:val="en-US" w:eastAsia="zh-CN"/>
              </w:rPr>
              <w:t xml:space="preserve"> </w:t>
            </w:r>
            <w:r>
              <w:rPr>
                <w:rFonts w:ascii="Noto Sans CJK SC" w:hAnsi="Noto Sans CJK SC" w:eastAsia="Noto Sans CJK SC"/>
                <w:b/>
                <w:i w:val="0"/>
                <w:color w:val="CC5500"/>
                <w:sz w:val="23"/>
              </w:rPr>
              <w:t>总结：</w:t>
            </w:r>
            <w:r>
              <w:rPr>
                <w:rFonts w:ascii="Noto Sans CJK SC" w:hAnsi="Noto Sans CJK SC" w:eastAsia="Noto Sans CJK SC"/>
                <w:b w:val="0"/>
                <w:i w:val="0"/>
                <w:sz w:val="21"/>
              </w:rPr>
              <w:t>数字技术中心下一阶段的</w:t>
            </w:r>
            <w:r>
              <w:rPr>
                <w:rFonts w:hint="eastAsia"/>
                <w:b w:val="0"/>
                <w:i w:val="0"/>
                <w:sz w:val="21"/>
                <w:lang w:val="en-US" w:eastAsia="zh-CN"/>
              </w:rPr>
              <w:t>核心</w:t>
            </w:r>
            <w:r>
              <w:rPr>
                <w:rFonts w:ascii="Noto Sans CJK SC" w:hAnsi="Noto Sans CJK SC" w:eastAsia="Noto Sans CJK SC"/>
                <w:b w:val="0"/>
                <w:i w:val="0"/>
                <w:sz w:val="21"/>
              </w:rPr>
              <w:t>，是以 AI 智慧营养为中枢，贯通项目交付、产品体系与数据算法能力，构建健康团餐领域可进化的技术壁垒。</w:t>
            </w:r>
          </w:p>
        </w:tc>
      </w:tr>
    </w:tbl>
    <w:p w14:paraId="2D03E748"/>
    <w:sectPr>
      <w:headerReference r:id="rId5" w:type="default"/>
      <w:footerReference r:id="rId6" w:type="default"/>
      <w:pgSz w:w="11906" w:h="16838"/>
      <w:pgMar w:top="1134" w:right="1304" w:bottom="1134" w:left="1304" w:header="624" w:footer="567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Noto Sans CJK S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F0BC81">
    <w:pPr>
      <w:pStyle w:val="24"/>
    </w:pPr>
  </w:p>
  <w:tbl>
    <w:tblPr>
      <w:tblStyle w:val="33"/>
      <w:tblW w:w="0" w:type="auto"/>
      <w:jc w:val="center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7937"/>
      <w:gridCol w:w="1417"/>
    </w:tblGrid>
    <w:tr w14:paraId="03C674C1">
      <w:trPr>
        <w:jc w:val="center"/>
      </w:trPr>
      <w:tc>
        <w:tcPr>
          <w:tcW w:w="4677" w:type="dxa"/>
          <w:tcBorders>
            <w:top w:val="single" w:color="000000" w:sz="12" w:space="0"/>
            <w:left w:val="nil"/>
            <w:bottom w:val="nil"/>
            <w:right w:val="nil"/>
          </w:tcBorders>
        </w:tcPr>
        <w:p w14:paraId="0298F07D">
          <w:pPr>
            <w:jc w:val="center"/>
          </w:pPr>
          <w:r>
            <w:rPr>
              <w:rFonts w:ascii="Noto Sans CJK SC" w:hAnsi="Noto Sans CJK SC" w:eastAsia="Noto Sans CJK SC"/>
              <w:sz w:val="18"/>
            </w:rPr>
            <w:t>北京康比特体育科技股份有限公司</w:t>
          </w:r>
          <w:r>
            <w:rPr>
              <w:rFonts w:ascii="Noto Sans CJK SC" w:hAnsi="Noto Sans CJK SC" w:eastAsia="Noto Sans CJK SC"/>
              <w:sz w:val="18"/>
            </w:rPr>
            <w:br w:type="textWrapping"/>
          </w:r>
          <w:r>
            <w:rPr>
              <w:rFonts w:ascii="Noto Sans CJK SC" w:hAnsi="Noto Sans CJK SC" w:eastAsia="Noto Sans CJK SC"/>
              <w:sz w:val="18"/>
            </w:rPr>
            <w:t>Beijing Competitor Sports Science &amp; Tech. Co., Ltd.</w:t>
          </w:r>
        </w:p>
      </w:tc>
      <w:tc>
        <w:tcPr>
          <w:tcW w:w="4677" w:type="dxa"/>
          <w:tcBorders>
            <w:top w:val="single" w:color="000000" w:sz="12" w:space="0"/>
            <w:left w:val="nil"/>
            <w:bottom w:val="nil"/>
            <w:right w:val="nil"/>
          </w:tcBorders>
        </w:tcPr>
        <w:p w14:paraId="250AC594">
          <w:pPr>
            <w:jc w:val="right"/>
          </w:pPr>
          <w:r>
            <w:rPr>
              <w:rFonts w:ascii="Noto Sans CJK SC" w:hAnsi="Noto Sans CJK SC" w:eastAsia="Noto Sans CJK SC"/>
            </w:rPr>
            <w:fldChar w:fldCharType="begin"/>
          </w:r>
          <w:r>
            <w:rPr>
              <w:rFonts w:ascii="Noto Sans CJK SC" w:hAnsi="Noto Sans CJK SC" w:eastAsia="Noto Sans CJK SC"/>
            </w:rPr>
            <w:instrText xml:space="preserve">PAGE</w:instrText>
          </w:r>
          <w:r>
            <w:rPr>
              <w:rFonts w:ascii="Noto Sans CJK SC" w:hAnsi="Noto Sans CJK SC" w:eastAsia="Noto Sans CJK SC"/>
            </w:rPr>
            <w:fldChar w:fldCharType="end"/>
          </w:r>
        </w:p>
      </w:tc>
    </w:tr>
  </w:tbl>
  <w:p w14:paraId="18B5A84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24" w:lineRule="auto"/>
      </w:pPr>
      <w:r>
        <w:separator/>
      </w:r>
    </w:p>
  </w:footnote>
  <w:footnote w:type="continuationSeparator" w:id="1">
    <w:p>
      <w:pPr>
        <w:spacing w:before="0" w:after="0" w:line="324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85973">
    <w:pPr>
      <w:pStyle w:val="25"/>
    </w:pPr>
  </w:p>
  <w:tbl>
    <w:tblPr>
      <w:tblStyle w:val="33"/>
      <w:tblW w:w="0" w:type="auto"/>
      <w:jc w:val="center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969"/>
      <w:gridCol w:w="5386"/>
    </w:tblGrid>
    <w:tr w14:paraId="084FEE48">
      <w:trPr>
        <w:jc w:val="center"/>
      </w:trPr>
      <w:tc>
        <w:tcPr>
          <w:tcW w:w="4677" w:type="dxa"/>
          <w:tcBorders>
            <w:top w:val="nil"/>
            <w:left w:val="nil"/>
            <w:bottom w:val="single" w:color="000000" w:sz="12" w:space="0"/>
            <w:right w:val="nil"/>
          </w:tcBorders>
          <w:vAlign w:val="center"/>
        </w:tcPr>
        <w:p w14:paraId="28F58D72">
          <w:pPr>
            <w:jc w:val="left"/>
          </w:pPr>
          <w:r>
            <w:rPr>
              <w:rFonts w:ascii="Noto Sans CJK SC" w:hAnsi="Noto Sans CJK SC" w:eastAsia="Noto Sans CJK SC"/>
              <w:b/>
              <w:i/>
              <w:color w:val="E97132"/>
              <w:sz w:val="36"/>
            </w:rPr>
            <w:t>CPT</w:t>
          </w:r>
          <w:r>
            <w:rPr>
              <w:rFonts w:ascii="Noto Sans CJK SC" w:hAnsi="Noto Sans CJK SC" w:eastAsia="Noto Sans CJK SC"/>
              <w:b/>
              <w:color w:val="E97132"/>
              <w:sz w:val="36"/>
            </w:rPr>
            <w:t>康比特</w:t>
          </w:r>
        </w:p>
      </w:tc>
      <w:tc>
        <w:tcPr>
          <w:tcW w:w="4677" w:type="dxa"/>
          <w:tcBorders>
            <w:top w:val="nil"/>
            <w:left w:val="nil"/>
            <w:bottom w:val="single" w:color="000000" w:sz="12" w:space="0"/>
            <w:right w:val="nil"/>
          </w:tcBorders>
          <w:vAlign w:val="center"/>
        </w:tcPr>
        <w:p w14:paraId="0DD2C9B1">
          <w:pPr>
            <w:jc w:val="right"/>
          </w:pPr>
          <w:r>
            <w:rPr>
              <w:rFonts w:ascii="Noto Sans CJK SC" w:hAnsi="Noto Sans CJK SC" w:eastAsia="Noto Sans CJK SC"/>
              <w:b w:val="0"/>
              <w:sz w:val="23"/>
            </w:rPr>
            <w:t>北京康比特体育科技股份有限公司</w:t>
          </w:r>
        </w:p>
      </w:tc>
    </w:tr>
  </w:tbl>
  <w:p w14:paraId="297DEC4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D64C91"/>
    <w:multiLevelType w:val="singleLevel"/>
    <w:tmpl w:val="FDD64C91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4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5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FFE0A77"/>
    <w:rsid w:val="157F068D"/>
    <w:rsid w:val="19F5E83D"/>
    <w:rsid w:val="1BFB752A"/>
    <w:rsid w:val="1EFD47AE"/>
    <w:rsid w:val="1FF4A4CB"/>
    <w:rsid w:val="2DF0132A"/>
    <w:rsid w:val="33FDFA00"/>
    <w:rsid w:val="373EC00F"/>
    <w:rsid w:val="3775D7C6"/>
    <w:rsid w:val="3978B934"/>
    <w:rsid w:val="3DFD0DF4"/>
    <w:rsid w:val="3F9F06A4"/>
    <w:rsid w:val="3FA9D05F"/>
    <w:rsid w:val="3FBED275"/>
    <w:rsid w:val="3FDE3E93"/>
    <w:rsid w:val="3FEB69D9"/>
    <w:rsid w:val="47F3C134"/>
    <w:rsid w:val="4FFFF05B"/>
    <w:rsid w:val="52FE1642"/>
    <w:rsid w:val="55D793A5"/>
    <w:rsid w:val="5B737DB5"/>
    <w:rsid w:val="5ED88C07"/>
    <w:rsid w:val="6A3C0E5A"/>
    <w:rsid w:val="6A5FB50F"/>
    <w:rsid w:val="6AA7E6C3"/>
    <w:rsid w:val="6B5DE495"/>
    <w:rsid w:val="6BBBF189"/>
    <w:rsid w:val="6BDDDEAA"/>
    <w:rsid w:val="6DAEC078"/>
    <w:rsid w:val="6DE795F9"/>
    <w:rsid w:val="6E3F1D11"/>
    <w:rsid w:val="6FDD55AD"/>
    <w:rsid w:val="6FE61C18"/>
    <w:rsid w:val="6FFB624B"/>
    <w:rsid w:val="73F7A23C"/>
    <w:rsid w:val="73FFDC29"/>
    <w:rsid w:val="75798C2B"/>
    <w:rsid w:val="7AF7C490"/>
    <w:rsid w:val="7AFF32B6"/>
    <w:rsid w:val="7B7FDFEC"/>
    <w:rsid w:val="7BFF1C65"/>
    <w:rsid w:val="7D9F3ED4"/>
    <w:rsid w:val="7DBF0B08"/>
    <w:rsid w:val="7EFF0EDA"/>
    <w:rsid w:val="7F7BC023"/>
    <w:rsid w:val="7F979486"/>
    <w:rsid w:val="7FF54A62"/>
    <w:rsid w:val="7FF6FDC4"/>
    <w:rsid w:val="7FFA2ABB"/>
    <w:rsid w:val="7FFD4347"/>
    <w:rsid w:val="94B77769"/>
    <w:rsid w:val="9635222C"/>
    <w:rsid w:val="97427BE3"/>
    <w:rsid w:val="9CAF64D4"/>
    <w:rsid w:val="AE7AD17A"/>
    <w:rsid w:val="AFFBADE9"/>
    <w:rsid w:val="B5DFA89C"/>
    <w:rsid w:val="B7FC7EDC"/>
    <w:rsid w:val="BDDFEEB1"/>
    <w:rsid w:val="BEFFE299"/>
    <w:rsid w:val="BFBD5354"/>
    <w:rsid w:val="C7F5CE4F"/>
    <w:rsid w:val="CBDB27BB"/>
    <w:rsid w:val="CBE4C536"/>
    <w:rsid w:val="CDF5A2AC"/>
    <w:rsid w:val="CFB133C1"/>
    <w:rsid w:val="DB3F5C2E"/>
    <w:rsid w:val="DBDB2CD7"/>
    <w:rsid w:val="DD9DA63C"/>
    <w:rsid w:val="DDFFF5EA"/>
    <w:rsid w:val="DEBB7766"/>
    <w:rsid w:val="DF35B94A"/>
    <w:rsid w:val="DFDE2F3F"/>
    <w:rsid w:val="DFEBAF6A"/>
    <w:rsid w:val="DFFB99A6"/>
    <w:rsid w:val="E0BF95AC"/>
    <w:rsid w:val="E7A7EB63"/>
    <w:rsid w:val="E7F5B7A4"/>
    <w:rsid w:val="EAD2E899"/>
    <w:rsid w:val="EAFFD00F"/>
    <w:rsid w:val="EBF7ED32"/>
    <w:rsid w:val="EEF715ED"/>
    <w:rsid w:val="F1D7CC1A"/>
    <w:rsid w:val="F6DD5441"/>
    <w:rsid w:val="F6FFCA6C"/>
    <w:rsid w:val="F7FE7566"/>
    <w:rsid w:val="F8FF3580"/>
    <w:rsid w:val="F9BF44FB"/>
    <w:rsid w:val="FA9F433F"/>
    <w:rsid w:val="FAEFBCB7"/>
    <w:rsid w:val="FB7FC682"/>
    <w:rsid w:val="FBBE16D8"/>
    <w:rsid w:val="FBDFCC03"/>
    <w:rsid w:val="FBFA9AA0"/>
    <w:rsid w:val="FED75974"/>
    <w:rsid w:val="FF72101C"/>
    <w:rsid w:val="FF7D0FA2"/>
    <w:rsid w:val="FF7FB76E"/>
    <w:rsid w:val="FF8F3750"/>
    <w:rsid w:val="FFAF3792"/>
    <w:rsid w:val="FFAFC8A4"/>
    <w:rsid w:val="FFBB0583"/>
    <w:rsid w:val="FFBE9307"/>
    <w:rsid w:val="FFDEBCF9"/>
    <w:rsid w:val="FFFFA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324" w:lineRule="auto"/>
      <w:ind w:firstLine="420"/>
    </w:pPr>
    <w:rPr>
      <w:rFonts w:ascii="Noto Sans CJK SC" w:hAnsi="Noto Sans CJK SC" w:eastAsia="Noto Sans CJK SC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uiPriority w:val="1"/>
  </w:style>
  <w:style w:type="table" w:default="1" w:styleId="3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6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31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5">
    <w:name w:val="Light Shading"/>
    <w:basedOn w:val="33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Header Char"/>
    <w:basedOn w:val="133"/>
    <w:link w:val="25"/>
    <w:uiPriority w:val="99"/>
  </w:style>
  <w:style w:type="character" w:customStyle="1" w:styleId="137">
    <w:name w:val="Footer Char"/>
    <w:basedOn w:val="133"/>
    <w:link w:val="24"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33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3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3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33"/>
    <w:link w:val="32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33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33"/>
    <w:link w:val="19"/>
    <w:uiPriority w:val="99"/>
  </w:style>
  <w:style w:type="character" w:customStyle="1" w:styleId="146">
    <w:name w:val="Body Text 2 Char"/>
    <w:basedOn w:val="133"/>
    <w:link w:val="28"/>
    <w:uiPriority w:val="99"/>
  </w:style>
  <w:style w:type="character" w:customStyle="1" w:styleId="147">
    <w:name w:val="Body Text 3 Char"/>
    <w:basedOn w:val="133"/>
    <w:link w:val="17"/>
    <w:uiPriority w:val="99"/>
    <w:rPr>
      <w:sz w:val="16"/>
      <w:szCs w:val="16"/>
    </w:rPr>
  </w:style>
  <w:style w:type="character" w:customStyle="1" w:styleId="148">
    <w:name w:val="Macro Text Char"/>
    <w:basedOn w:val="133"/>
    <w:link w:val="2"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33"/>
    <w:link w:val="149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33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33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33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33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33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33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33"/>
    <w:link w:val="157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3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5">
    <w:name w:val="TitleCenter"/>
    <w:uiPriority w:val="0"/>
    <w:pPr>
      <w:spacing w:after="160" w:line="276" w:lineRule="auto"/>
      <w:jc w:val="center"/>
    </w:pPr>
    <w:rPr>
      <w:rFonts w:ascii="Noto Sans CJK SC" w:hAnsi="Noto Sans CJK SC" w:eastAsia="Noto Sans CJK SC" w:cstheme="minorBidi"/>
      <w:b/>
      <w:sz w:val="32"/>
      <w:szCs w:val="22"/>
      <w:lang w:val="en-US" w:eastAsia="en-US" w:bidi="ar-SA"/>
    </w:rPr>
  </w:style>
  <w:style w:type="paragraph" w:customStyle="1" w:styleId="166">
    <w:name w:val="MetaCenter"/>
    <w:uiPriority w:val="0"/>
    <w:pPr>
      <w:spacing w:after="80" w:line="276" w:lineRule="auto"/>
      <w:jc w:val="center"/>
    </w:pPr>
    <w:rPr>
      <w:rFonts w:ascii="Noto Sans CJK SC" w:hAnsi="Noto Sans CJK SC" w:eastAsia="Noto Sans CJK SC" w:cstheme="minorBidi"/>
      <w:sz w:val="23"/>
      <w:szCs w:val="22"/>
      <w:lang w:val="en-US" w:eastAsia="en-US" w:bidi="ar-SA"/>
    </w:rPr>
  </w:style>
  <w:style w:type="paragraph" w:customStyle="1" w:styleId="167">
    <w:name w:val="Heading1Custom"/>
    <w:uiPriority w:val="0"/>
    <w:pPr>
      <w:keepNext/>
      <w:spacing w:before="240" w:after="120" w:line="276" w:lineRule="auto"/>
    </w:pPr>
    <w:rPr>
      <w:rFonts w:ascii="Noto Sans CJK SC" w:hAnsi="Noto Sans CJK SC" w:eastAsia="Noto Sans CJK SC" w:cstheme="minorBidi"/>
      <w:b/>
      <w:color w:val="CC5500"/>
      <w:sz w:val="28"/>
      <w:szCs w:val="22"/>
      <w:lang w:val="en-US" w:eastAsia="en-US" w:bidi="ar-SA"/>
    </w:rPr>
  </w:style>
  <w:style w:type="paragraph" w:customStyle="1" w:styleId="168">
    <w:name w:val="Heading2Custom"/>
    <w:uiPriority w:val="0"/>
    <w:pPr>
      <w:keepNext/>
      <w:spacing w:before="200" w:after="80" w:line="276" w:lineRule="auto"/>
    </w:pPr>
    <w:rPr>
      <w:rFonts w:ascii="Noto Sans CJK SC" w:hAnsi="Noto Sans CJK SC" w:eastAsia="Noto Sans CJK SC" w:cstheme="minorBidi"/>
      <w:b/>
      <w:sz w:val="24"/>
      <w:szCs w:val="22"/>
      <w:lang w:val="en-US" w:eastAsia="en-US" w:bidi="ar-SA"/>
    </w:rPr>
  </w:style>
  <w:style w:type="paragraph" w:customStyle="1" w:styleId="169">
    <w:name w:val="Heading3Custom"/>
    <w:uiPriority w:val="0"/>
    <w:pPr>
      <w:keepNext/>
      <w:spacing w:before="120" w:after="40" w:line="276" w:lineRule="auto"/>
    </w:pPr>
    <w:rPr>
      <w:rFonts w:ascii="Noto Sans CJK SC" w:hAnsi="Noto Sans CJK SC" w:eastAsia="Noto Sans CJK SC" w:cstheme="minorBidi"/>
      <w:b/>
      <w:sz w:val="23"/>
      <w:szCs w:val="22"/>
      <w:lang w:val="en-US" w:eastAsia="en-US" w:bidi="ar-SA"/>
    </w:rPr>
  </w:style>
  <w:style w:type="paragraph" w:customStyle="1" w:styleId="170">
    <w:name w:val="BodyNoIndent"/>
    <w:uiPriority w:val="0"/>
    <w:pPr>
      <w:spacing w:after="120" w:line="324" w:lineRule="auto"/>
      <w:ind w:firstLine="0"/>
    </w:pPr>
    <w:rPr>
      <w:rFonts w:ascii="Noto Sans CJK SC" w:hAnsi="Noto Sans CJK SC" w:eastAsia="Noto Sans CJK SC" w:cstheme="minorBidi"/>
      <w:sz w:val="22"/>
      <w:szCs w:val="22"/>
      <w:lang w:val="en-US" w:eastAsia="en-US" w:bidi="ar-SA"/>
    </w:rPr>
  </w:style>
  <w:style w:type="paragraph" w:customStyle="1" w:styleId="171">
    <w:name w:val="BodyIndent"/>
    <w:uiPriority w:val="0"/>
    <w:pPr>
      <w:spacing w:after="120" w:line="324" w:lineRule="auto"/>
      <w:ind w:firstLine="420"/>
    </w:pPr>
    <w:rPr>
      <w:rFonts w:ascii="Noto Sans CJK SC" w:hAnsi="Noto Sans CJK SC" w:eastAsia="Noto Sans CJK SC" w:cstheme="minorBidi"/>
      <w:sz w:val="22"/>
      <w:szCs w:val="22"/>
      <w:lang w:val="en-US" w:eastAsia="en-US" w:bidi="ar-SA"/>
    </w:rPr>
  </w:style>
  <w:style w:type="paragraph" w:customStyle="1" w:styleId="172">
    <w:name w:val="ListCustom"/>
    <w:uiPriority w:val="0"/>
    <w:pPr>
      <w:spacing w:after="80" w:line="312" w:lineRule="auto"/>
      <w:ind w:left="283" w:firstLine="0"/>
    </w:pPr>
    <w:rPr>
      <w:rFonts w:ascii="Noto Sans CJK SC" w:hAnsi="Noto Sans CJK SC" w:eastAsia="Noto Sans CJK SC" w:cstheme="minorBidi"/>
      <w:sz w:val="21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4" Type="http://schemas.openxmlformats.org/officeDocument/2006/relationships/fontTable" Target="fontTable.xml"/><Relationship Id="rId33" Type="http://schemas.openxmlformats.org/officeDocument/2006/relationships/customXml" Target="../customXml/item1.xml"/><Relationship Id="rId32" Type="http://schemas.openxmlformats.org/officeDocument/2006/relationships/numbering" Target="numbering.xml"/><Relationship Id="rId31" Type="http://schemas.openxmlformats.org/officeDocument/2006/relationships/image" Target="media/image23.png"/><Relationship Id="rId30" Type="http://schemas.openxmlformats.org/officeDocument/2006/relationships/image" Target="media/image22.png"/><Relationship Id="rId3" Type="http://schemas.openxmlformats.org/officeDocument/2006/relationships/footnotes" Target="footnotes.xml"/><Relationship Id="rId29" Type="http://schemas.openxmlformats.org/officeDocument/2006/relationships/image" Target="media/image21.png"/><Relationship Id="rId28" Type="http://schemas.openxmlformats.org/officeDocument/2006/relationships/image" Target="NULL" TargetMode="External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jpeg"/><Relationship Id="rId17" Type="http://schemas.openxmlformats.org/officeDocument/2006/relationships/image" Target="media/image10.jpeg"/><Relationship Id="rId16" Type="http://schemas.openxmlformats.org/officeDocument/2006/relationships/image" Target="media/image9.jpeg"/><Relationship Id="rId15" Type="http://schemas.openxmlformats.org/officeDocument/2006/relationships/image" Target="media/image8.jpeg"/><Relationship Id="rId14" Type="http://schemas.openxmlformats.org/officeDocument/2006/relationships/image" Target="media/image7.jpe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2013-12-24T15:15:00Z</dcterms:created>
  <dc:creator>python-docx</dc:creator>
  <dc:description>generated by python-docx</dc:description>
  <cp:lastModifiedBy>李曼</cp:lastModifiedBy>
  <dcterms:modified xsi:type="dcterms:W3CDTF">2026-03-31T23:42:47Z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797CC908893907962DE8A369B5F77C0C_42</vt:lpwstr>
  </property>
</Properties>
</file>