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rFonts w:ascii="Microsoft YaHei" w:hAnsi="Microsoft YaHei" w:eastAsia="Microsoft YaHei"/>
          <w:sz w:val="21"/>
        </w:rPr>
        <w:t>数字体育科技事业部 2026 年半年度策略专项会</w:t>
      </w:r>
    </w:p>
    <w:p>
      <w:pPr>
        <w:pStyle w:val="Heading2"/>
        <w:jc w:val="center"/>
      </w:pPr>
      <w:r>
        <w:rPr>
          <w:rFonts w:ascii="Microsoft YaHei" w:hAnsi="Microsoft YaHei" w:eastAsia="Microsoft YaHei"/>
          <w:sz w:val="21"/>
        </w:rPr>
        <w:t>姜阳补充发言：今年产品研发要从“补系统”升级为“技术储备、硬件体系和 AI Native 落地”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汇报部门：数字体育科技事业部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汇报人：姜阳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适用场景：2026 年半年度策略专项会产品研发补充稿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证据边界：5 个专利、10 个软著、硬件方向、AI 营养和 AI Agent 工程师转型为内部战略口径；正式对外、投标或经营承诺前，需要补齐证书编号、权利状态、软著名称、硬件型号报价、接口验证、试点项目和人效数据。</w:t>
      </w:r>
    </w:p>
    <w:p>
      <w:pPr>
        <w:pStyle w:val="Heading3"/>
      </w:pPr>
      <w:r>
        <w:rPr>
          <w:rFonts w:ascii="Microsoft YaHei" w:hAnsi="Microsoft YaHei" w:eastAsia="Microsoft YaHei"/>
          <w:sz w:val="21"/>
        </w:rPr>
        <w:t>一、今年产品研发的核心判断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我从产品研发角度补充。今年的重点不能再停留在“去年我们要补结算、补食安、补进销存”这条线上。那些仍然要做，但今年更关键的问题是：我们已经有一定技术储备，接下来要把这些储备转成客户看得见、销售拿得出、投标用得上、交付能复用的产品能力。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今年产品研发的主线，我建议概括为三句话：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第一，技术储备要产品化。5 个专利、10 个软著不能只放在证书文件夹里，而要绑定到智慧餐厅的具体能力、招投标技术参数、客户演示话术和标准产品包。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第二，硬件体系要重新定义。现有硬件要做横向对比，找到更低成本、更好对接、更稳定交付的供应商；未来硬件要结合食安行业法规和监管难点来设计，不是为了堆设备，而是为了提高效率、减少人工台账、补齐监管证据链。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第三，AI Native 要落到团队和产品里。AI 不能只用于写材料，而要进入需求、研发、测试、交付、知识库和营养服务本身。团队要逐步从“会用 AI 工具”转向“能和 AI Agent 一起交付产品”的工程化能力。</w:t>
      </w:r>
    </w:p>
    <w:p>
      <w:pPr>
        <w:pStyle w:val="Heading3"/>
      </w:pPr>
      <w:r>
        <w:rPr>
          <w:rFonts w:ascii="Microsoft YaHei" w:hAnsi="Microsoft YaHei" w:eastAsia="Microsoft YaHei"/>
          <w:sz w:val="21"/>
        </w:rPr>
        <w:t>二、技术储备：5 个专利、10 个软著，要从证书变成产品壁垒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我们现在已经具备 5 个专利、10 个软著的技术储备。下一步不是简单在汇报里写“我们有专利和软著”，而是要回答三个问题：</w:t>
      </w:r>
    </w:p>
    <w:p>
      <w:pPr>
        <w:pStyle w:val="ListNumber"/>
        <w:spacing w:after="40"/>
      </w:pPr>
      <w:r>
        <w:rPr>
          <w:rFonts w:ascii="Microsoft YaHei" w:hAnsi="Microsoft YaHei" w:eastAsia="Microsoft YaHei"/>
          <w:sz w:val="21"/>
        </w:rPr>
        <w:t>这些专利和软著分别支撑哪个产品模块？</w:t>
      </w:r>
    </w:p>
    <w:p>
      <w:pPr>
        <w:pStyle w:val="ListNumber"/>
        <w:spacing w:after="40"/>
      </w:pPr>
      <w:r>
        <w:rPr>
          <w:rFonts w:ascii="Microsoft YaHei" w:hAnsi="Microsoft YaHei" w:eastAsia="Microsoft YaHei"/>
          <w:sz w:val="21"/>
        </w:rPr>
        <w:t>能不能进入招投标评分项、技术参数或资质响应？</w:t>
      </w:r>
    </w:p>
    <w:p>
      <w:pPr>
        <w:pStyle w:val="ListNumber"/>
        <w:spacing w:after="40"/>
      </w:pPr>
      <w:r>
        <w:rPr>
          <w:rFonts w:ascii="Microsoft YaHei" w:hAnsi="Microsoft YaHei" w:eastAsia="Microsoft YaHei"/>
          <w:sz w:val="21"/>
        </w:rPr>
        <w:t>能不能在客户现场演示时变成一句听得懂的买点？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因此，建议马上建立一张“技术储备到产品能力”的矩阵，把每个专利、软著对应到四类能力：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sz w:val="17"/>
              </w:rPr>
              <w:t>技术储备转化方向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sz w:val="17"/>
              </w:rPr>
              <w:t>对应产品能力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sz w:val="17"/>
              </w:rPr>
              <w:t>对销售和投标的价值</w:t>
            </w:r>
          </w:p>
        </w:tc>
      </w:tr>
      <w:tr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营养算法与 AI 营养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AI 营养建议、带量食谱、营养档案、吃动平衡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形成康比特区别于普通智慧食堂厂商的专业壁垒</w:t>
            </w:r>
          </w:p>
        </w:tc>
      </w:tr>
      <w:tr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食安监管与证据链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留样、晨检、消毒、农残、明厨亮灶、监管台账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支撑食安监管类项目的技术响应和控标参数</w:t>
            </w:r>
          </w:p>
        </w:tc>
      </w:tr>
      <w:tr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结算与数据采集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称重结算、菜品识别、人员识别、补贴支付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支撑前厅高频入口和数据沉淀</w:t>
            </w:r>
          </w:p>
        </w:tc>
      </w:tr>
      <w:tr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进销存与成本管理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采购、验收、入库、出库、库存、成本核算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支撑客户降本增效和后厨管理闭环</w:t>
            </w:r>
          </w:p>
        </w:tc>
      </w:tr>
    </w:tbl>
    <w:p>
      <w:pPr>
        <w:ind w:firstLine="397"/>
      </w:pPr>
      <w:r>
        <w:rPr>
          <w:rFonts w:ascii="Microsoft YaHei" w:hAnsi="Microsoft YaHei" w:eastAsia="Microsoft YaHei"/>
          <w:sz w:val="21"/>
        </w:rPr>
        <w:t>这件事的价值在于，技术储备一旦和产品模块、投标参数、证据材料绑定，就不再只是“研发成果”，而是能帮助销售讲优势、帮助投标控参数、帮助交付做验收的业务资产。</w:t>
      </w:r>
    </w:p>
    <w:p>
      <w:pPr>
        <w:pStyle w:val="Heading3"/>
      </w:pPr>
      <w:r>
        <w:rPr>
          <w:rFonts w:ascii="Microsoft YaHei" w:hAnsi="Microsoft YaHei" w:eastAsia="Microsoft YaHei"/>
          <w:sz w:val="21"/>
        </w:rPr>
        <w:t>三、硬件方向一：现有硬件要做横向对比和低价对接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今年硬件第一条线，是对现有硬件做系统梳理。我们不能每个项目都临时找设备、临时问接口、临时谈价格。这样交付慢，成本不可控，也很难形成标准包。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现有硬件要按“功能、价格、接口、稳定性、售后、交付风险”六个维度做横向对比，至少覆盖结算设备、称重设备、人脸识别、菜品识别、留样设备、明厨亮灶、环境监测、消毒/农残类设备。每类设备都要形成三张表：</w:t>
      </w:r>
    </w:p>
    <w:p>
      <w:pPr>
        <w:pStyle w:val="ListNumber"/>
        <w:spacing w:after="40"/>
      </w:pPr>
      <w:r>
        <w:rPr>
          <w:rFonts w:ascii="Microsoft YaHei" w:hAnsi="Microsoft YaHei" w:eastAsia="Microsoft YaHei"/>
          <w:sz w:val="21"/>
        </w:rPr>
        <w:t>供应商对比表：品牌、型号、价格、供货周期、售后能力。</w:t>
      </w:r>
    </w:p>
    <w:p>
      <w:pPr>
        <w:pStyle w:val="ListNumber"/>
        <w:spacing w:after="40"/>
      </w:pPr>
      <w:r>
        <w:rPr>
          <w:rFonts w:ascii="Microsoft YaHei" w:hAnsi="Microsoft YaHei" w:eastAsia="Microsoft YaHei"/>
          <w:sz w:val="21"/>
        </w:rPr>
        <w:t>接口对接表：SDK/API、协议文档、数据字段、是否已联调、联调负责人。</w:t>
      </w:r>
    </w:p>
    <w:p>
      <w:pPr>
        <w:pStyle w:val="ListNumber"/>
        <w:spacing w:after="40"/>
      </w:pPr>
      <w:r>
        <w:rPr>
          <w:rFonts w:ascii="Microsoft YaHei" w:hAnsi="Microsoft YaHei" w:eastAsia="Microsoft YaHei"/>
          <w:sz w:val="21"/>
        </w:rPr>
        <w:t>交付白名单：推荐设备、可替代设备、暂不推荐设备、原因和风险。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这条线的目标很明确：同等功能下找到更低成本、更好对接、更容易交付的硬件组合。硬件不是越贵越好，也不是谁先到项目现场就用谁。硬件要为产品标准化服务，为毛利和交付效率服务。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短期看，现有硬件横评可以降低项目成本；中期看，可以形成教育版、企事业单位版、食安监管版的硬件推荐包；长期看，可以让我们在招投标里形成“软件 + 硬件 + 服务”的整体控标能力。</w:t>
      </w:r>
    </w:p>
    <w:p>
      <w:pPr>
        <w:pStyle w:val="Heading3"/>
      </w:pPr>
      <w:r>
        <w:rPr>
          <w:rFonts w:ascii="Microsoft YaHei" w:hAnsi="Microsoft YaHei" w:eastAsia="Microsoft YaHei"/>
          <w:sz w:val="21"/>
        </w:rPr>
        <w:t>四、硬件方向二：未来硬件要从食安法规和监管难点里长出来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今年硬件第二条线，是面向未来的硬件规划。这个方向要结合我对食安行业的理解来看。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过去很多食堂没有出入库秤，没有晨检仪，也没有把留样、消毒、农残、温湿度、人员健康、采购验收这些动作真正设备化、数据化。但法律法规和监管要求一直存在，客户也一直有压力。只是过去靠人工台账、纸质记录、拍照留痕在勉强解决。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这恰恰是未来硬件的机会。我们不应该把硬件理解为“多卖几台设备”，而应该理解为“把法规要求和监管难点变成自动采集、自动留痕、自动预警、自动生成台账的数据入口”。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未来重点可以围绕几类硬件机会展开：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sz w:val="17"/>
              </w:rPr>
              <w:t>监管难点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sz w:val="17"/>
              </w:rPr>
              <w:t>未来硬件方向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sz w:val="17"/>
              </w:rPr>
              <w:t>产品价值</w:t>
            </w:r>
          </w:p>
        </w:tc>
      </w:tr>
      <w:tr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食材采购验收靠人工记录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入库秤、验收秤、扫码验货设备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自动记录供应商、食材、重量、批次和验收结果</w:t>
            </w:r>
          </w:p>
        </w:tc>
      </w:tr>
      <w:tr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出库和成本核算不准确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出库秤、领料称重设备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把实际消耗和菜品、食谱、库存、成本关联起来</w:t>
            </w:r>
          </w:p>
        </w:tc>
      </w:tr>
      <w:tr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晨检流于形式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晨检仪、人员健康采集设备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自动记录体温、健康状态、上岗人员和异常提醒</w:t>
            </w:r>
          </w:p>
        </w:tc>
      </w:tr>
      <w:tr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留样记录不完整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留样称重/拍照设备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自动记录菜品、重量、时间、责任人和留样证据</w:t>
            </w:r>
          </w:p>
        </w:tc>
      </w:tr>
      <w:tr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消毒、农残、温湿度难监管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检测设备、传感器、环境监测设备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自动生成监管台账，减少补录和漏录</w:t>
            </w:r>
          </w:p>
        </w:tc>
      </w:tr>
      <w:tr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监管部门难以实时掌握风险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AI 摄像头、异常识别、监管大屏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从事后查台账升级为过程预警和风险管控</w:t>
            </w:r>
          </w:p>
        </w:tc>
      </w:tr>
    </w:tbl>
    <w:p>
      <w:pPr>
        <w:ind w:firstLine="397"/>
      </w:pPr>
      <w:r>
        <w:rPr>
          <w:rFonts w:ascii="Microsoft YaHei" w:hAnsi="Microsoft YaHei" w:eastAsia="Microsoft YaHei"/>
          <w:sz w:val="21"/>
        </w:rPr>
        <w:t>这条线的核心目的，是提高效率，管控监管难点。客户不是为了买硬件而买硬件，而是为了少填表、少漏项、少被罚、少扯皮、少出食品安全事故。</w:t>
      </w:r>
    </w:p>
    <w:p>
      <w:pPr>
        <w:pStyle w:val="Heading3"/>
      </w:pPr>
      <w:r>
        <w:rPr>
          <w:rFonts w:ascii="Microsoft YaHei" w:hAnsi="Microsoft YaHei" w:eastAsia="Microsoft YaHei"/>
          <w:sz w:val="21"/>
        </w:rPr>
        <w:t>五、硬件、食安和 AI 营养要合在一起，不要各做各的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今年还有一个关键问题：食安硬件、进销存、结算和营养不能各做各的。真正有价值的是把这些数据串起来。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举例来说，出入库秤采集的是食材重量，进销存记录的是采购和库存，前厅结算记录的是实际消费，带量食谱记录的是计划摄入，营养系统计算的是能量、蛋白质、脂肪、碳水和微量营养素。如果这些数据打通，就可以形成“从采购到餐盘再到营养摄入”的闭环。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这就是康比特做 AI 营养的机会。普通智慧食堂厂商只能告诉客户卖了多少饭、库存还剩多少；我们应该进一步告诉客户：</w:t>
      </w:r>
    </w:p>
    <w:p>
      <w:pPr>
        <w:pStyle w:val="ListNumber"/>
        <w:spacing w:after="40"/>
      </w:pPr>
      <w:r>
        <w:rPr>
          <w:rFonts w:ascii="Microsoft YaHei" w:hAnsi="Microsoft YaHei" w:eastAsia="Microsoft YaHei"/>
          <w:sz w:val="21"/>
        </w:rPr>
        <w:t>今天采购的食材是否支撑本周带量食谱？</w:t>
      </w:r>
    </w:p>
    <w:p>
      <w:pPr>
        <w:pStyle w:val="ListNumber"/>
        <w:spacing w:after="40"/>
      </w:pPr>
      <w:r>
        <w:rPr>
          <w:rFonts w:ascii="Microsoft YaHei" w:hAnsi="Microsoft YaHei" w:eastAsia="Microsoft YaHei"/>
          <w:sz w:val="21"/>
        </w:rPr>
        <w:t>实际出库和实际消费是否偏离计划？</w:t>
      </w:r>
    </w:p>
    <w:p>
      <w:pPr>
        <w:pStyle w:val="ListNumber"/>
        <w:spacing w:after="40"/>
      </w:pPr>
      <w:r>
        <w:rPr>
          <w:rFonts w:ascii="Microsoft YaHei" w:hAnsi="Microsoft YaHei" w:eastAsia="Microsoft YaHei"/>
          <w:sz w:val="21"/>
        </w:rPr>
        <w:t>学生或员工的营养摄入是否达标？</w:t>
      </w:r>
    </w:p>
    <w:p>
      <w:pPr>
        <w:pStyle w:val="ListNumber"/>
        <w:spacing w:after="40"/>
      </w:pPr>
      <w:r>
        <w:rPr>
          <w:rFonts w:ascii="Microsoft YaHei" w:hAnsi="Microsoft YaHei" w:eastAsia="Microsoft YaHei"/>
          <w:sz w:val="21"/>
        </w:rPr>
        <w:t>哪些菜品受欢迎但营养结构不合理？</w:t>
      </w:r>
    </w:p>
    <w:p>
      <w:pPr>
        <w:pStyle w:val="ListNumber"/>
        <w:spacing w:after="40"/>
      </w:pPr>
      <w:r>
        <w:rPr>
          <w:rFonts w:ascii="Microsoft YaHei" w:hAnsi="Microsoft YaHei" w:eastAsia="Microsoft YaHei"/>
          <w:sz w:val="21"/>
        </w:rPr>
        <w:t>如何根据体质、运动量、年龄、健康目标给出营养建议？</w:t>
      </w:r>
    </w:p>
    <w:p>
      <w:pPr>
        <w:pStyle w:val="ListNumber"/>
        <w:spacing w:after="40"/>
      </w:pPr>
      <w:r>
        <w:rPr>
          <w:rFonts w:ascii="Microsoft YaHei" w:hAnsi="Microsoft YaHei" w:eastAsia="Microsoft YaHei"/>
          <w:sz w:val="21"/>
        </w:rPr>
        <w:t>如何把食安异常、库存异常和营养异常一起预警？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所以 AI 营养不是一个孤立的“AI 营养师聊天框”。它应该成为智慧餐厅的数据中枢，把食材、菜品、人员、消费、库存、食安、运动和健康数据连接起来，形成可解释、可干预、可复购的营养服务。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今年产品上可以先做三个可展示场景：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sz w:val="17"/>
              </w:rPr>
              <w:t>场景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sz w:val="17"/>
              </w:rPr>
              <w:t>输入数据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sz w:val="17"/>
              </w:rPr>
              <w:t>AI 输出</w:t>
            </w:r>
          </w:p>
        </w:tc>
      </w:tr>
      <w:tr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带量食谱 × 采购反算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食谱、人数、食材、库存、出入库称重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自动反算采购量、缺口和成本</w:t>
            </w:r>
          </w:p>
        </w:tc>
      </w:tr>
      <w:tr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个人/群体营养档案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人员、消费记录、菜品营养、运动/体质数据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摄入分析、结构偏差、营养建议</w:t>
            </w:r>
          </w:p>
        </w:tc>
      </w:tr>
      <w:tr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食安 + 营养联合预警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食安台账、硬件采集、库存、消费和营养指标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风险提醒、异常解释、整改建议</w:t>
            </w:r>
          </w:p>
        </w:tc>
      </w:tr>
    </w:tbl>
    <w:p>
      <w:pPr>
        <w:pStyle w:val="Heading3"/>
      </w:pPr>
      <w:r>
        <w:rPr>
          <w:rFonts w:ascii="Microsoft YaHei" w:hAnsi="Microsoft YaHei" w:eastAsia="Microsoft YaHei"/>
          <w:sz w:val="21"/>
        </w:rPr>
        <w:t>六、团队转型：从会用 AI 工具，走向 AI Agent 工程师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今年团队建设也要重新定义。我们不能只说“大家要会用 AI”，而是要明确团队要转向 AI Agent 工程师能力。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目前已经看到一些成效：会议纪要可以进入知识库，历史资料可以通过 RAG 被重新利用，策略稿、方案、竞品分析、任务拆解、测试用例和部分代码可以由 Codex 辅助生成。相比过去完全靠人工整理，AI 已经在资料整理、方案生成、代码辅助和知识沉淀上提高了效率。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但现在的问题是，这些能力还偏个人使用，缺少稳定流程。下一步要把 AI 用法工程化，变成团队统一的交付方式。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建议把团队 AI Native 落地拆成四个层次：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sz w:val="17"/>
              </w:rPr>
              <w:t>层次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sz w:val="17"/>
              </w:rPr>
              <w:t>当前状态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sz w:val="17"/>
              </w:rPr>
              <w:t>下一步动作</w:t>
            </w:r>
          </w:p>
        </w:tc>
      </w:tr>
      <w:tr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资料层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会议纪要、项目资料、策略资料已能进入知识库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建立数科产品资料、硬件资料、证书资料、竞品资料的固定入库规则</w:t>
            </w:r>
          </w:p>
        </w:tc>
      </w:tr>
      <w:tr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研发层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Codex 可辅助需求拆解、代码生成、测试生成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建立“需求 -&gt; 任务契约 -&gt; 代码 -&gt; 测试 -&gt; review -&gt; 复盘”的 AI 研发闭环</w:t>
            </w:r>
          </w:p>
        </w:tc>
      </w:tr>
      <w:tr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产品层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AI 可辅助方案、报告、竞品分析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建立产品包、报价包、演示包、控标包的标准生成流程</w:t>
            </w:r>
          </w:p>
        </w:tc>
      </w:tr>
      <w:tr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组织层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个别人效率提升明显</w:t>
            </w:r>
          </w:p>
        </w:tc>
        <w:tc>
          <w:tcPr>
            <w:tcW w:type="dxa" w:w="3326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让产品、研发、测试、交付都按统一证据路径和验收指标与 Agent 协作</w:t>
            </w:r>
          </w:p>
        </w:tc>
      </w:tr>
    </w:tbl>
    <w:p>
      <w:pPr>
        <w:ind w:firstLine="397"/>
      </w:pPr>
      <w:r>
        <w:rPr>
          <w:rFonts w:ascii="Microsoft YaHei" w:hAnsi="Microsoft YaHei" w:eastAsia="Microsoft YaHei"/>
          <w:sz w:val="21"/>
        </w:rPr>
        <w:t>所谓 AI Agent 工程师，不是只会提 prompt，而是要能把业务问题拆成 Agent 可执行的任务，把上下文、接口、数据、测试、验收和复盘都准备好，再通过 AI 完成交付加速。</w:t>
      </w:r>
    </w:p>
    <w:p>
      <w:pPr>
        <w:pStyle w:val="Heading3"/>
      </w:pPr>
      <w:r>
        <w:rPr>
          <w:rFonts w:ascii="Microsoft YaHei" w:hAnsi="Microsoft YaHei" w:eastAsia="Microsoft YaHei"/>
          <w:sz w:val="21"/>
        </w:rPr>
        <w:t>七、AI Native 落地：今年要用指标证明，不只讲概念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今年 AI Native 的落地，要避免停留在概念上。我建议至少用四类指标来证明成效。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第一，研发效率指标。比如食安监管、进销存或硬件接口适配模块，传统模式需要多少人月，AI 辅助后实际用了多少人月，代码 review 通过率如何，返工率如何。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第二，交付效率指标。项目方案、测试用例、用户手册、培训材料、验收材料能否自动生成初稿，人工修改比例是多少，是否减少项目经理和交付同事的重复劳动。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第三，知识复用指标。同类项目再次出现时，是否能从历史会议、项目资料、硬件接口、证书材料和竞品分析中快速生成可用方案，而不是每次从零开始。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第四，产品价值指标。AI 营养是否真的进入客户可感知功能，是否能支持带量食谱、采购反算、营养档案、健康建议和食安营养联合预警，而不是只停留在内部提效。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如果这四类指标跑通，AI Native 才不是一句口号，而是会同时改变产品能力、研发方式、交付效率和客户价值。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这里还建议补一张“模块复用率和毛利表现”台账。朱总要看的不是我们讲了多少模块，而是这些模块到底覆盖了多少项目、是不是能复用、毛利表现好不好、哪些地方反复定制。当前覆盖项目数和覆盖率需要从项目台账、合同和验收资料回填，口径建议统一为：覆盖率 = 覆盖项目数 / 纳入统计的智慧餐厅项目总数。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3"/>
        <w:gridCol w:w="1663"/>
        <w:gridCol w:w="1663"/>
        <w:gridCol w:w="1663"/>
        <w:gridCol w:w="1663"/>
        <w:gridCol w:w="1663"/>
      </w:tblGrid>
      <w:tr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sz w:val="17"/>
              </w:rPr>
              <w:t>模块</w:t>
            </w:r>
          </w:p>
        </w:tc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sz w:val="17"/>
              </w:rPr>
              <w:t>覆盖项目数</w:t>
            </w:r>
          </w:p>
        </w:tc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sz w:val="17"/>
              </w:rPr>
              <w:t>覆盖率</w:t>
            </w:r>
          </w:p>
        </w:tc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sz w:val="17"/>
              </w:rPr>
              <w:t>毛利表现</w:t>
            </w:r>
          </w:p>
        </w:tc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sz w:val="17"/>
              </w:rPr>
              <w:t>高频定制点</w:t>
            </w:r>
          </w:p>
        </w:tc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sz w:val="17"/>
              </w:rPr>
              <w:t>后续动作</w:t>
            </w:r>
          </w:p>
        </w:tc>
      </w:tr>
      <w:tr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营养结算</w:t>
            </w:r>
          </w:p>
        </w:tc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待按项目台账补数</w:t>
            </w:r>
          </w:p>
        </w:tc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待测算</w:t>
            </w:r>
          </w:p>
        </w:tc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收入主力</w:t>
            </w:r>
          </w:p>
        </w:tc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支付、账户、补贴</w:t>
            </w:r>
          </w:p>
        </w:tc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标准配置</w:t>
            </w:r>
          </w:p>
        </w:tc>
      </w:tr>
      <w:tr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智慧食安</w:t>
            </w:r>
          </w:p>
        </w:tc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待按项目台账补数</w:t>
            </w:r>
          </w:p>
        </w:tc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待测算</w:t>
            </w:r>
          </w:p>
        </w:tc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毛利偏低</w:t>
            </w:r>
          </w:p>
        </w:tc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设备、施工、联调</w:t>
            </w:r>
          </w:p>
        </w:tc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硬件白名单</w:t>
            </w:r>
          </w:p>
        </w:tc>
      </w:tr>
      <w:tr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进销存/智慧采购</w:t>
            </w:r>
          </w:p>
        </w:tc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待按项目台账补数</w:t>
            </w:r>
          </w:p>
        </w:tc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待测算</w:t>
            </w:r>
          </w:p>
        </w:tc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毛利较好</w:t>
            </w:r>
          </w:p>
        </w:tc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库存、采购、成本</w:t>
            </w:r>
          </w:p>
        </w:tc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学校版/配餐联动</w:t>
            </w:r>
          </w:p>
        </w:tc>
      </w:tr>
      <w:tr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软件开发</w:t>
            </w:r>
          </w:p>
        </w:tc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待按项目台账补数</w:t>
            </w:r>
          </w:p>
        </w:tc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待测算</w:t>
            </w:r>
          </w:p>
        </w:tc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毛利高</w:t>
            </w:r>
          </w:p>
        </w:tc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个性化需求</w:t>
            </w:r>
          </w:p>
        </w:tc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模块化开发</w:t>
            </w:r>
          </w:p>
        </w:tc>
      </w:tr>
      <w:tr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施工/硬件</w:t>
            </w:r>
          </w:p>
        </w:tc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待按项目台账补数</w:t>
            </w:r>
          </w:p>
        </w:tc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待测算</w:t>
            </w:r>
          </w:p>
        </w:tc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毛利低</w:t>
            </w:r>
          </w:p>
        </w:tc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现场差异</w:t>
            </w:r>
          </w:p>
        </w:tc>
        <w:tc>
          <w:tcPr>
            <w:tcW w:type="dxa" w:w="166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供应商管理</w:t>
            </w:r>
          </w:p>
        </w:tc>
      </w:tr>
    </w:tbl>
    <w:p>
      <w:pPr>
        <w:ind w:firstLine="397"/>
      </w:pPr>
      <w:r>
        <w:rPr>
          <w:rFonts w:ascii="Microsoft YaHei" w:hAnsi="Microsoft YaHei" w:eastAsia="Microsoft YaHei"/>
          <w:sz w:val="21"/>
        </w:rPr>
        <w:t>这张表的作用，是把“可复制”从口号变成管理动作：营养结算要尽快标准化配置，食安和施工硬件要用白名单控制成本，进销存要沉淀学校版和配餐联动，软件开发要把高毛利能力模块化。后续只要每月回填覆盖项目数、覆盖率和毛利，就能判断数科业务到底是在做项目，还是在形成可复制的产品包。</w:t>
      </w:r>
    </w:p>
    <w:p>
      <w:pPr>
        <w:pStyle w:val="Heading3"/>
      </w:pPr>
      <w:r>
        <w:rPr>
          <w:rFonts w:ascii="Microsoft YaHei" w:hAnsi="Microsoft YaHei" w:eastAsia="Microsoft YaHei"/>
          <w:sz w:val="21"/>
        </w:rPr>
        <w:t>八、今年下半年的打法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下半年建议按 90 天做一个闭环。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0 到 30 天，先把底账建起来。完成 5 个专利、10 个软著的产品能力映射和控标参数矩阵；完成现有硬件供应商横评；列出食安法规和监管难点对应的未来硬件机会清单；确定 AI 营养三个演示场景；确定一个 AI 研发试点模块。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31 到 60 天，做出可展示资产。形成现有硬件低价替代白名单；选择出入库秤、晨检仪或留样称重设备中的 1 到 2 个方向做样机和接口验证；做出“带量食谱 × 采购反算”“营养档案”“食安营养联合预警”演示；用 Codex 跑通一个模块从需求到测试的闭环。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61 到 90 天，进入市场验证。用一个教育或企事业单位样板项目验证软硬件组合、AI 营养演示、控标材料和交付流程。验证指标包括硬件成本降低、接口联调周期、AI 节省人月、演示转化、客户反馈、投标参数可用性和售后问题数量。</w:t>
      </w:r>
    </w:p>
    <w:p>
      <w:pPr>
        <w:pStyle w:val="Heading3"/>
      </w:pPr>
      <w:r>
        <w:rPr>
          <w:rFonts w:ascii="Microsoft YaHei" w:hAnsi="Microsoft YaHei" w:eastAsia="Microsoft YaHei"/>
          <w:sz w:val="21"/>
        </w:rPr>
        <w:t>九、需要会议拍板的事项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本次会议建议拍板五件事。</w:t>
      </w:r>
    </w:p>
    <w:p>
      <w:pPr>
        <w:pStyle w:val="ListNumber"/>
        <w:spacing w:after="40"/>
      </w:pPr>
      <w:r>
        <w:rPr>
          <w:rFonts w:ascii="Microsoft YaHei" w:hAnsi="Microsoft YaHei" w:eastAsia="Microsoft YaHei"/>
          <w:sz w:val="21"/>
        </w:rPr>
        <w:t>是否确认 5 个专利、10 个软著不再只是证书资料，而要进入产品能力矩阵、控标参数矩阵和销售话术。</w:t>
      </w:r>
    </w:p>
    <w:p>
      <w:pPr>
        <w:pStyle w:val="ListNumber"/>
        <w:spacing w:after="40"/>
      </w:pPr>
      <w:r>
        <w:rPr>
          <w:rFonts w:ascii="Microsoft YaHei" w:hAnsi="Microsoft YaHei" w:eastAsia="Microsoft YaHei"/>
          <w:sz w:val="21"/>
        </w:rPr>
        <w:t>是否启动现有硬件横评和低价替代工作，形成供应商白名单和设备接入标准。</w:t>
      </w:r>
    </w:p>
    <w:p>
      <w:pPr>
        <w:pStyle w:val="ListNumber"/>
        <w:spacing w:after="40"/>
      </w:pPr>
      <w:r>
        <w:rPr>
          <w:rFonts w:ascii="Microsoft YaHei" w:hAnsi="Microsoft YaHei" w:eastAsia="Microsoft YaHei"/>
          <w:sz w:val="21"/>
        </w:rPr>
        <w:t>是否围绕食安法规和监管难点，立项研究出入库秤、晨检仪、留样称重、消毒/农残/环境监测等未来硬件方向。</w:t>
      </w:r>
    </w:p>
    <w:p>
      <w:pPr>
        <w:pStyle w:val="ListNumber"/>
        <w:spacing w:after="40"/>
      </w:pPr>
      <w:r>
        <w:rPr>
          <w:rFonts w:ascii="Microsoft YaHei" w:hAnsi="Microsoft YaHei" w:eastAsia="Microsoft YaHei"/>
          <w:sz w:val="21"/>
        </w:rPr>
        <w:t>是否把 AI 营养定位为智慧餐厅数据中枢，而不是单独的聊天式营养助手。</w:t>
      </w:r>
    </w:p>
    <w:p>
      <w:pPr>
        <w:pStyle w:val="ListNumber"/>
        <w:spacing w:after="40"/>
      </w:pPr>
      <w:r>
        <w:rPr>
          <w:rFonts w:ascii="Microsoft YaHei" w:hAnsi="Microsoft YaHei" w:eastAsia="Microsoft YaHei"/>
          <w:sz w:val="21"/>
        </w:rPr>
        <w:t>是否把团队 AI Native 转型纳入下半年重点，用一个真实模块验证 AI Agent 工程师协作方式和人效提升。</w:t>
      </w:r>
    </w:p>
    <w:p>
      <w:pPr>
        <w:ind w:firstLine="397"/>
      </w:pPr>
      <w:r>
        <w:rPr>
          <w:rFonts w:ascii="Microsoft YaHei" w:hAnsi="Microsoft YaHei" w:eastAsia="Microsoft YaHei"/>
          <w:sz w:val="21"/>
        </w:rPr>
        <w:t>最后，我建议今年下半年的产品研发不要再只说“我们要补系统”。今年要讲清楚：我们有什么技术储备，怎么转成产品壁垒；现有硬件怎么降本，未来硬件怎么从监管难点长出来；AI 营养怎么和食安、进销存、结算数据打通；团队怎么从会用 AI 工具，真正转向 AI Agent 工程师。只有这几件事落地，数科项目才会从项目交付，走向真正可复制的软硬件一体产品能力。</w:t>
      </w:r>
    </w:p>
    <w:sectPr w:rsidR="00FC693F" w:rsidRPr="0006063C" w:rsidSect="00034616">
      <w:pgSz w:w="11906" w:h="16838"/>
      <w:pgMar w:top="850" w:right="964" w:bottom="850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60"/>
    </w:pPr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 w:line="252" w:lineRule="auto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365F91" w:themeColor="accent1" w:themeShade="BF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 w:line="252" w:lineRule="auto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 w:line="252" w:lineRule="auto"/>
      <w:outlineLvl w:val="2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