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 w:line="247" w:lineRule="auto"/>
        <w:jc w:val="center"/>
      </w:pPr>
      <w:r>
        <w:rPr>
          <w:rFonts w:ascii="宋体" w:hAnsi="宋体" w:eastAsia="宋体"/>
          <w:b/>
          <w:i w:val="0"/>
          <w:sz w:val="32"/>
        </w:rPr>
        <w:t>康比特数科项目2026年半年度策略专项会汇报材料</w:t>
      </w:r>
    </w:p>
    <w:p>
      <w:pPr>
        <w:spacing w:before="0" w:after="20" w:line="245" w:lineRule="auto"/>
        <w:jc w:val="center"/>
      </w:pPr>
      <w:r>
        <w:rPr>
          <w:rFonts w:ascii="仿宋" w:hAnsi="仿宋" w:eastAsia="仿宋"/>
          <w:b w:val="0"/>
          <w:i w:val="0"/>
          <w:sz w:val="20"/>
        </w:rPr>
        <w:t>汇报部门：数字体育科技事业部</w:t>
      </w:r>
    </w:p>
    <w:p>
      <w:pPr>
        <w:spacing w:before="0" w:after="20" w:line="245" w:lineRule="auto"/>
        <w:jc w:val="center"/>
      </w:pPr>
      <w:r>
        <w:rPr>
          <w:rFonts w:ascii="仿宋" w:hAnsi="仿宋" w:eastAsia="仿宋"/>
          <w:b w:val="0"/>
          <w:i w:val="0"/>
          <w:sz w:val="20"/>
        </w:rPr>
        <w:t>汇报人：姜阳（可并入朱煜主汇报）</w:t>
      </w:r>
    </w:p>
    <w:p>
      <w:pPr>
        <w:spacing w:before="0" w:after="60" w:line="240" w:lineRule="auto"/>
      </w:pPr>
      <w:r>
        <w:rPr>
          <w:rFonts w:ascii="楷体" w:hAnsi="楷体" w:eastAsia="楷体"/>
          <w:b w:val="0"/>
          <w:i/>
          <w:sz w:val="16"/>
        </w:rPr>
        <w:t>依据：2026 年数科、团餐、智慧食堂、AI 协作相关会议纪要 48 篇，其中 2026-06-22 数科周例会为本次新增读回。会议纪要和项目资料按 B 级内部证据使用；5 个专利、10 个软著、硬件规划、AI Agent 工程师转型为待核验战略判断，按 D/B 处理。</w:t>
      </w:r>
    </w:p>
    <w:p>
      <w:pPr>
        <w:spacing w:before="80" w:after="40" w:line="247" w:lineRule="auto"/>
      </w:pPr>
      <w:r>
        <w:rPr>
          <w:rFonts w:ascii="黑体" w:hAnsi="黑体" w:eastAsia="黑体"/>
          <w:b/>
          <w:i w:val="0"/>
          <w:sz w:val="24"/>
        </w:rPr>
        <w:t>一、上半年总结：方向清晰，但尚未变成可销售、可交付的产品闭环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从产品研发角度看，2025 年团餐软件销售占比为 28%。如果 2026 年保持同等结构，按 2000 万销售额测算，软件部分约对应 560 万利润空间。这个数字需要财务进一步核验，但它说明一件事：软件能力不是辅助交付，而是数科项目提升利润率的核心抓手。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客户需求也已经很清楚：食品安全要达标、运营成本要降低、膳食营养要可见可管。智慧餐厅本质上解决三件事：吃得安全、吃得高效、吃得健康。对应产品形态就是前厅“结算 + 营养”，后厨“食安监管 + 进销存”。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上半年的价值在于，我们已经看清了这条产品线的底层结构；问题在于，这个结构还没有完全转成“能卖出去、能低成本交付、能被客户感知差异”的产品闭环。</w:t>
      </w:r>
    </w:p>
    <w:p>
      <w:pPr>
        <w:spacing w:before="80" w:after="40" w:line="247" w:lineRule="auto"/>
      </w:pPr>
      <w:r>
        <w:rPr>
          <w:rFonts w:ascii="黑体" w:hAnsi="黑体" w:eastAsia="黑体"/>
          <w:b/>
          <w:i w:val="0"/>
          <w:sz w:val="24"/>
        </w:rPr>
        <w:t>二、为何策略清晰但没有落地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上一版策略清晰，但没有落地，根因不是战略词不够，而是缺少五个落地抓手。</w:t>
      </w:r>
    </w:p>
    <w:p>
      <w:pPr>
        <w:spacing w:before="0" w:after="20" w:line="240" w:lineRule="auto"/>
        <w:ind w:left="125"/>
      </w:pPr>
      <w:r>
        <w:rPr>
          <w:rFonts w:ascii="仿宋" w:hAnsi="仿宋" w:eastAsia="仿宋"/>
          <w:b w:val="0"/>
          <w:i w:val="0"/>
          <w:sz w:val="19"/>
        </w:rPr>
        <w:t>1. 没有把教育与企事业单位定义成可销售客群。后续必须用 2025 年成单客户和 2026 年渠道深挖机会来定义市场，而不是泛泛说“教育/企事业”。</w:t>
      </w:r>
    </w:p>
    <w:p>
      <w:pPr>
        <w:spacing w:before="0" w:after="20" w:line="240" w:lineRule="auto"/>
        <w:ind w:left="125"/>
      </w:pPr>
      <w:r>
        <w:rPr>
          <w:rFonts w:ascii="仿宋" w:hAnsi="仿宋" w:eastAsia="仿宋"/>
          <w:b w:val="0"/>
          <w:i w:val="0"/>
          <w:sz w:val="19"/>
        </w:rPr>
        <w:t>2. 没有回答“能否卖出去”。策略要反算客户为什么买、销售如何切入、竞品如何替换、招投标如何控标、售后如何保障。</w:t>
      </w:r>
    </w:p>
    <w:p>
      <w:pPr>
        <w:spacing w:before="0" w:after="20" w:line="240" w:lineRule="auto"/>
        <w:ind w:left="125"/>
      </w:pPr>
      <w:r>
        <w:rPr>
          <w:rFonts w:ascii="仿宋" w:hAnsi="仿宋" w:eastAsia="仿宋"/>
          <w:b w:val="0"/>
          <w:i w:val="0"/>
          <w:sz w:val="19"/>
        </w:rPr>
        <w:t>3. 没有回答“多少人、多长时间干完”。产品策略必须同步给出研发人力、AI 投入、版本节点和验收指标。</w:t>
      </w:r>
    </w:p>
    <w:p>
      <w:pPr>
        <w:spacing w:before="0" w:after="20" w:line="240" w:lineRule="auto"/>
        <w:ind w:left="125"/>
      </w:pPr>
      <w:r>
        <w:rPr>
          <w:rFonts w:ascii="仿宋" w:hAnsi="仿宋" w:eastAsia="仿宋"/>
          <w:b w:val="0"/>
          <w:i w:val="0"/>
          <w:sz w:val="19"/>
        </w:rPr>
        <w:t>4. 没有把基础能力和差异化能力分开。结算、食安、进销存是入场底盘；营养管理才是康比特强优势。底盘不补齐，营养卖不动；营养不产品化，底盘就陷入同质化竞争。</w:t>
      </w:r>
    </w:p>
    <w:p>
      <w:pPr>
        <w:spacing w:before="0" w:after="20" w:line="240" w:lineRule="auto"/>
        <w:ind w:left="125"/>
      </w:pPr>
      <w:r>
        <w:rPr>
          <w:rFonts w:ascii="仿宋" w:hAnsi="仿宋" w:eastAsia="仿宋"/>
          <w:b w:val="0"/>
          <w:i w:val="0"/>
          <w:sz w:val="19"/>
        </w:rPr>
        <w:t>5. 没有建立竞品切单逻辑。南京小牛能从雄伟等对手手里切项目，本质是产研能跟着客户需求啃项目、补产品、做服务。我们要讲清楚：同等功能更低成本，营养能力更强，软硬件可控，投标参数和资质证书可形成差异，售后服务能兜住项目。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因此，下半年策略不能只写方向，而要按“市场预期 - 产品定义 - 销售打法 - 研发投入 - AI 效率 - 验收指标”六件事来设置。</w:t>
      </w:r>
    </w:p>
    <w:p>
      <w:pPr>
        <w:spacing w:before="80" w:after="40" w:line="247" w:lineRule="auto"/>
      </w:pPr>
      <w:r>
        <w:rPr>
          <w:rFonts w:ascii="黑体" w:hAnsi="黑体" w:eastAsia="黑体"/>
          <w:b/>
          <w:i w:val="0"/>
          <w:sz w:val="24"/>
        </w:rPr>
        <w:t>三、下半年策略设置：补基础 + 强优势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2026 年产品策略建议围绕“补基础 + 强优势”双路径展开。</w:t>
      </w:r>
    </w:p>
    <w:p>
      <w:pPr>
        <w:spacing w:before="40" w:after="20" w:line="247" w:lineRule="auto"/>
      </w:pPr>
      <w:r>
        <w:rPr>
          <w:rFonts w:ascii="黑体" w:hAnsi="黑体" w:eastAsia="黑体"/>
          <w:b/>
          <w:i w:val="0"/>
          <w:sz w:val="20"/>
        </w:rPr>
        <w:t>1. 补基础：让系统能力完整可交付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营养结算、食安监管、进销存是智慧餐厅的基础底盘。当前需要明确版本目标：营养结算系统从约 60% 推进到 2026 年 6 月 100%；食安监管系统从约 60% 推进到 2026 年 6 月 100%；进销存系统从约 5% 推进到 2026 年 12 月 80%。具体比例需以研发台账和在线表格核验，但管理口径要清楚：先补齐底盘，再谈行业一线供应商能力。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前厅重点是结算、排菜、营养展示和反算采购食材；后厨重点是食安监管、采购、验收、出入库、库存、成本和财务对账。底盘补齐后，产品才具备教育和企事业单位场景的完整交付能力。</w:t>
      </w:r>
    </w:p>
    <w:p>
      <w:pPr>
        <w:spacing w:before="40" w:after="20" w:line="247" w:lineRule="auto"/>
      </w:pPr>
      <w:r>
        <w:rPr>
          <w:rFonts w:ascii="黑体" w:hAnsi="黑体" w:eastAsia="黑体"/>
          <w:b/>
          <w:i w:val="0"/>
          <w:sz w:val="20"/>
        </w:rPr>
        <w:t>2. 强优势：让营养能力变成客户愿意付费的价值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行业在结算和食安监管上已经高度拥挤，但膳食营养管理普遍落后。这恰恰是康比特最具差异化的能力。2026 年应聚焦教育与企事业单位两大场景，构建“AI 营养 + 结算 + 食安监管 + 进销存”一体化方案。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教育场景重点回答学生营养、校园食安、家校透明、区域监管和带量食谱。企事业单位重点回答员工健康、餐补结算、成本控制、营养干预和健康食堂品牌。功能上要打造可展示、可体验、可付费的场景：带量食谱 × 进销存联动、学生/员工营养档案、吃动平衡模型、体质 × 营养建议。</w:t>
      </w:r>
    </w:p>
    <w:p>
      <w:pPr>
        <w:spacing w:before="40" w:after="20" w:line="247" w:lineRule="auto"/>
      </w:pPr>
      <w:r>
        <w:rPr>
          <w:rFonts w:ascii="黑体" w:hAnsi="黑体" w:eastAsia="黑体"/>
          <w:b/>
          <w:i w:val="0"/>
          <w:sz w:val="20"/>
        </w:rPr>
        <w:t>3. 卖出去：软硬件、功能、控标、成本、售后一起设计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产品策略必须回答销售怎么打。软件上，形成教育版和企事业版标准包；硬件上，建立低价替代、供应商白名单和联调验收包；功能上，基础模块补齐，营养能力做强；招投标上，把 5 个专利、10 个软著、技术参数、资质证书、案例截图和验收材料绑定到控标参数和评分话术；服务上，明确售前调研、实施联调、上线培训、售后响应和复购深耕。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市场预期不是一句“市场很大”，而是三层判断：2025 年已成单客户证明教育和企事业单位能成交；2026 年渠道深挖决定能否放大；竞品营养能力薄弱给康比特留下错位机会。我们先不追求全面铺开，而是用 1 个教育样板和 1 个企事业单位样板证明能卖、能交付、能复购。</w:t>
      </w:r>
    </w:p>
    <w:p>
      <w:pPr>
        <w:spacing w:before="40" w:after="20" w:line="247" w:lineRule="auto"/>
      </w:pPr>
      <w:r>
        <w:rPr>
          <w:rFonts w:ascii="黑体" w:hAnsi="黑体" w:eastAsia="黑体"/>
          <w:b/>
          <w:i w:val="0"/>
          <w:sz w:val="20"/>
        </w:rPr>
        <w:t>4. AI 预期：不是替代研发，而是把人月压缩为产品速度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2026 年研发体系要加大 AI 工具投入，预算目标暂按 5 万元级别规划。AI 的管理预期不是“写材料更快”，而是作为研发效率杠杆。以食安监管系统为例，传统模式约前端、后端、测试 3 人 × 3 个月 = 9 人月；AI 辅助模式目标为 2 人 × 1 个月约 2 人月完成同等范围。该目标需要用真实需求、代码质量、测试通过率和返工率验证，不能只写口号。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AI 落地方式是：会议纪要进入 RAG，生成云效任务；需求转方案、报价、测试用例；代码生成后通过人工 review 和自动化测试；验收后生成手册、视频和复盘。预期指标包括：研发人月降低、需求返工下降、测试用例覆盖提升、交付资料自动生成、项目知识可复用。</w:t>
      </w:r>
    </w:p>
    <w:p>
      <w:pPr>
        <w:spacing w:before="40" w:after="20" w:line="247" w:lineRule="auto"/>
      </w:pPr>
      <w:r>
        <w:rPr>
          <w:rFonts w:ascii="黑体" w:hAnsi="黑体" w:eastAsia="黑体"/>
          <w:b/>
          <w:i w:val="0"/>
          <w:sz w:val="20"/>
        </w:rPr>
        <w:t>5. 90 天落地要求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0-30 天：锁定教育和企事业单位两个样板场景；完成营养结算、食安监管、进销存模块缺口清单；完成硬件横评、低价替代和供应商白名单第一版；建立专利/软著到控标参数的矩阵。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31-60 天：完成教育版和企事业版产品包、报价包、演示包和投标响应包；选择晨检或出入库/验收秤跑样机、接口、台账和验收证据链；用 AI 跑通一个食安或进销存模块研发闭环。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61-90 天：拿样板项目验证销售转化、模块完成度、交付周期、硬件成本、AI 人效和客户复购需求。固定经营看板：签约/收入、软件利润、标准复用率、模块完成率、硬件成本、验收周期、售后响应、AI 节省人月。</w:t>
      </w:r>
    </w:p>
    <w:p>
      <w:pPr>
        <w:spacing w:before="40" w:after="20" w:line="247" w:lineRule="auto"/>
      </w:pPr>
      <w:r>
        <w:rPr>
          <w:rFonts w:ascii="黑体" w:hAnsi="黑体" w:eastAsia="黑体"/>
          <w:b/>
          <w:i w:val="0"/>
          <w:sz w:val="20"/>
        </w:rPr>
        <w:t>6. 会议建议拍板</w:t>
      </w:r>
    </w:p>
    <w:p>
      <w:pPr>
        <w:spacing w:before="0" w:after="20" w:line="240" w:lineRule="auto"/>
        <w:ind w:left="125"/>
      </w:pPr>
      <w:r>
        <w:rPr>
          <w:rFonts w:ascii="仿宋" w:hAnsi="仿宋" w:eastAsia="仿宋"/>
          <w:b w:val="0"/>
          <w:i w:val="0"/>
          <w:sz w:val="19"/>
        </w:rPr>
        <w:t>1. 是否确认教育与企事业单位为 2026 年两大产品主场景。</w:t>
      </w:r>
    </w:p>
    <w:p>
      <w:pPr>
        <w:spacing w:before="0" w:after="20" w:line="240" w:lineRule="auto"/>
        <w:ind w:left="125"/>
      </w:pPr>
      <w:r>
        <w:rPr>
          <w:rFonts w:ascii="仿宋" w:hAnsi="仿宋" w:eastAsia="仿宋"/>
          <w:b w:val="0"/>
          <w:i w:val="0"/>
          <w:sz w:val="19"/>
        </w:rPr>
        <w:t>2. 是否按“补基础 + 强营养”设置产品路线，而不是继续按客户临时需求滚动开发。</w:t>
      </w:r>
    </w:p>
    <w:p>
      <w:pPr>
        <w:spacing w:before="0" w:after="20" w:line="240" w:lineRule="auto"/>
        <w:ind w:left="125"/>
      </w:pPr>
      <w:r>
        <w:rPr>
          <w:rFonts w:ascii="仿宋" w:hAnsi="仿宋" w:eastAsia="仿宋"/>
          <w:b w:val="0"/>
          <w:i w:val="0"/>
          <w:sz w:val="19"/>
        </w:rPr>
        <w:t>3. 是否允许用硬件白名单、低价替代、技术参数和资质证书形成投标控标能力。</w:t>
      </w:r>
    </w:p>
    <w:p>
      <w:pPr>
        <w:spacing w:before="0" w:after="20" w:line="240" w:lineRule="auto"/>
        <w:ind w:left="125"/>
      </w:pPr>
      <w:r>
        <w:rPr>
          <w:rFonts w:ascii="仿宋" w:hAnsi="仿宋" w:eastAsia="仿宋"/>
          <w:b w:val="0"/>
          <w:i w:val="0"/>
          <w:sz w:val="19"/>
        </w:rPr>
        <w:t>4. 是否把 5 个专利、10 个软著纳入售前资料库，并绑定产品模块和证据路径。</w:t>
      </w:r>
    </w:p>
    <w:p>
      <w:pPr>
        <w:spacing w:before="0" w:after="20" w:line="240" w:lineRule="auto"/>
        <w:ind w:left="125"/>
      </w:pPr>
      <w:r>
        <w:rPr>
          <w:rFonts w:ascii="仿宋" w:hAnsi="仿宋" w:eastAsia="仿宋"/>
          <w:b w:val="0"/>
          <w:i w:val="0"/>
          <w:sz w:val="19"/>
        </w:rPr>
        <w:t>5. 是否批准 AI 工具投入和 AI 研发试点，用真实人月、质量和交付数据验证效率提升。</w:t>
      </w:r>
    </w:p>
    <w:p>
      <w:pPr>
        <w:spacing w:before="40" w:after="20" w:line="247" w:lineRule="auto"/>
      </w:pPr>
      <w:r>
        <w:rPr>
          <w:rFonts w:ascii="黑体" w:hAnsi="黑体" w:eastAsia="黑体"/>
          <w:b/>
          <w:i w:val="0"/>
          <w:sz w:val="20"/>
        </w:rPr>
        <w:t>7. 关键问题讨论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2026 年下半年，数科项目是继续按单个客户需求滚动交付，还是正式用教育与企事业单位两个样板，验证“基础能力可交付、营养优势能付费、AI 能降本、软硬件能控标”的产品化路径？</w:t>
      </w:r>
    </w:p>
    <w:p>
      <w:r>
        <w:br w:type="page"/>
      </w:r>
    </w:p>
    <w:p>
      <w:pPr>
        <w:spacing w:before="80" w:after="40" w:line="247" w:lineRule="auto"/>
      </w:pPr>
      <w:r>
        <w:rPr>
          <w:rFonts w:ascii="黑体" w:hAnsi="黑体" w:eastAsia="黑体"/>
          <w:b/>
          <w:i w:val="0"/>
          <w:sz w:val="24"/>
        </w:rPr>
        <w:t>姜阳补充发言：把硬件、食安和 AI Native 做成可落地打法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我补充四点。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第一，产品策略要从“方向正确”变成“能卖出去”。教育与企事业单位不能泛泛定义，要用 2025 年成单客户和 2026 年渠道深挖机会来圈定。每个场景都要说清楚客户为什么买、谁来卖、怎么切竞品、如何复购。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第二，底盘必须补齐。结算、食安监管、进销存是入场能力；营养是差异化能力。没有底盘，营养卖不动；没有营养，我们就会掉进结算和食安的同质化竞争。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第三，软硬件、控标和售后要一起设计。5 个专利、10 个软著、设备参数、硬件白名单、项目截图、验收材料都要绑定到产品包和投标话术，形成同等功能更低成本、营养能力更强、售后能兜底的竞争打法。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第四，AI 预期要可验收。AI 不是替代研发，而是压缩人月、降低返工、提升测试覆盖和交付资料生成效率。食安或进销存模块先做一个试点，用 2 人 1 个月对比传统 9 人月的口径来验证，但最终以代码质量、测试结果和上线返工率为准。</w:t>
      </w:r>
    </w:p>
    <w:p>
      <w:pPr>
        <w:spacing w:before="0" w:after="20" w:line="245" w:lineRule="auto"/>
        <w:ind w:firstLine="351"/>
        <w:jc w:val="both"/>
      </w:pPr>
      <w:r>
        <w:rPr>
          <w:rFonts w:ascii="仿宋" w:hAnsi="仿宋" w:eastAsia="仿宋"/>
          <w:b w:val="0"/>
          <w:i w:val="0"/>
          <w:sz w:val="19"/>
        </w:rPr>
        <w:t>我的建议是，下半年先不要铺太大，选一个教育样板和一个企事业单位样板，把产品包、报价包、投标控标包、硬件白名单、AI 研发闭环和售后服务跑穿。跑穿以后，再复制到更多渠道和区域。</w:t>
      </w:r>
    </w:p>
    <w:sectPr w:rsidR="00FC693F" w:rsidRPr="0006063C" w:rsidSect="00034616">
      <w:pgSz w:w="12240" w:h="15840"/>
      <w:pgMar w:top="765" w:right="680" w:bottom="765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仿宋" w:hAnsi="仿宋" w:eastAsia="仿宋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