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rPr>
          <w:rFonts w:ascii="Microsoft YaHei" w:hAnsi="Microsoft YaHei" w:eastAsia="Microsoft YaHei"/>
          <w:b/>
          <w:sz w:val="21"/>
        </w:rPr>
        <w:t>康比特 AI 智慧营养采访问答稿</w:t>
      </w:r>
    </w:p>
    <w:p>
      <w:pPr>
        <w:jc w:val="center"/>
      </w:pPr>
      <w:r>
        <w:rPr>
          <w:rFonts w:ascii="Microsoft YaHei" w:hAnsi="Microsoft YaHei" w:eastAsia="Microsoft YaHei"/>
          <w:color w:val="607078"/>
          <w:sz w:val="20"/>
        </w:rPr>
        <w:t>后两问案例支撑版｜2026-06-11</w:t>
      </w:r>
    </w:p>
    <w:p>
      <w:pPr>
        <w:jc w:val="center"/>
        <w:shd w:fill="EEF7F5"/>
      </w:pPr>
      <w:r>
        <w:rPr>
          <w:rFonts w:ascii="Microsoft YaHei" w:hAnsi="Microsoft YaHei" w:eastAsia="Microsoft YaHei"/>
          <w:b/>
          <w:sz w:val="26"/>
        </w:rPr>
        <w:t>核心主线：传统智慧食堂解决“吃得方便”，康比特解决“吃得对”。</w:t>
      </w:r>
    </w:p>
    <w:p>
      <w:r>
        <w:rPr>
          <w:rFonts w:ascii="Microsoft YaHei" w:hAnsi="Microsoft YaHei" w:eastAsia="Microsoft YaHei"/>
          <w:b w:val="0"/>
          <w:color w:val="607078"/>
          <w:sz w:val="20"/>
        </w:rPr>
        <w:t>说明：这版只保留采访可直接使用的问答稿。案例均来自项目资料或接口证据；对外传播前，客户名称、金额和项目细节需要授权或脱敏。</w:t>
      </w:r>
    </w:p>
    <w:p>
      <w:pPr>
        <w:pStyle w:val="Heading1"/>
      </w:pPr>
      <w:r>
        <w:rPr>
          <w:rFonts w:ascii="Microsoft YaHei" w:hAnsi="Microsoft YaHei" w:eastAsia="Microsoft YaHei"/>
          <w:sz w:val="21"/>
        </w:rPr>
        <w:t>问题 3：产品和技术壁垒</w:t>
      </w:r>
    </w:p>
    <w:p>
      <w:pPr>
        <w:pStyle w:val="Heading2"/>
      </w:pPr>
      <w:r>
        <w:rPr>
          <w:rFonts w:ascii="Microsoft YaHei" w:hAnsi="Microsoft YaHei" w:eastAsia="Microsoft YaHei"/>
          <w:sz w:val="21"/>
        </w:rPr>
        <w:t>重构后的问题</w:t>
      </w:r>
    </w:p>
    <w:p>
      <w:r>
        <w:rPr>
          <w:rFonts w:ascii="Microsoft YaHei" w:hAnsi="Microsoft YaHei" w:eastAsia="Microsoft YaHei"/>
          <w:sz w:val="21"/>
        </w:rPr>
        <w:t>“吃得对”听起来很好，但怎么真正落到每天的食堂运营里？康比特靠什么能力，把 AI 营养从概念变成客户真正能用起来的产品？</w:t>
      </w:r>
    </w:p>
    <w:p>
      <w:pPr>
        <w:pStyle w:val="Heading2"/>
      </w:pPr>
      <w:r>
        <w:rPr>
          <w:rFonts w:ascii="Microsoft YaHei" w:hAnsi="Microsoft YaHei" w:eastAsia="Microsoft YaHei"/>
          <w:sz w:val="21"/>
        </w:rPr>
        <w:t>口语版回答</w:t>
      </w:r>
    </w:p>
    <w:p>
      <w:r>
        <w:rPr>
          <w:rFonts w:ascii="Microsoft YaHei" w:hAnsi="Microsoft YaHei" w:eastAsia="Microsoft YaHei"/>
          <w:sz w:val="21"/>
        </w:rPr>
        <w:t>“吃得对”不是一句口号，它一定要落到每一顿饭里。</w:t>
      </w:r>
    </w:p>
    <w:p>
      <w:r>
        <w:rPr>
          <w:rFonts w:ascii="Microsoft YaHei" w:hAnsi="Microsoft YaHei" w:eastAsia="Microsoft YaHei"/>
          <w:sz w:val="21"/>
        </w:rPr>
        <w:t>这件事不能只靠一个设备，也不能只靠一个通用大模型。康比特真正的底座，是两件事：第一，二十五年专业营养能力；第二，把这套专业能力接进食堂每天运行的数据链路里。</w:t>
      </w:r>
    </w:p>
    <w:p>
      <w:r>
        <w:rPr>
          <w:rFonts w:ascii="Microsoft YaHei" w:hAnsi="Microsoft YaHei" w:eastAsia="Microsoft YaHei"/>
          <w:sz w:val="21"/>
        </w:rPr>
        <w:t>康比特过去长期做运动营养和专业营养服务，积累的是人群营养规则、膳食评估方法、菜品营养逻辑、体重管理和运动营养指导经验。过去这些能力更多靠营养师、方案、讲座和报告去服务。现在我们要做的，是把这些专业知识和真实食堂数据持续喂养成一个智慧食堂场景里的垂类营养大模型，或者说营养智能体。</w:t>
      </w:r>
    </w:p>
    <w:p>
      <w:r>
        <w:rPr>
          <w:rFonts w:ascii="Microsoft YaHei" w:hAnsi="Microsoft YaHei" w:eastAsia="Microsoft YaHei"/>
          <w:sz w:val="21"/>
        </w:rPr>
        <w:t>这个模型不是泛泛聊天，它要懂三类东西。第一懂人：身高、体重、健康目标、运动量、饮食偏好、禁忌、过敏和历史就餐。第二懂餐：菜品、原料、标准克重、热量、蛋白质、脂肪、碳水、烹饪方式和适宜人群。第三懂食堂：菜单、库存、成本、补贴、支付、设备、食安和供餐流程。只有这三类数据接起来，AI 营养才不是空中楼阁。</w:t>
      </w:r>
    </w:p>
    <w:p>
      <w:r>
        <w:rPr>
          <w:rFonts w:ascii="Microsoft YaHei" w:hAnsi="Microsoft YaHei" w:eastAsia="Microsoft YaHei"/>
          <w:sz w:val="21"/>
        </w:rPr>
        <w:t>落到每天运营里，就是餐前、餐中、餐后三段。</w:t>
      </w:r>
    </w:p>
    <w:p>
      <w:r>
        <w:rPr>
          <w:rFonts w:ascii="Microsoft YaHei" w:hAnsi="Microsoft YaHei" w:eastAsia="Microsoft YaHei"/>
          <w:sz w:val="21"/>
        </w:rPr>
        <w:t>餐前，用户端、健康档案、体脂秤、手环、体测或体检数据、菜品营养库和电子菜牌先连起来。AI 根据个人目标和当天菜单，给出推荐菜品、推荐克重、营养标签，也可以帮助食堂做排菜和采购建议。</w:t>
      </w:r>
    </w:p>
    <w:p>
      <w:r>
        <w:rPr>
          <w:rFonts w:ascii="Microsoft YaHei" w:hAnsi="Microsoft YaHei" w:eastAsia="Microsoft YaHei"/>
          <w:sz w:val="21"/>
        </w:rPr>
        <w:t>餐中，AI 菜品识别台、膳识智能台、智能称重台、消费机、刷脸刷卡扫码支付、电子菜牌和营养屏连起来。用户取了什么菜、多少克、多少钱、摄入多少热量和三大营养素，系统可以实时算出来。传统结算只生成消费流水，康比特要把结算变成营养数据采集。</w:t>
      </w:r>
    </w:p>
    <w:p>
      <w:r>
        <w:rPr>
          <w:rFonts w:ascii="Microsoft YaHei" w:hAnsi="Microsoft YaHei" w:eastAsia="Microsoft YaHei"/>
          <w:sz w:val="21"/>
        </w:rPr>
        <w:t>餐后，小程序、营养日报、周报、月报、阶段报告、管理端团体看板、体重管理活动、运动建议和营养讲座连起来。个人知道自己这段时间吃得怎么样，管理者看到群体营养结构和供餐问题，食堂再反过来优化菜单、备餐和宣教。</w:t>
      </w:r>
    </w:p>
    <w:p>
      <w:r>
        <w:rPr>
          <w:rFonts w:ascii="Microsoft YaHei" w:hAnsi="Microsoft YaHei" w:eastAsia="Microsoft YaHei"/>
          <w:sz w:val="21"/>
        </w:rPr>
        <w:t>所以康比特讲 AI 营养，不是把普通食堂系统包装成 AI，而是把二十五年专业营养能力，喂养成懂营养、懂食堂、懂设备数据的垂类模型，再通过智能设备和系统接口，让它每天在真实食堂里持续运行。</w:t>
      </w:r>
    </w:p>
    <w:p>
      <w:pPr>
        <w:pStyle w:val="Heading2"/>
      </w:pPr>
      <w:r>
        <w:rPr>
          <w:rFonts w:ascii="Microsoft YaHei" w:hAnsi="Microsoft YaHei" w:eastAsia="Microsoft YaHei"/>
          <w:sz w:val="21"/>
        </w:rPr>
        <w:t>这一问的记忆点</w:t>
      </w:r>
    </w:p>
    <w:p>
      <w:r>
        <w:rPr>
          <w:rFonts w:ascii="Microsoft YaHei" w:hAnsi="Microsoft YaHei" w:eastAsia="Microsoft YaHei"/>
          <w:sz w:val="21"/>
        </w:rPr>
        <w:t>大模型负责把专业营养变成建议，智能设备负责把每一餐变成数据。</w:t>
      </w:r>
    </w:p>
    <w:p>
      <w:pPr>
        <w:pStyle w:val="Heading1"/>
      </w:pPr>
      <w:r>
        <w:rPr>
          <w:rFonts w:ascii="Microsoft YaHei" w:hAnsi="Microsoft YaHei" w:eastAsia="Microsoft YaHei"/>
          <w:b w:val="0"/>
          <w:sz w:val="21"/>
        </w:rPr>
        <w:t>问题 4：数据和持续服务</w:t>
      </w:r>
    </w:p>
    <w:p>
      <w:r>
        <w:rPr>
          <w:rFonts w:ascii="Microsoft YaHei" w:hAnsi="Microsoft YaHei" w:eastAsia="Microsoft YaHei"/>
          <w:b/>
          <w:color w:val="006B5F"/>
          <w:sz w:val="21"/>
        </w:rPr>
        <w:t>重构后的问题</w:t>
      </w:r>
    </w:p>
    <w:p>
      <w:pPr>
        <w:spacing w:after="120" w:line="300" w:lineRule="auto"/>
      </w:pPr>
      <w:r>
        <w:rPr>
          <w:rFonts w:ascii="Microsoft YaHei" w:hAnsi="Microsoft YaHei" w:eastAsia="Microsoft YaHei"/>
          <w:b w:val="0"/>
          <w:sz w:val="21"/>
        </w:rPr>
        <w:t>AI 智慧营养需要长期数据积累。那是不是用得越多，服务就会越准？同时，不同学校、企业之间的数据安全边界怎么保证？</w:t>
      </w:r>
    </w:p>
    <w:p>
      <w:r>
        <w:rPr>
          <w:rFonts w:ascii="Microsoft YaHei" w:hAnsi="Microsoft YaHei" w:eastAsia="Microsoft YaHei"/>
          <w:b/>
          <w:color w:val="006B5F"/>
          <w:sz w:val="21"/>
        </w:rPr>
        <w:t>口语版回答</w:t>
      </w:r>
    </w:p>
    <w:p>
      <w:pPr>
        <w:spacing w:after="120" w:line="300" w:lineRule="auto"/>
      </w:pPr>
      <w:r>
        <w:rPr>
          <w:rFonts w:ascii="Microsoft YaHei" w:hAnsi="Microsoft YaHei" w:eastAsia="Microsoft YaHei"/>
          <w:b w:val="0"/>
          <w:sz w:val="21"/>
        </w:rPr>
        <w:t>是的，AI 智慧营养一定是越用越有价值。因为健康管理不是一次性的，今天吃了什么只能说明今天这一餐；连续一个月、三个月、半年都能看到餐盘和就餐数据，才真正能看出一个人的饮食习惯、营养结构和变化趋势。</w:t>
      </w:r>
    </w:p>
    <w:p>
      <w:pPr>
        <w:spacing w:after="120" w:line="300" w:lineRule="auto"/>
      </w:pPr>
      <w:r>
        <w:rPr>
          <w:rFonts w:ascii="Microsoft YaHei" w:hAnsi="Microsoft YaHei" w:eastAsia="Microsoft YaHei"/>
          <w:b w:val="0"/>
          <w:sz w:val="21"/>
        </w:rPr>
        <w:t>我们在企业园区项目里已经看到，智慧食堂不是装完设备就结束。前厅结算、线上订餐、取餐柜、补贴对账、食安大屏和营养大屏都要每天跑起来。系统跑起来以后，客户每天都会遇到新员工、补贴、退款、对账、取餐、食安记录这些真实运营问题。康比特的价值，就是把这些每天发生的问题持续纳入运营和复盘，而不是交付完就撤。</w:t>
      </w:r>
    </w:p>
    <w:p>
      <w:pPr>
        <w:spacing w:after="120" w:line="300" w:lineRule="auto"/>
      </w:pPr>
      <w:r>
        <w:rPr>
          <w:rFonts w:ascii="Microsoft YaHei" w:hAnsi="Microsoft YaHei" w:eastAsia="Microsoft YaHei"/>
          <w:b w:val="0"/>
          <w:sz w:val="21"/>
        </w:rPr>
        <w:t>数据安全也非常关键。比如机关类项目会明确要求本地服务器部署、数据存储在内网、权限分离、操作留痕。这说明客户不是不要 AI，而是要在自己的安全边界内使用 AI。</w:t>
      </w:r>
    </w:p>
    <w:p>
      <w:pPr>
        <w:spacing w:after="120" w:line="300" w:lineRule="auto"/>
      </w:pPr>
      <w:r>
        <w:rPr>
          <w:rFonts w:ascii="Microsoft YaHei" w:hAnsi="Microsoft YaHei" w:eastAsia="Microsoft YaHei"/>
          <w:b w:val="0"/>
          <w:sz w:val="21"/>
        </w:rPr>
        <w:t>所以我们内部有一句很明确的话：AI 学的是方法，不是拿走客户的数据。某个客户做得好的体重管理活动、营养报告服务、食安运营方法，可以沉淀成通用模板；但这个客户具体某个人吃了什么、健康数据是什么、经营数据是什么，一定要隔离和保护。</w:t>
      </w:r>
    </w:p>
    <w:p>
      <w:pPr>
        <w:spacing w:after="120" w:line="300" w:lineRule="auto"/>
      </w:pPr>
      <w:r>
        <w:rPr>
          <w:rFonts w:ascii="Microsoft YaHei" w:hAnsi="Microsoft YaHei" w:eastAsia="Microsoft YaHei"/>
          <w:b w:val="0"/>
          <w:sz w:val="21"/>
        </w:rPr>
        <w:t>真正好的 AI 智慧营养项目，一定是持续运营、持续出报告、持续优化菜单、持续做健康活动。系统上线只是开始，持续服务才是价值。</w:t>
      </w:r>
    </w:p>
    <w:p>
      <w:r>
        <w:rPr>
          <w:rFonts w:ascii="Microsoft YaHei" w:hAnsi="Microsoft YaHei" w:eastAsia="Microsoft YaHei"/>
          <w:b/>
          <w:color w:val="006B5F"/>
          <w:sz w:val="21"/>
        </w:rPr>
        <w:t>可讲案例</w:t>
      </w:r>
    </w:p>
    <w:p>
      <w:pPr>
        <w:pStyle w:val="ListBullet"/>
        <w:ind w:left="360" w:hanging="173"/>
      </w:pPr>
      <w:r>
        <w:rPr>
          <w:rFonts w:ascii="Microsoft YaHei" w:hAnsi="Microsoft YaHei" w:eastAsia="Microsoft YaHei"/>
          <w:sz w:val="21"/>
        </w:rPr>
        <w:t>企业园区项目：前厅结算、线上订餐、取餐柜、补贴对账、食安平台和营养大屏组合在一个交付场景里，证明系统上线后还需要持续运营。</w:t>
      </w:r>
    </w:p>
    <w:p>
      <w:pPr>
        <w:pStyle w:val="ListBullet"/>
        <w:ind w:left="360" w:hanging="173"/>
      </w:pPr>
      <w:r>
        <w:rPr>
          <w:rFonts w:ascii="Microsoft YaHei" w:hAnsi="Microsoft YaHei" w:eastAsia="Microsoft YaHei"/>
          <w:sz w:val="21"/>
        </w:rPr>
        <w:t>机关类项目：本地部署、内网存储、权限分离、操作留痕是明确要求，证明数据安全边界本身就是客户购买理由。</w:t>
      </w:r>
    </w:p>
    <w:p>
      <w:pPr>
        <w:pStyle w:val="ListBullet"/>
        <w:ind w:left="360" w:hanging="173"/>
      </w:pPr>
      <w:r>
        <w:rPr>
          <w:rFonts w:ascii="Microsoft YaHei" w:hAnsi="Microsoft YaHei" w:eastAsia="Microsoft YaHei"/>
          <w:sz w:val="21"/>
        </w:rPr>
        <w:t>AI 运动营养师接口：已有就餐数据推送、营养报告、体重管理、健康建议、设备数据同步等能力，证明长期服务底座存在。</w:t>
      </w:r>
    </w:p>
    <w:p>
      <w:r>
        <w:rPr>
          <w:rFonts w:ascii="Microsoft YaHei" w:hAnsi="Microsoft YaHei" w:eastAsia="Microsoft YaHei"/>
          <w:b/>
          <w:color w:val="C56A2D"/>
          <w:sz w:val="21"/>
        </w:rPr>
        <w:t>这一问的记忆点</w:t>
      </w:r>
    </w:p>
    <w:p>
      <w:pPr>
        <w:spacing w:after="120" w:line="300" w:lineRule="auto"/>
      </w:pPr>
      <w:r>
        <w:rPr>
          <w:rFonts w:ascii="Microsoft YaHei" w:hAnsi="Microsoft YaHei" w:eastAsia="Microsoft YaHei"/>
          <w:b w:val="0"/>
          <w:sz w:val="21"/>
        </w:rPr>
        <w:t>AI 学的是方法，不是泄露数据；系统交付只是开始，持续服务才是价值。</w:t>
      </w:r>
    </w:p>
    <w:p>
      <w:pPr>
        <w:pStyle w:val="Heading1"/>
      </w:pPr>
      <w:r>
        <w:rPr>
          <w:rFonts w:ascii="Microsoft YaHei" w:hAnsi="Microsoft YaHei" w:eastAsia="Microsoft YaHei"/>
          <w:b w:val="0"/>
          <w:sz w:val="21"/>
        </w:rPr>
        <w:t>问题 5：客户怎么选、怎么开始</w:t>
      </w:r>
    </w:p>
    <w:p>
      <w:r>
        <w:rPr>
          <w:rFonts w:ascii="Microsoft YaHei" w:hAnsi="Microsoft YaHei" w:eastAsia="Microsoft YaHei"/>
          <w:b/>
          <w:color w:val="006B5F"/>
          <w:sz w:val="21"/>
        </w:rPr>
        <w:t>重构后的问题</w:t>
      </w:r>
    </w:p>
    <w:p>
      <w:pPr>
        <w:spacing w:after="120" w:line="300" w:lineRule="auto"/>
      </w:pPr>
      <w:r>
        <w:rPr>
          <w:rFonts w:ascii="Microsoft YaHei" w:hAnsi="Microsoft YaHei" w:eastAsia="Microsoft YaHei"/>
          <w:b w:val="0"/>
          <w:sz w:val="21"/>
        </w:rPr>
        <w:t>如果一个学校、企业或者机关单位想升级智慧食堂，但预算有限、也不知道从哪开始，您会建议他们第一步先做什么？为什么说选择康比特不是买系统，而是买长期健康价值？</w:t>
      </w:r>
    </w:p>
    <w:p>
      <w:r>
        <w:rPr>
          <w:rFonts w:ascii="Microsoft YaHei" w:hAnsi="Microsoft YaHei" w:eastAsia="Microsoft YaHei"/>
          <w:b/>
          <w:color w:val="006B5F"/>
          <w:sz w:val="21"/>
        </w:rPr>
        <w:t>口语版回答</w:t>
      </w:r>
    </w:p>
    <w:p>
      <w:pPr>
        <w:spacing w:after="120" w:line="300" w:lineRule="auto"/>
      </w:pPr>
      <w:r>
        <w:rPr>
          <w:rFonts w:ascii="Microsoft YaHei" w:hAnsi="Microsoft YaHei" w:eastAsia="Microsoft YaHei"/>
          <w:b w:val="0"/>
          <w:sz w:val="21"/>
        </w:rPr>
        <w:t>我建议客户不要一上来就问买什么设备，也不要一开始就追求大而全。第一步应该先想清楚：你的食堂到底只是想解决“吃得方便”，还是想进一步解决“吃得对”。</w:t>
      </w:r>
    </w:p>
    <w:p>
      <w:pPr>
        <w:spacing w:after="120" w:line="300" w:lineRule="auto"/>
      </w:pPr>
      <w:r>
        <w:rPr>
          <w:rFonts w:ascii="Microsoft YaHei" w:hAnsi="Microsoft YaHei" w:eastAsia="Microsoft YaHei"/>
          <w:b w:val="0"/>
          <w:sz w:val="21"/>
        </w:rPr>
        <w:t>如果预算有限，最务实的做法是先跑通一个小闭环。企业园区可以先从人员、账户、补贴、称重结算、对账和食安证据开始；学校可以先从食安监管、供餐记录、学生营养展示和家校沟通开始；机关单位可以先从内网安全、补贴结算、设备联动和食安留痕开始。</w:t>
      </w:r>
    </w:p>
    <w:p>
      <w:pPr>
        <w:spacing w:after="120" w:line="300" w:lineRule="auto"/>
      </w:pPr>
      <w:r>
        <w:rPr>
          <w:rFonts w:ascii="Microsoft YaHei" w:hAnsi="Microsoft YaHei" w:eastAsia="Microsoft YaHei"/>
          <w:b w:val="0"/>
          <w:sz w:val="21"/>
        </w:rPr>
        <w:t>我们在真实售前项目里经常看到，决定项目成败的不是设备参数，而是现场动线、网络边界、一卡通接口、人员数据、旧余额、支付方式、对账周期和验收证据。设备买了不难，难的是每天能用、账能对、证据能留，后面还能接上营养报告和健康服务。</w:t>
      </w:r>
    </w:p>
    <w:p>
      <w:pPr>
        <w:spacing w:after="120" w:line="300" w:lineRule="auto"/>
      </w:pPr>
      <w:r>
        <w:rPr>
          <w:rFonts w:ascii="Microsoft YaHei" w:hAnsi="Microsoft YaHei" w:eastAsia="Microsoft YaHei"/>
          <w:b w:val="0"/>
          <w:sz w:val="21"/>
        </w:rPr>
        <w:t>所以客户第一步要跑通的是：谁在吃，吃了什么，怎么结算，数据怎么进系统，食安证据怎么留，下一步怎么改。这个闭环跑通以后，再逐步增加 AI 营养报告、体重管理、健康建议、营养宣教、周期报告和个性化推荐，价值就会越来越明显。</w:t>
      </w:r>
    </w:p>
    <w:p>
      <w:pPr>
        <w:spacing w:after="120" w:line="300" w:lineRule="auto"/>
      </w:pPr>
      <w:r>
        <w:rPr>
          <w:rFonts w:ascii="Microsoft YaHei" w:hAnsi="Microsoft YaHei" w:eastAsia="Microsoft YaHei"/>
          <w:b w:val="0"/>
          <w:sz w:val="21"/>
        </w:rPr>
        <w:t>选择康比特，不是选择一个普通智慧食堂系统，而是选择一套可以从食堂运营延伸到健康管理的长期服务。</w:t>
      </w:r>
    </w:p>
    <w:p>
      <w:r>
        <w:rPr>
          <w:rFonts w:ascii="Microsoft YaHei" w:hAnsi="Microsoft YaHei" w:eastAsia="Microsoft YaHei"/>
          <w:b/>
          <w:color w:val="006B5F"/>
          <w:sz w:val="21"/>
        </w:rPr>
        <w:t>可讲案例</w:t>
      </w:r>
    </w:p>
    <w:p>
      <w:pPr>
        <w:pStyle w:val="ListBullet"/>
        <w:ind w:left="360" w:hanging="173"/>
      </w:pPr>
      <w:r>
        <w:rPr>
          <w:rFonts w:ascii="Microsoft YaHei" w:hAnsi="Microsoft YaHei" w:eastAsia="Microsoft YaHei"/>
          <w:sz w:val="21"/>
        </w:rPr>
        <w:t>苏州福耀售前：先确认 24 台双称、自助餐台、内外网、一卡通、支付、食安摄像头和智能留样仪，说明第一步不是堆设备，而是跑通现场闭环。</w:t>
      </w:r>
    </w:p>
    <w:p>
      <w:pPr>
        <w:pStyle w:val="ListBullet"/>
        <w:ind w:left="360" w:hanging="173"/>
      </w:pPr>
      <w:r>
        <w:rPr>
          <w:rFonts w:ascii="Microsoft YaHei" w:hAnsi="Microsoft YaHei" w:eastAsia="Microsoft YaHei"/>
          <w:sz w:val="21"/>
        </w:rPr>
        <w:t>江西 206 项目：前厅和食安设备做了安装调试，但人员、卡号、旧余额、补贴、留样柜闭环和大屏适配仍影响真正启用，说明基础数据和设备闭环必须先做好。</w:t>
      </w:r>
    </w:p>
    <w:p>
      <w:pPr>
        <w:pStyle w:val="ListBullet"/>
        <w:ind w:left="360" w:hanging="173"/>
      </w:pPr>
      <w:r>
        <w:rPr>
          <w:rFonts w:ascii="Microsoft YaHei" w:hAnsi="Microsoft YaHei" w:eastAsia="Microsoft YaHei"/>
          <w:sz w:val="21"/>
        </w:rPr>
        <w:t>学校投标样本：学校客户可先从食安监管、网络安全、终端接入和验收材料切入，再叠加营养展示、学生营养反馈和周期报告。</w:t>
      </w:r>
    </w:p>
    <w:p>
      <w:r>
        <w:rPr>
          <w:rFonts w:ascii="Microsoft YaHei" w:hAnsi="Microsoft YaHei" w:eastAsia="Microsoft YaHei"/>
          <w:b/>
          <w:color w:val="C56A2D"/>
          <w:sz w:val="21"/>
        </w:rPr>
        <w:t>这一问的记忆点</w:t>
      </w:r>
    </w:p>
    <w:p>
      <w:pPr>
        <w:spacing w:after="120" w:line="300" w:lineRule="auto"/>
      </w:pPr>
      <w:r>
        <w:rPr>
          <w:rFonts w:ascii="Microsoft YaHei" w:hAnsi="Microsoft YaHei" w:eastAsia="Microsoft YaHei"/>
          <w:b w:val="0"/>
          <w:sz w:val="21"/>
        </w:rPr>
        <w:t>不要为了智能而智能；先跑通“谁在吃、吃了什么、吃得对不对、下一步怎么改”。</w:t>
      </w:r>
    </w:p>
    <w:p>
      <w:pPr>
        <w:pStyle w:val="Heading1"/>
      </w:pPr>
      <w:r>
        <w:rPr>
          <w:rFonts w:ascii="Microsoft YaHei" w:hAnsi="Microsoft YaHei" w:eastAsia="Microsoft YaHei"/>
          <w:b w:val="0"/>
          <w:sz w:val="21"/>
        </w:rPr>
        <w:t>知识产权与认证量化支撑</w:t>
      </w:r>
    </w:p>
    <w:p>
      <w:pPr>
        <w:pStyle w:val="Heading2"/>
      </w:pPr>
      <w:r>
        <w:rPr>
          <w:rFonts w:ascii="Microsoft YaHei" w:hAnsi="Microsoft YaHei" w:eastAsia="Microsoft YaHei"/>
          <w:b w:val="0"/>
          <w:sz w:val="21"/>
        </w:rPr>
        <w:t>微盘检索口径</w:t>
      </w:r>
    </w:p>
    <w:p>
      <w:r>
        <w:rPr>
          <w:rFonts w:ascii="Microsoft YaHei" w:hAnsi="Microsoft YaHei" w:eastAsia="Microsoft YaHei"/>
          <w:b w:val="0"/>
          <w:sz w:val="21"/>
        </w:rPr>
        <w:t>本案例不要展开讲太多，直接讲数字：微盘资料里可直接对应到 8 个相关软著系统、2 项识别称重相关实用新型专利、7 项国产化/CNAS/适配证书；另有 3 份认证/适配测试报告可作为补充证据。</w:t>
      </w:r>
    </w:p>
    <w:p>
      <w:r>
        <w:rPr>
          <w:rFonts w:ascii="Microsoft YaHei" w:hAnsi="Microsoft YaHei" w:eastAsia="Microsoft YaHei"/>
          <w:b w:val="0"/>
          <w:sz w:val="21"/>
        </w:rPr>
        <w:t>其中 8 个软著系统包括：智慧营养健康餐厅管理系统 V1.0/V2.0、智能结算系统 V1.0、智能称重系统 V1.0、食品安全监督管理系统 V1.0、数字化餐厅管理平台 V1.0、合理配餐与膳食营养管理系统 V6.0、运动员智慧餐厅系统 V6.5。</w:t>
      </w:r>
    </w:p>
    <w:p>
      <w:r>
        <w:rPr>
          <w:rFonts w:ascii="Microsoft YaHei" w:hAnsi="Microsoft YaHei" w:eastAsia="Microsoft YaHei"/>
          <w:b w:val="0"/>
          <w:sz w:val="21"/>
        </w:rPr>
        <w:t>2 项专利直接对应菜品识别和识别称重设备；7 项证书包括智慧营养健康餐厅管理系统的麒麟、统信、CNAS，运动员合理膳食管理系统的统信、麒麟、鲲鹏，以及食品安全监督管理系统麒麟适配材料。</w:t>
      </w:r>
    </w:p>
    <w:p>
      <w:pPr>
        <w:pStyle w:val="Heading2"/>
      </w:pPr>
      <w:r>
        <w:rPr>
          <w:rFonts w:ascii="Microsoft YaHei" w:hAnsi="Microsoft YaHei" w:eastAsia="Microsoft YaHei"/>
          <w:b w:val="0"/>
          <w:sz w:val="21"/>
        </w:rPr>
        <w:t>采访可用说法</w:t>
      </w:r>
    </w:p>
    <w:p>
      <w:r>
        <w:rPr>
          <w:rFonts w:ascii="Microsoft YaHei" w:hAnsi="Microsoft YaHei" w:eastAsia="Microsoft YaHei"/>
          <w:b w:val="0"/>
          <w:sz w:val="21"/>
        </w:rPr>
        <w:t>如果客户问康比特凭什么做 AI 智慧营养，我们不用讲得很虚。微盘里能直接数到：8 个相关软著系统、2 项识别称重相关实用新型专利、7 项国产化/CNAS/适配证书。这些材料分别支撑营养结算、智能称重、食安监管、数字化餐厅管理、合理配餐和运动营养指导。</w:t>
      </w:r>
    </w:p>
    <w:p>
      <w:r>
        <w:rPr>
          <w:rFonts w:ascii="Microsoft YaHei" w:hAnsi="Microsoft YaHei" w:eastAsia="Microsoft YaHei"/>
          <w:b w:val="0"/>
          <w:sz w:val="21"/>
        </w:rPr>
        <w:t>所以康比特不是拿一个普通食堂系统去包装 AI，而是有一整套已经沉淀过的软件系统、智能终端和认证适配材料在后面支撑。对客户来说，这句话最重要：买康比特，不只是买设备和系统，而是买一套可落地、可迭代、可验收的 AI 智慧营养健康管理能力。</w:t>
      </w:r>
    </w:p>
    <w:p>
      <w:pPr>
        <w:pStyle w:val="Heading2"/>
      </w:pPr>
      <w:r>
        <w:rPr>
          <w:rFonts w:ascii="Microsoft YaHei" w:hAnsi="Microsoft YaHei" w:eastAsia="Microsoft YaHei"/>
          <w:b w:val="0"/>
          <w:sz w:val="21"/>
        </w:rPr>
        <w:t>证据口径</w:t>
      </w:r>
    </w:p>
    <w:p>
      <w:r>
        <w:rPr>
          <w:rFonts w:ascii="Microsoft YaHei" w:hAnsi="Microsoft YaHei" w:eastAsia="Microsoft YaHei"/>
          <w:b w:val="0"/>
          <w:sz w:val="21"/>
        </w:rPr>
        <w:t>软著系统数按微盘中软著证书、软著申请材料或软件著作权证书目录去重统计；仅检索到 PPT 或未命中证书原件的名称未计入 8 个。</w:t>
      </w:r>
    </w:p>
    <w:p>
      <w:r>
        <w:rPr>
          <w:rFonts w:ascii="Microsoft YaHei" w:hAnsi="Microsoft YaHei" w:eastAsia="Microsoft YaHei"/>
          <w:b w:val="0"/>
          <w:sz w:val="21"/>
        </w:rPr>
        <w:t>专利数按微盘“专利证书”目录中两个证书名称去重统计：便携式菜品识别台、智能化识别菜品图像及种类信息和称重的设备。</w:t>
      </w:r>
    </w:p>
    <w:p>
      <w:r>
        <w:rPr>
          <w:rFonts w:ascii="Microsoft YaHei" w:hAnsi="Microsoft YaHei" w:eastAsia="Microsoft YaHei"/>
          <w:b w:val="0"/>
          <w:sz w:val="21"/>
        </w:rPr>
        <w:t>认证/适配数按证书去重统计，测试报告单独作为补充证据；最终对外数字仍以单位盖章清单和证书原件为准。</w:t>
      </w:r>
    </w:p>
    <w:p>
      <w:pPr>
        <w:pStyle w:val="Heading1"/>
      </w:pPr>
      <w:r>
        <w:rPr>
          <w:rFonts w:ascii="Microsoft YaHei" w:hAnsi="Microsoft YaHei" w:eastAsia="Microsoft YaHei"/>
          <w:b w:val="0"/>
          <w:sz w:val="21"/>
        </w:rPr>
        <w:t>对外使用边界</w:t>
      </w:r>
    </w:p>
    <w:p>
      <w:pPr>
        <w:pStyle w:val="ListBullet"/>
        <w:ind w:left="360" w:hanging="173"/>
      </w:pPr>
      <w:r>
        <w:rPr>
          <w:rFonts w:ascii="Microsoft YaHei" w:hAnsi="Microsoft YaHei" w:eastAsia="Microsoft YaHei"/>
          <w:sz w:val="21"/>
        </w:rPr>
        <w:t>客户名、金额、中央机关/政企项目细节对外发布前要授权或脱敏。</w:t>
      </w:r>
    </w:p>
    <w:p>
      <w:pPr>
        <w:pStyle w:val="ListBullet"/>
        <w:ind w:left="360" w:hanging="173"/>
      </w:pPr>
      <w:r>
        <w:rPr>
          <w:rFonts w:ascii="Microsoft YaHei" w:hAnsi="Microsoft YaHei" w:eastAsia="Microsoft YaHei"/>
          <w:sz w:val="21"/>
        </w:rPr>
        <w:t>不能把案例写成已经产生健康改善、续费、客户满意度或完整长期运营效果，除非补充验收、使用数据和客户授权。</w:t>
      </w:r>
    </w:p>
    <w:p>
      <w:pPr>
        <w:pStyle w:val="ListBullet"/>
        <w:ind w:left="360" w:hanging="173"/>
      </w:pPr>
      <w:r>
        <w:rPr>
          <w:rFonts w:ascii="Microsoft YaHei" w:hAnsi="Microsoft YaHei" w:eastAsia="Microsoft YaHei"/>
          <w:sz w:val="21"/>
        </w:rPr>
        <w:t>AI 营养、体重管理、健康建议相关表达必须保持非医疗边界，避免暗示治疗或诊断效果。</w:t>
      </w:r>
    </w:p>
    <w:p>
      <w:pPr>
        <w:pStyle w:val="Heading1"/>
      </w:pPr>
      <w:r>
        <w:rPr>
          <w:rFonts w:ascii="Microsoft YaHei" w:hAnsi="Microsoft YaHei" w:eastAsia="Microsoft YaHei"/>
          <w:b w:val="0"/>
          <w:sz w:val="21"/>
        </w:rPr>
        <w:t>主要依据</w:t>
      </w:r>
    </w:p>
    <w:p>
      <w:pPr>
        <w:pStyle w:val="ListBullet"/>
        <w:ind w:left="360" w:hanging="173"/>
      </w:pPr>
      <w:r>
        <w:rPr>
          <w:rFonts w:ascii="Microsoft YaHei" w:hAnsi="Microsoft YaHei" w:eastAsia="Microsoft YaHei"/>
          <w:sz w:val="21"/>
        </w:rPr>
        <w:t>江苏金斯瑞、江西 206、苏州福耀、保康镇中学等项目资料与复盘材料。</w:t>
      </w:r>
    </w:p>
    <w:p>
      <w:pPr>
        <w:pStyle w:val="ListBullet"/>
        <w:ind w:left="360" w:hanging="173"/>
      </w:pPr>
      <w:r>
        <w:rPr>
          <w:rFonts w:ascii="Microsoft YaHei" w:hAnsi="Microsoft YaHei" w:eastAsia="Microsoft YaHei"/>
          <w:sz w:val="21"/>
        </w:rPr>
        <w:t>AI 运动营养师 / 营养报告 / 体重管理相关接口导出。</w:t>
      </w:r>
    </w:p>
    <w:p>
      <w:pPr>
        <w:pStyle w:val="ListBullet"/>
        <w:ind w:left="360" w:hanging="173"/>
      </w:pPr>
      <w:r>
        <w:rPr>
          <w:rFonts w:ascii="Microsoft YaHei" w:hAnsi="Microsoft YaHei" w:eastAsia="Microsoft YaHei"/>
          <w:sz w:val="21"/>
        </w:rPr>
        <w:t>项目内证据分级规则：A/B/C/D。</w:t>
      </w:r>
    </w:p>
    <w:sectPr w:rsidR="00FC693F" w:rsidRPr="0006063C" w:rsidSect="00034616">
      <w:pgSz w:w="12240" w:h="15840"/>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006B5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172126"/>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Microsoft YaHei" w:hAnsi="Microsoft YaHei" w:eastAsia="Microsoft YaHei"/>
      <w:b/>
      <w:color w:val="172126"/>
      <w:spacing w:val="5"/>
      <w:kern w:val="28"/>
      <w:sz w:val="4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