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20"/>
        <w:jc w:val="center"/>
      </w:pPr>
      <w:r>
        <w:rPr>
          <w:rFonts w:ascii="Microsoft YaHei" w:hAnsi="Microsoft YaHei" w:eastAsia="Microsoft YaHei"/>
          <w:b/>
          <w:color w:val="17365D"/>
          <w:sz w:val="48"/>
        </w:rPr>
        <w:t>城市副中心项目</w:t>
        <w:br/>
        <w:t>人脸识别系统精细版技术方案</w:t>
      </w:r>
    </w:p>
    <w:p>
      <w:pPr>
        <w:spacing w:before="360"/>
        <w:jc w:val="center"/>
      </w:pPr>
      <w:r>
        <w:rPr>
          <w:rFonts w:ascii="Microsoft YaHei" w:hAnsi="Microsoft YaHei" w:eastAsia="Microsoft YaHei"/>
          <w:color w:val="595959"/>
          <w:sz w:val="24"/>
        </w:rPr>
        <w:t>现场沟通版 | 2026-06-05</w:t>
      </w:r>
    </w:p>
    <w:p>
      <w:pPr>
        <w:spacing w:before="560"/>
        <w:jc w:val="center"/>
      </w:pPr>
      <w:r>
        <w:rPr>
          <w:rFonts w:ascii="Microsoft YaHei" w:hAnsi="Microsoft YaHei" w:eastAsia="Microsoft YaHei"/>
          <w:color w:val="595959"/>
          <w:sz w:val="22"/>
        </w:rPr>
        <w:t>用于客户现场技术方案沟通、资源确认、网络确认、上线边界确认</w:t>
      </w:r>
    </w:p>
    <w:p>
      <w:r>
        <w:br w:type="page"/>
      </w:r>
    </w:p>
    <w:p>
      <w:pPr>
        <w:spacing w:line="283" w:lineRule="auto" w:after="80"/>
      </w:pPr>
      <w:r>
        <w:t>版本：现场沟通版</w:t>
      </w:r>
    </w:p>
    <w:p>
      <w:pPr>
        <w:spacing w:line="283" w:lineRule="auto" w:after="80"/>
      </w:pPr>
      <w:r>
        <w:t>沟通日期：2026-06-05</w:t>
      </w:r>
    </w:p>
    <w:p>
      <w:pPr>
        <w:spacing w:line="283" w:lineRule="auto" w:after="80"/>
      </w:pPr>
      <w:r>
        <w:t>适用场景：城市副中心服务中心现场技术方案沟通、资源确认、网络确认、上线边界确认</w:t>
      </w:r>
    </w:p>
    <w:p>
      <w:pPr>
        <w:pStyle w:val="Heading1"/>
      </w:pPr>
      <w:r>
        <w:t>1. 方案定位</w:t>
      </w:r>
    </w:p>
    <w:p>
      <w:pPr>
        <w:spacing w:line="283" w:lineRule="auto" w:after="80"/>
      </w:pPr>
      <w:r>
        <w:t>本方案面向城市副中心项目的人脸识别系统建设，重点解决设备接入、人员权限、识别记录、小程序及管理端访问、现有人脸平台对接、云资源部署和上线验收等问题。</w:t>
      </w:r>
    </w:p>
    <w:p>
      <w:pPr>
        <w:spacing w:line="283" w:lineRule="auto" w:after="80"/>
      </w:pPr>
      <w:r>
        <w:t>本次现场沟通的目标不是直接确认所有实施细节，而是与客户共同确认以下关键边界：</w:t>
      </w:r>
    </w:p>
    <w:p>
      <w:pPr>
        <w:pStyle w:val="ListBullet"/>
        <w:spacing w:after="40"/>
      </w:pPr>
      <w:r>
        <w:t>系统部署在政务外网或合规云资源中的具体环境。</w:t>
      </w:r>
    </w:p>
    <w:p>
      <w:pPr>
        <w:pStyle w:val="ListBullet"/>
        <w:spacing w:after="40"/>
      </w:pPr>
      <w:r>
        <w:t>56台起步设备的接入方式、网络网段、点位和厂商协议。</w:t>
      </w:r>
    </w:p>
    <w:p>
      <w:pPr>
        <w:pStyle w:val="ListBullet"/>
        <w:spacing w:after="40"/>
      </w:pPr>
      <w:r>
        <w:t>小程序、管理端、设备端、现有人脸平台之间的数据链路。</w:t>
      </w:r>
    </w:p>
    <w:p>
      <w:pPr>
        <w:pStyle w:val="ListBullet"/>
        <w:spacing w:after="40"/>
      </w:pPr>
      <w:r>
        <w:t>域名、HTTPS证书、固定出口IP、白名单、端口开放和安全组策略。</w:t>
      </w:r>
    </w:p>
    <w:p>
      <w:pPr>
        <w:pStyle w:val="ListBullet"/>
        <w:spacing w:after="40"/>
      </w:pPr>
      <w:r>
        <w:t>人员名单、组织架构、人脸照片、采集授权、数据留存周期和权限范围。</w:t>
      </w:r>
    </w:p>
    <w:p>
      <w:pPr>
        <w:pStyle w:val="ListBullet"/>
        <w:spacing w:after="40"/>
      </w:pPr>
      <w:r>
        <w:t>上线前测试、验收指标、运维责任和故障响应机制。</w:t>
      </w:r>
    </w:p>
    <w:p>
      <w:pPr>
        <w:pStyle w:val="Heading1"/>
      </w:pPr>
      <w:r>
        <w:t>2. 建设目标</w:t>
      </w:r>
    </w:p>
    <w:p>
      <w:pPr>
        <w:pStyle w:val="Heading2"/>
      </w:pPr>
      <w:r>
        <w:t>2.1 业务目标</w:t>
      </w:r>
    </w:p>
    <w:p>
      <w:pPr>
        <w:spacing w:line="283" w:lineRule="auto" w:after="80"/>
      </w:pPr>
      <w:r>
        <w:t>系统建设后，应形成一个统一的人脸识别接入与管理平台，支撑城市副中心服务中心对人员、设备、权限、识别记录和小程序访问进行统一管理。</w:t>
      </w:r>
    </w:p>
    <w:p>
      <w:pPr>
        <w:spacing w:line="283" w:lineRule="auto" w:after="80"/>
      </w:pPr>
      <w:r>
        <w:t>主要目标如下：</w:t>
      </w:r>
    </w:p>
    <w:p>
      <w:pPr>
        <w:pStyle w:val="ListBullet"/>
        <w:spacing w:after="40"/>
      </w:pPr>
      <w:r>
        <w:t>统一接入人脸识别设备，支持设备在线状态、点位、参数和识别记录管理。</w:t>
      </w:r>
    </w:p>
    <w:p>
      <w:pPr>
        <w:pStyle w:val="ListBullet"/>
        <w:spacing w:after="40"/>
      </w:pPr>
      <w:r>
        <w:t>统一维护人员信息、组织架构、权限范围和人脸照片数据。</w:t>
      </w:r>
    </w:p>
    <w:p>
      <w:pPr>
        <w:pStyle w:val="ListBullet"/>
        <w:spacing w:after="40"/>
      </w:pPr>
      <w:r>
        <w:t>支持小程序或管理端通过HTTPS安全访问业务系统。</w:t>
      </w:r>
    </w:p>
    <w:p>
      <w:pPr>
        <w:pStyle w:val="ListBullet"/>
        <w:spacing w:after="40"/>
      </w:pPr>
      <w:r>
        <w:t>支持与现有人脸平台对接；如客户确认不对接现有人脸平台，则按独立建设模式实施。</w:t>
      </w:r>
    </w:p>
    <w:p>
      <w:pPr>
        <w:pStyle w:val="ListBullet"/>
        <w:spacing w:after="40"/>
      </w:pPr>
      <w:r>
        <w:t>支持识别记录、操作日志、接口日志和异常记录留存，满足后续审计、追溯和运维需要。</w:t>
      </w:r>
    </w:p>
    <w:p>
      <w:pPr>
        <w:pStyle w:val="Heading2"/>
      </w:pPr>
      <w:r>
        <w:t>2.2 技术目标</w:t>
      </w:r>
    </w:p>
    <w:p>
      <w:pPr>
        <w:pStyle w:val="ListBullet"/>
        <w:spacing w:after="40"/>
      </w:pPr>
      <w:r>
        <w:t>入口统一：外部访问统一走HTTPS入口，通过SLB/ELB、WAF、白名单和安全组控制访问范围。</w:t>
      </w:r>
    </w:p>
    <w:p>
      <w:pPr>
        <w:pStyle w:val="ListBullet"/>
        <w:spacing w:after="40"/>
      </w:pPr>
      <w:r>
        <w:t>内外隔离：数据库、缓存、后台管理端口不直接暴露公网。</w:t>
      </w:r>
    </w:p>
    <w:p>
      <w:pPr>
        <w:pStyle w:val="ListBullet"/>
        <w:spacing w:after="40"/>
      </w:pPr>
      <w:r>
        <w:t>高可用部署：应用服务器和数据库按双节点或高可用模式规划，降低单点故障风险。</w:t>
      </w:r>
    </w:p>
    <w:p>
      <w:pPr>
        <w:pStyle w:val="ListBullet"/>
        <w:spacing w:after="40"/>
      </w:pPr>
      <w:r>
        <w:t>权限可控：按角色、组织、设备点位和业务范围配置访问权限。</w:t>
      </w:r>
    </w:p>
    <w:p>
      <w:pPr>
        <w:pStyle w:val="ListBullet"/>
        <w:spacing w:after="40"/>
      </w:pPr>
      <w:r>
        <w:t>数据可追溯：人员、设备、识别记录、接口调用、登录操作和配置变更保留日志。</w:t>
      </w:r>
    </w:p>
    <w:p>
      <w:pPr>
        <w:pStyle w:val="ListBullet"/>
        <w:spacing w:after="40"/>
      </w:pPr>
      <w:r>
        <w:t>便于运维：提供部署文档、配置说明、故障排查清单和日常巡检项。</w:t>
      </w:r>
    </w:p>
    <w:p>
      <w:pPr>
        <w:pStyle w:val="Heading1"/>
      </w:pPr>
      <w:r>
        <w:t>3. 总体架构</w:t>
      </w:r>
    </w:p>
    <w:p>
      <w:pPr>
        <w:pStyle w:val="Heading2"/>
      </w:pPr>
      <w:r>
        <w:t>3.1 架构说明</w:t>
      </w:r>
    </w:p>
    <w:p>
      <w:pPr>
        <w:spacing w:line="283" w:lineRule="auto" w:after="80"/>
      </w:pPr>
      <w:r>
        <w:t>系统整体采用“统一入口 + 应用服务 + 数据服务 + 可选存储/缓存 + 平台对接”的架构。</w:t>
      </w:r>
    </w:p>
    <w:p>
      <w:pPr>
        <w:spacing w:line="283" w:lineRule="auto" w:after="80"/>
      </w:pPr>
      <w:r>
        <w:t>设备端、小程序和管理端通过政务外网域名或专线/VPN入口访问HTTPS入口。HTTPS入口后方通过WAF、白名单、安全组和SLB/ELB进行访问控制和负载分发。业务请求进入应用服务器ECS后，由应用服务访问RDS数据库、OSS对象存储和Redis缓存。数据库、缓存和内部管理端口仅允许应用服务器内网访问。</w:t>
      </w:r>
    </w:p>
    <w:p>
      <w:pPr>
        <w:spacing w:line="283" w:lineRule="auto" w:after="80"/>
      </w:pPr>
      <w:r>
        <w:t>如客户已有统一人脸平台，系统通过API或SDK方式与现有人脸平台进行数据同步和识别结果对接。如客户不使用现有人脸平台，则由本系统独立维护人员、人脸照片、设备和识别记录。</w:t>
      </w:r>
    </w:p>
    <w:p>
      <w:pPr>
        <w:pStyle w:val="Heading2"/>
      </w:pPr>
      <w:r>
        <w:t>3.2 推荐网络链路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309360" cy="20566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twork-topolog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0566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595959"/>
          <w:sz w:val="17"/>
        </w:rPr>
        <w:t>图：原方案网络拓扑，入口HTTPS/专线，数据库、缓存、管理端口不对公网开放</w:t>
      </w:r>
    </w:p>
    <w:p>
      <w:pPr>
        <w:spacing w:line="283" w:lineRule="auto" w:after="80"/>
      </w:pPr>
      <w:r>
        <w:t>网络开放原则：</w:t>
      </w:r>
    </w:p>
    <w:p>
      <w:pPr>
        <w:pStyle w:val="ListBullet"/>
        <w:spacing w:after="40"/>
      </w:pPr>
      <w:r>
        <w:t>对外入口原则上只开放HTTPS 443端口。</w:t>
      </w:r>
    </w:p>
    <w:p>
      <w:pPr>
        <w:pStyle w:val="ListBullet"/>
        <w:spacing w:after="40"/>
      </w:pPr>
      <w:r>
        <w:t>设备端如需专线、VPN或固定出口IP访问，应由客户网络方提供网段和白名单。</w:t>
      </w:r>
    </w:p>
    <w:p>
      <w:pPr>
        <w:pStyle w:val="ListBullet"/>
        <w:spacing w:after="40"/>
      </w:pPr>
      <w:r>
        <w:t>数据库、缓存、管理后台端口不对公网开放。</w:t>
      </w:r>
    </w:p>
    <w:p>
      <w:pPr>
        <w:pStyle w:val="ListBullet"/>
        <w:spacing w:after="40"/>
      </w:pPr>
      <w:r>
        <w:t>第三方平台接口通过白名单、签名、Token、专线或VPN等方式控制访问。</w:t>
      </w:r>
    </w:p>
    <w:p>
      <w:pPr>
        <w:pStyle w:val="ListBullet"/>
        <w:spacing w:after="40"/>
      </w:pPr>
      <w:r>
        <w:t>上线前需完成端口清单、安全组、路由、防火墙、NAT和白名单的联合确认。</w:t>
      </w:r>
    </w:p>
    <w:p>
      <w:pPr>
        <w:pStyle w:val="Heading1"/>
      </w:pPr>
      <w:r>
        <w:t>4. 推荐资源配置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5DEE8"/>
          <w:left w:val="single" w:sz="6" w:space="0" w:color="D5DEE8"/>
          <w:bottom w:val="single" w:sz="6" w:space="0" w:color="D5DEE8"/>
          <w:right w:val="single" w:sz="6" w:space="0" w:color="D5DEE8"/>
          <w:insideH w:val="single" w:sz="6" w:space="0" w:color="D5DEE8"/>
          <w:insideV w:val="single" w:sz="6" w:space="0" w:color="D5DEE8"/>
        </w:tblBorders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2498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资源</w:t>
            </w:r>
          </w:p>
        </w:tc>
        <w:tc>
          <w:tcPr>
            <w:tcW w:type="dxa" w:w="2498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推荐配置/数量</w:t>
            </w:r>
          </w:p>
        </w:tc>
        <w:tc>
          <w:tcPr>
            <w:tcW w:type="dxa" w:w="2498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用途</w:t>
            </w:r>
          </w:p>
        </w:tc>
        <w:tc>
          <w:tcPr>
            <w:tcW w:type="dxa" w:w="2498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现场需确认</w:t>
            </w:r>
          </w:p>
        </w:tc>
      </w:tr>
      <w:tr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ECS应用服务器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2台，16核/32GB/1TB，openEuler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部署业务系统、接口服务、设备接入服务，配合SLB实现负载均衡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云厂商、操作系统版本、是否已有资源池</w:t>
            </w:r>
          </w:p>
        </w:tc>
      </w:tr>
      <w:tr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RDS数据库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2台高可用实例，1主1备，16核/32GB/200GB SSD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保存人员、组织、设备、识别记录、权限、日志等核心数据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数据库类型、备份周期、保留周期、是否允许公网访问</w:t>
            </w:r>
          </w:p>
        </w:tc>
      </w:tr>
      <w:tr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SLB/ELB负载均衡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1套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统一HTTPS入口、双机负载、故障切换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是否由客户云平台提供，证书绑定方式</w:t>
            </w:r>
          </w:p>
        </w:tc>
      </w:tr>
      <w:tr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WAF/安全网关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1套，按客户云资源能力配置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防护公网入口，限制非法访问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是否已有政务云WAF或安全网关</w:t>
            </w:r>
          </w:p>
        </w:tc>
      </w:tr>
      <w:tr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OSS对象存储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可选，按图片与附件留存周期测算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存储人脸照片、附件、备份文件，降低ECS磁盘压力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是否允许使用对象存储，照片留存周期</w:t>
            </w:r>
          </w:p>
        </w:tc>
      </w:tr>
      <w:tr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Redis缓存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可选，4核/8GB起步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会话缓存、热点数据、限流、削峰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是否纳入首期，是否由建设单位自建</w:t>
            </w:r>
          </w:p>
        </w:tc>
      </w:tr>
      <w:tr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带宽/IP/端口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100M-300M，固定出口IP，公网原则仅443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支撑设备、小程序、管理端访问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实际并发、固定出口IP、白名单、端口清单</w:t>
            </w:r>
          </w:p>
        </w:tc>
      </w:tr>
      <w:tr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备份与日志存储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按30天、90天或客户合规要求配置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数据库备份、操作日志、接口日志、异常日志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留存周期、审计要求、日志导出方式</w:t>
            </w:r>
          </w:p>
        </w:tc>
      </w:tr>
    </w:tbl>
    <w:p/>
    <w:p>
      <w:pPr>
        <w:spacing w:line="283" w:lineRule="auto" w:after="80"/>
      </w:pPr>
      <w:r>
        <w:t>资源说明：</w:t>
      </w:r>
    </w:p>
    <w:p>
      <w:pPr>
        <w:pStyle w:val="ListBullet"/>
        <w:spacing w:after="40"/>
      </w:pPr>
      <w:r>
        <w:t>如果客户云资源已固定，应以客户实际资源为准进行适配和压测。</w:t>
      </w:r>
    </w:p>
    <w:p>
      <w:pPr>
        <w:pStyle w:val="ListBullet"/>
        <w:spacing w:after="40"/>
      </w:pPr>
      <w:r>
        <w:t>OSS、Redis为可选项。如客户不提供云产品，可由建设单位在应用服务器或独立服务器上自建替代能力，但需确认可用性和运维责任。</w:t>
      </w:r>
    </w:p>
    <w:p>
      <w:pPr>
        <w:pStyle w:val="ListBullet"/>
        <w:spacing w:after="40"/>
      </w:pPr>
      <w:r>
        <w:t>200GB数据库容量为起步建议，最终需根据人员规模、识别记录频率、照片尺寸、留存周期和日志粒度测算。</w:t>
      </w:r>
    </w:p>
    <w:p>
      <w:pPr>
        <w:pStyle w:val="Heading1"/>
      </w:pPr>
      <w:r>
        <w:t>5. 核心功能范围</w:t>
      </w:r>
    </w:p>
    <w:p>
      <w:pPr>
        <w:pStyle w:val="Heading2"/>
      </w:pPr>
      <w:r>
        <w:t>5.1 人员与组织管理</w:t>
      </w:r>
    </w:p>
    <w:p>
      <w:pPr>
        <w:pStyle w:val="ListBullet"/>
        <w:spacing w:after="40"/>
      </w:pPr>
      <w:r>
        <w:t>支持组织架构导入、维护和调整。</w:t>
      </w:r>
    </w:p>
    <w:p>
      <w:pPr>
        <w:pStyle w:val="ListBullet"/>
        <w:spacing w:after="40"/>
      </w:pPr>
      <w:r>
        <w:t>支持人员基础信息维护，包括姓名、工号、部门、身份类型、权限范围等。</w:t>
      </w:r>
    </w:p>
    <w:p>
      <w:pPr>
        <w:pStyle w:val="ListBullet"/>
        <w:spacing w:after="40"/>
      </w:pPr>
      <w:r>
        <w:t>支持人脸照片导入、采集、更新和失效处理。</w:t>
      </w:r>
    </w:p>
    <w:p>
      <w:pPr>
        <w:pStyle w:val="ListBullet"/>
        <w:spacing w:after="40"/>
      </w:pPr>
      <w:r>
        <w:t>支持人员离职、权限变更、照片过期、重复人员等异常处理。</w:t>
      </w:r>
    </w:p>
    <w:p>
      <w:pPr>
        <w:spacing w:line="283" w:lineRule="auto" w:after="80"/>
      </w:pPr>
      <w:r>
        <w:t>现场需确认：</w:t>
      </w:r>
    </w:p>
    <w:p>
      <w:pPr>
        <w:pStyle w:val="ListBullet"/>
        <w:spacing w:after="40"/>
      </w:pPr>
      <w:r>
        <w:t>人员数据来源是客户提供Excel、现有人脸平台接口、统一身份平台，还是其他系统。</w:t>
      </w:r>
    </w:p>
    <w:p>
      <w:pPr>
        <w:pStyle w:val="ListBullet"/>
        <w:spacing w:after="40"/>
      </w:pPr>
      <w:r>
        <w:t>人脸照片是否已有历史数据；如需重新采集，需确认采集方式、授权方式和责任方。</w:t>
      </w:r>
    </w:p>
    <w:p>
      <w:pPr>
        <w:pStyle w:val="ListBullet"/>
        <w:spacing w:after="40"/>
      </w:pPr>
      <w:r>
        <w:t>组织架构的主数据归属和更新频率。</w:t>
      </w:r>
    </w:p>
    <w:p>
      <w:pPr>
        <w:pStyle w:val="Heading2"/>
      </w:pPr>
      <w:r>
        <w:t>5.2 设备接入管理</w:t>
      </w:r>
    </w:p>
    <w:p>
      <w:pPr>
        <w:pStyle w:val="ListBullet"/>
        <w:spacing w:after="40"/>
      </w:pPr>
      <w:r>
        <w:t>支持56台起步设备接入。</w:t>
      </w:r>
    </w:p>
    <w:p>
      <w:pPr>
        <w:pStyle w:val="ListBullet"/>
        <w:spacing w:after="40"/>
      </w:pPr>
      <w:r>
        <w:t>支持设备编号、点位、楼层、区域、IP、厂商、型号、协议版本等信息维护。</w:t>
      </w:r>
    </w:p>
    <w:p>
      <w:pPr>
        <w:pStyle w:val="ListBullet"/>
        <w:spacing w:after="40"/>
      </w:pPr>
      <w:r>
        <w:t>支持设备在线状态、最近心跳、异常状态和基础运行日志查看。</w:t>
      </w:r>
    </w:p>
    <w:p>
      <w:pPr>
        <w:pStyle w:val="ListBullet"/>
        <w:spacing w:after="40"/>
      </w:pPr>
      <w:r>
        <w:t>支持设备参数配置、重启、同步和接入测试记录。</w:t>
      </w:r>
    </w:p>
    <w:p>
      <w:pPr>
        <w:spacing w:line="283" w:lineRule="auto" w:after="80"/>
      </w:pPr>
      <w:r>
        <w:t>现场需确认：</w:t>
      </w:r>
    </w:p>
    <w:p>
      <w:pPr>
        <w:pStyle w:val="ListBullet"/>
        <w:spacing w:after="40"/>
      </w:pPr>
      <w:r>
        <w:t>设备厂商、型号、协议、固件版本和接口文档。</w:t>
      </w:r>
    </w:p>
    <w:p>
      <w:pPr>
        <w:pStyle w:val="ListBullet"/>
        <w:spacing w:after="40"/>
      </w:pPr>
      <w:r>
        <w:t>设备所在网段、固定IP规划、是否跨楼层或跨区域。</w:t>
      </w:r>
    </w:p>
    <w:p>
      <w:pPr>
        <w:pStyle w:val="ListBullet"/>
        <w:spacing w:after="40"/>
      </w:pPr>
      <w:r>
        <w:t>设备接入是主动上报、平台拉取，还是厂商平台中转。</w:t>
      </w:r>
    </w:p>
    <w:p>
      <w:pPr>
        <w:pStyle w:val="ListBullet"/>
        <w:spacing w:after="40"/>
      </w:pPr>
      <w:r>
        <w:t>设备厂商是否提供联调人员、账号、测试环境和故障响应。</w:t>
      </w:r>
    </w:p>
    <w:p>
      <w:pPr>
        <w:pStyle w:val="Heading2"/>
      </w:pPr>
      <w:r>
        <w:t>5.3 权限与识别记录</w:t>
      </w:r>
    </w:p>
    <w:p>
      <w:pPr>
        <w:pStyle w:val="ListBullet"/>
        <w:spacing w:after="40"/>
      </w:pPr>
      <w:r>
        <w:t>支持按人员、部门、区域、设备点位配置通行或识别权限。</w:t>
      </w:r>
    </w:p>
    <w:p>
      <w:pPr>
        <w:pStyle w:val="ListBullet"/>
        <w:spacing w:after="40"/>
      </w:pPr>
      <w:r>
        <w:t>支持识别记录留存，包括人员、设备、时间、结果、照片或截图索引、异常原因等。</w:t>
      </w:r>
    </w:p>
    <w:p>
      <w:pPr>
        <w:pStyle w:val="ListBullet"/>
        <w:spacing w:after="40"/>
      </w:pPr>
      <w:r>
        <w:t>支持按时间、人员、设备、区域、识别结果查询和导出。</w:t>
      </w:r>
    </w:p>
    <w:p>
      <w:pPr>
        <w:pStyle w:val="ListBullet"/>
        <w:spacing w:after="40"/>
      </w:pPr>
      <w:r>
        <w:t>支持异常记录标记，例如未授权、照片缺失、设备离线、接口失败、重复人员等。</w:t>
      </w:r>
    </w:p>
    <w:p>
      <w:pPr>
        <w:spacing w:line="283" w:lineRule="auto" w:after="80"/>
      </w:pPr>
      <w:r>
        <w:t>现场需确认：</w:t>
      </w:r>
    </w:p>
    <w:p>
      <w:pPr>
        <w:pStyle w:val="ListBullet"/>
        <w:spacing w:after="40"/>
      </w:pPr>
      <w:r>
        <w:t>是否需要通行控制，还是仅做识别记录和身份核验。</w:t>
      </w:r>
    </w:p>
    <w:p>
      <w:pPr>
        <w:pStyle w:val="ListBullet"/>
        <w:spacing w:after="40"/>
      </w:pPr>
      <w:r>
        <w:t>识别记录留存周期和导出审批要求。</w:t>
      </w:r>
    </w:p>
    <w:p>
      <w:pPr>
        <w:pStyle w:val="ListBullet"/>
        <w:spacing w:after="40"/>
      </w:pPr>
      <w:r>
        <w:t>人脸照片、识别照片、日志是否涉及脱敏展示。</w:t>
      </w:r>
    </w:p>
    <w:p>
      <w:pPr>
        <w:pStyle w:val="Heading2"/>
      </w:pPr>
      <w:r>
        <w:t>5.4 小程序与管理端</w:t>
      </w:r>
    </w:p>
    <w:p>
      <w:pPr>
        <w:pStyle w:val="ListBullet"/>
        <w:spacing w:after="40"/>
      </w:pPr>
      <w:r>
        <w:t>小程序通过HTTPS访问业务接口。</w:t>
      </w:r>
    </w:p>
    <w:p>
      <w:pPr>
        <w:pStyle w:val="ListBullet"/>
        <w:spacing w:after="40"/>
      </w:pPr>
      <w:r>
        <w:t>管理端通过政务外网域名或专线/VPN访问。</w:t>
      </w:r>
    </w:p>
    <w:p>
      <w:pPr>
        <w:pStyle w:val="ListBullet"/>
        <w:spacing w:after="40"/>
      </w:pPr>
      <w:r>
        <w:t>支持用户登录、角色权限、菜单权限和操作日志。</w:t>
      </w:r>
    </w:p>
    <w:p>
      <w:pPr>
        <w:pStyle w:val="ListBullet"/>
        <w:spacing w:after="40"/>
      </w:pPr>
      <w:r>
        <w:t>小程序合法域名、接口域名、证书和平台配置需上线前完成。</w:t>
      </w:r>
    </w:p>
    <w:p>
      <w:pPr>
        <w:spacing w:line="283" w:lineRule="auto" w:after="80"/>
      </w:pPr>
      <w:r>
        <w:t>现场需确认：</w:t>
      </w:r>
    </w:p>
    <w:p>
      <w:pPr>
        <w:pStyle w:val="ListBullet"/>
        <w:spacing w:after="40"/>
      </w:pPr>
      <w:r>
        <w:t>小程序主体、管理员、上线审批流程和发布时间窗口。</w:t>
      </w:r>
    </w:p>
    <w:p>
      <w:pPr>
        <w:pStyle w:val="ListBullet"/>
        <w:spacing w:after="40"/>
      </w:pPr>
      <w:r>
        <w:t>是否已有政务外网域名；如没有，需确认域名申请、备案和证书办理责任方。</w:t>
      </w:r>
    </w:p>
    <w:p>
      <w:pPr>
        <w:pStyle w:val="ListBullet"/>
        <w:spacing w:after="40"/>
      </w:pPr>
      <w:r>
        <w:t>管理端访问是否只允许固定办公网络、VPN或特定IP。</w:t>
      </w:r>
    </w:p>
    <w:p>
      <w:pPr>
        <w:pStyle w:val="Heading2"/>
      </w:pPr>
      <w:r>
        <w:t>5.5 现有人脸平台对接</w:t>
      </w:r>
    </w:p>
    <w:p>
      <w:pPr>
        <w:spacing w:line="283" w:lineRule="auto" w:after="80"/>
      </w:pPr>
      <w:r>
        <w:t>如客户已有现有人脸平台，本系统建议采用“先确认平台能力，再确定对接范围”的方式实施。</w:t>
      </w:r>
    </w:p>
    <w:p>
      <w:pPr>
        <w:spacing w:line="283" w:lineRule="auto" w:after="80"/>
      </w:pPr>
      <w:r>
        <w:t>可能的对接范围包括：</w:t>
      </w:r>
    </w:p>
    <w:p>
      <w:pPr>
        <w:pStyle w:val="ListBullet"/>
        <w:spacing w:after="40"/>
      </w:pPr>
      <w:r>
        <w:t>人员基础信息同步。</w:t>
      </w:r>
    </w:p>
    <w:p>
      <w:pPr>
        <w:pStyle w:val="ListBullet"/>
        <w:spacing w:after="40"/>
      </w:pPr>
      <w:r>
        <w:t>人脸照片同步。</w:t>
      </w:r>
    </w:p>
    <w:p>
      <w:pPr>
        <w:pStyle w:val="ListBullet"/>
        <w:spacing w:after="40"/>
      </w:pPr>
      <w:r>
        <w:t>设备信息同步。</w:t>
      </w:r>
    </w:p>
    <w:p>
      <w:pPr>
        <w:pStyle w:val="ListBullet"/>
        <w:spacing w:after="40"/>
      </w:pPr>
      <w:r>
        <w:t>识别记录同步。</w:t>
      </w:r>
    </w:p>
    <w:p>
      <w:pPr>
        <w:pStyle w:val="ListBullet"/>
        <w:spacing w:after="40"/>
      </w:pPr>
      <w:r>
        <w:t>权限下发或权限校验。</w:t>
      </w:r>
    </w:p>
    <w:p>
      <w:pPr>
        <w:pStyle w:val="ListBullet"/>
        <w:spacing w:after="40"/>
      </w:pPr>
      <w:r>
        <w:t>异常状态、错误码和失败重试。</w:t>
      </w:r>
    </w:p>
    <w:p>
      <w:pPr>
        <w:spacing w:line="283" w:lineRule="auto" w:after="80"/>
      </w:pPr>
      <w:r>
        <w:t>现场需确认：</w:t>
      </w:r>
    </w:p>
    <w:p>
      <w:pPr>
        <w:pStyle w:val="ListBullet"/>
        <w:spacing w:after="40"/>
      </w:pPr>
      <w:r>
        <w:t>现有人脸平台名称、厂商、部署位置和接口负责人。</w:t>
      </w:r>
    </w:p>
    <w:p>
      <w:pPr>
        <w:pStyle w:val="ListBullet"/>
        <w:spacing w:after="40"/>
      </w:pPr>
      <w:r>
        <w:t>是否提供API、SDK、数据库视图或文件导入导出。</w:t>
      </w:r>
    </w:p>
    <w:p>
      <w:pPr>
        <w:pStyle w:val="ListBullet"/>
        <w:spacing w:after="40"/>
      </w:pPr>
      <w:r>
        <w:t>是否有测试环境和正式环境。</w:t>
      </w:r>
    </w:p>
    <w:p>
      <w:pPr>
        <w:pStyle w:val="ListBullet"/>
        <w:spacing w:after="40"/>
      </w:pPr>
      <w:r>
        <w:t>认证方式、签名规则、Token有效期、QPS限制和IP白名单。</w:t>
      </w:r>
    </w:p>
    <w:p>
      <w:pPr>
        <w:pStyle w:val="ListBullet"/>
        <w:spacing w:after="40"/>
      </w:pPr>
      <w:r>
        <w:t>错误码、重试机制、接口超时、幂等规则和数据对账方式。</w:t>
      </w:r>
    </w:p>
    <w:p>
      <w:pPr>
        <w:spacing w:line="283" w:lineRule="auto" w:after="80"/>
      </w:pPr>
      <w:r>
        <w:t>如果客户无法提供现有人脸平台接口，则首期可按独立建设模式实施，后续预留接口扩展能力。</w:t>
      </w:r>
    </w:p>
    <w:p>
      <w:pPr>
        <w:pStyle w:val="Heading1"/>
      </w:pPr>
      <w:r>
        <w:t>6. 安全与合规设计</w:t>
      </w:r>
    </w:p>
    <w:p>
      <w:pPr>
        <w:pStyle w:val="Heading2"/>
      </w:pPr>
      <w:r>
        <w:t>6.1 网络安全</w:t>
      </w:r>
    </w:p>
    <w:p>
      <w:pPr>
        <w:pStyle w:val="ListBullet"/>
        <w:spacing w:after="40"/>
      </w:pPr>
      <w:r>
        <w:t>外部入口统一使用HTTPS。</w:t>
      </w:r>
    </w:p>
    <w:p>
      <w:pPr>
        <w:pStyle w:val="ListBullet"/>
        <w:spacing w:after="40"/>
      </w:pPr>
      <w:r>
        <w:t>仅开放必要端口，原则上公网仅开放443。</w:t>
      </w:r>
    </w:p>
    <w:p>
      <w:pPr>
        <w:pStyle w:val="ListBullet"/>
        <w:spacing w:after="40"/>
      </w:pPr>
      <w:r>
        <w:t>数据库、缓存、内部接口和管理端口不对公网开放。</w:t>
      </w:r>
    </w:p>
    <w:p>
      <w:pPr>
        <w:pStyle w:val="ListBullet"/>
        <w:spacing w:after="40"/>
      </w:pPr>
      <w:r>
        <w:t>对设备端、平台端和管理端分别配置IP白名单。</w:t>
      </w:r>
    </w:p>
    <w:p>
      <w:pPr>
        <w:pStyle w:val="ListBullet"/>
        <w:spacing w:after="40"/>
      </w:pPr>
      <w:r>
        <w:t>通过安全组、防火墙、NAT、路由策略和WAF形成多层访问控制。</w:t>
      </w:r>
    </w:p>
    <w:p>
      <w:pPr>
        <w:pStyle w:val="Heading2"/>
      </w:pPr>
      <w:r>
        <w:t>6.2 数据安全</w:t>
      </w:r>
    </w:p>
    <w:p>
      <w:pPr>
        <w:pStyle w:val="ListBullet"/>
        <w:spacing w:after="40"/>
      </w:pPr>
      <w:r>
        <w:t>人脸照片、识别记录、人员信息属于敏感数据，应明确采集授权、使用范围、留存周期和删除机制。</w:t>
      </w:r>
    </w:p>
    <w:p>
      <w:pPr>
        <w:pStyle w:val="ListBullet"/>
        <w:spacing w:after="40"/>
      </w:pPr>
      <w:r>
        <w:t>数据传输使用HTTPS或专线/VPN。</w:t>
      </w:r>
    </w:p>
    <w:p>
      <w:pPr>
        <w:pStyle w:val="ListBullet"/>
        <w:spacing w:after="40"/>
      </w:pPr>
      <w:r>
        <w:t>数据库启用备份策略，备份文件按客户要求设置保留周期和访问权限。</w:t>
      </w:r>
    </w:p>
    <w:p>
      <w:pPr>
        <w:pStyle w:val="ListBullet"/>
        <w:spacing w:after="40"/>
      </w:pPr>
      <w:r>
        <w:t>后台展示时建议对敏感字段做脱敏展示。</w:t>
      </w:r>
    </w:p>
    <w:p>
      <w:pPr>
        <w:pStyle w:val="ListBullet"/>
        <w:spacing w:after="40"/>
      </w:pPr>
      <w:r>
        <w:t>重要操作保留操作日志，包含操作人、时间、IP、对象和结果。</w:t>
      </w:r>
    </w:p>
    <w:p>
      <w:pPr>
        <w:pStyle w:val="Heading2"/>
      </w:pPr>
      <w:r>
        <w:t>6.3 权限控制</w:t>
      </w:r>
    </w:p>
    <w:p>
      <w:pPr>
        <w:pStyle w:val="ListBullet"/>
        <w:spacing w:after="40"/>
      </w:pPr>
      <w:r>
        <w:t>按角色配置菜单、数据和操作权限。</w:t>
      </w:r>
    </w:p>
    <w:p>
      <w:pPr>
        <w:pStyle w:val="ListBullet"/>
        <w:spacing w:after="40"/>
      </w:pPr>
      <w:r>
        <w:t>建议至少区分系统管理员、业务管理员、运维人员、只读查看人员等角色。</w:t>
      </w:r>
    </w:p>
    <w:p>
      <w:pPr>
        <w:pStyle w:val="ListBullet"/>
        <w:spacing w:after="40"/>
      </w:pPr>
      <w:r>
        <w:t>账号开通、停用、密码策略和权限变更需形成管理制度。</w:t>
      </w:r>
    </w:p>
    <w:p>
      <w:pPr>
        <w:pStyle w:val="ListBullet"/>
        <w:spacing w:after="40"/>
      </w:pPr>
      <w:r>
        <w:t>涉及批量导入、导出、删除和权限下发的操作建议增加二次确认和日志留存。</w:t>
      </w:r>
    </w:p>
    <w:p>
      <w:pPr>
        <w:pStyle w:val="Heading1"/>
      </w:pPr>
      <w:r>
        <w:t>7. 实施计划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5DEE8"/>
          <w:left w:val="single" w:sz="6" w:space="0" w:color="D5DEE8"/>
          <w:bottom w:val="single" w:sz="6" w:space="0" w:color="D5DEE8"/>
          <w:right w:val="single" w:sz="6" w:space="0" w:color="D5DEE8"/>
          <w:insideH w:val="single" w:sz="6" w:space="0" w:color="D5DEE8"/>
          <w:insideV w:val="single" w:sz="6" w:space="0" w:color="D5DEE8"/>
        </w:tblBorders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2498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阶段</w:t>
            </w:r>
          </w:p>
        </w:tc>
        <w:tc>
          <w:tcPr>
            <w:tcW w:type="dxa" w:w="2498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主要任务</w:t>
            </w:r>
          </w:p>
        </w:tc>
        <w:tc>
          <w:tcPr>
            <w:tcW w:type="dxa" w:w="2498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责任方</w:t>
            </w:r>
          </w:p>
        </w:tc>
        <w:tc>
          <w:tcPr>
            <w:tcW w:type="dxa" w:w="2498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输出物</w:t>
            </w:r>
          </w:p>
        </w:tc>
      </w:tr>
      <w:tr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现场确认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确认资源、网络、域名、证书、设备、人员数据、平台接口和验收口径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服务中心牵头，建设单位配合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现场确认纪要、待办清单、责任人</w:t>
            </w:r>
          </w:p>
        </w:tc>
      </w:tr>
      <w:tr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环境准备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开通ECS、RDS、SLB、WAF、安全组、域名、证书、白名单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服务中心/网络方/云平台方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资源清单、网络开通记录、账号权限</w:t>
            </w:r>
          </w:p>
        </w:tc>
      </w:tr>
      <w:tr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系统部署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部署应用、数据库、接口服务、日志、备份和基础配置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建设单位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部署记录、配置文档、初始账号</w:t>
            </w:r>
          </w:p>
        </w:tc>
      </w:tr>
      <w:tr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数据准备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整理组织架构、人员名单、人脸照片、设备清单和点位信息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服务中心提供，建设单位导入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数据导入模板、导入结果、异常清单</w:t>
            </w:r>
          </w:p>
        </w:tc>
      </w:tr>
      <w:tr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接口联调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联调设备、现有人脸平台、小程序、管理端和第三方接口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建设单位/设备厂商/平台方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联调记录、问题清单、接口日志</w:t>
            </w:r>
          </w:p>
        </w:tc>
      </w:tr>
      <w:tr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测试验证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功能测试、网络测试、权限测试、安全测试、备份恢复验证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建设单位，客户参与确认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测试报告、整改记录</w:t>
            </w:r>
          </w:p>
        </w:tc>
      </w:tr>
      <w:tr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试运行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小范围用户和设备试运行，观察稳定性和异常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服务中心/建设单位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试运行报告、优化项</w:t>
            </w:r>
          </w:p>
        </w:tc>
      </w:tr>
      <w:tr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上线验收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按确认的验收标准进行检查和签收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服务中心组织，建设单位配合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验收报告、交付文档、培训记录</w:t>
            </w:r>
          </w:p>
        </w:tc>
      </w:tr>
    </w:tbl>
    <w:p/>
    <w:p>
      <w:pPr>
        <w:spacing w:line="283" w:lineRule="auto" w:after="80"/>
      </w:pPr>
      <w:r>
        <w:t>建议现场确认后形成《技术确认纪要》，并在纪要中明确每个待办事项的责任方和完成时间。</w:t>
      </w:r>
    </w:p>
    <w:p>
      <w:pPr>
        <w:pStyle w:val="Heading1"/>
      </w:pPr>
      <w:r>
        <w:t>8. 测试与验收建议</w:t>
      </w:r>
    </w:p>
    <w:p>
      <w:pPr>
        <w:pStyle w:val="Heading2"/>
      </w:pPr>
      <w:r>
        <w:t>8.1 功能验收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5DEE8"/>
          <w:left w:val="single" w:sz="6" w:space="0" w:color="D5DEE8"/>
          <w:bottom w:val="single" w:sz="6" w:space="0" w:color="D5DEE8"/>
          <w:right w:val="single" w:sz="6" w:space="0" w:color="D5DEE8"/>
          <w:insideH w:val="single" w:sz="6" w:space="0" w:color="D5DEE8"/>
          <w:insideV w:val="single" w:sz="6" w:space="0" w:color="D5DEE8"/>
        </w:tblBorders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2498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验收项</w:t>
            </w:r>
          </w:p>
        </w:tc>
        <w:tc>
          <w:tcPr>
            <w:tcW w:type="dxa" w:w="2498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建议验收方式</w:t>
            </w:r>
          </w:p>
        </w:tc>
        <w:tc>
          <w:tcPr>
            <w:tcW w:type="dxa" w:w="2498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通过标准</w:t>
            </w:r>
          </w:p>
        </w:tc>
        <w:tc>
          <w:tcPr>
            <w:tcW w:type="dxa" w:w="2498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状态</w:t>
            </w:r>
          </w:p>
        </w:tc>
      </w:tr>
      <w:tr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设备接入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抽查设备在线状态、点位、识别记录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设备清单范围内可正常接入，异常设备有原因记录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待现场确认</w:t>
            </w:r>
          </w:p>
        </w:tc>
      </w:tr>
      <w:tr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人员导入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导入人员、组织架构、人脸照片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导入成功，异常数据可追踪和修正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待现场确认</w:t>
            </w:r>
          </w:p>
        </w:tc>
      </w:tr>
      <w:tr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权限配置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配置不同角色和人员权限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权限生效，越权访问被拦截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待现场确认</w:t>
            </w:r>
          </w:p>
        </w:tc>
      </w:tr>
      <w:tr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识别记录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产生、查询、导出识别记录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记录字段完整，时间、设备、人员可追溯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待现场确认</w:t>
            </w:r>
          </w:p>
        </w:tc>
      </w:tr>
      <w:tr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小程序访问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小程序访问接口和业务页面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HTTPS正常，合法域名配置完成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待现场确认</w:t>
            </w:r>
          </w:p>
        </w:tc>
      </w:tr>
      <w:tr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平台对接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与现有人脸平台联调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接口调用成功，失败有重试和日志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如有则确认</w:t>
            </w:r>
          </w:p>
        </w:tc>
      </w:tr>
      <w:tr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日志与备份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查看操作日志、接口日志和备份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日志可查询，备份策略生效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待现场确认</w:t>
            </w:r>
          </w:p>
        </w:tc>
      </w:tr>
    </w:tbl>
    <w:p/>
    <w:p>
      <w:pPr>
        <w:pStyle w:val="Heading2"/>
      </w:pPr>
      <w:r>
        <w:t>8.2 性能与稳定性验收</w:t>
      </w:r>
    </w:p>
    <w:p>
      <w:pPr>
        <w:spacing w:line="283" w:lineRule="auto" w:after="80"/>
      </w:pPr>
      <w:r>
        <w:t>由于当前缺少最终并发量、设备上报频率、人员规模和留存周期，以下指标建议作为现场讨论口径，不作为未确认承诺：</w:t>
      </w:r>
    </w:p>
    <w:p>
      <w:pPr>
        <w:pStyle w:val="ListBullet"/>
        <w:spacing w:after="40"/>
      </w:pPr>
      <w:r>
        <w:t>系统可用性目标：待确认。</w:t>
      </w:r>
    </w:p>
    <w:p>
      <w:pPr>
        <w:pStyle w:val="ListBullet"/>
        <w:spacing w:after="40"/>
      </w:pPr>
      <w:r>
        <w:t>设备在线率统计口径：待确认。</w:t>
      </w:r>
    </w:p>
    <w:p>
      <w:pPr>
        <w:pStyle w:val="ListBullet"/>
        <w:spacing w:after="40"/>
      </w:pPr>
      <w:r>
        <w:t>接口成功率统计口径：待确认。</w:t>
      </w:r>
    </w:p>
    <w:p>
      <w:pPr>
        <w:pStyle w:val="ListBullet"/>
        <w:spacing w:after="40"/>
      </w:pPr>
      <w:r>
        <w:t>人员/照片导入成功率口径：待确认。</w:t>
      </w:r>
    </w:p>
    <w:p>
      <w:pPr>
        <w:pStyle w:val="ListBullet"/>
        <w:spacing w:after="40"/>
      </w:pPr>
      <w:r>
        <w:t>识别记录留存周期：待确认。</w:t>
      </w:r>
    </w:p>
    <w:p>
      <w:pPr>
        <w:pStyle w:val="ListBullet"/>
        <w:spacing w:after="40"/>
      </w:pPr>
      <w:r>
        <w:t>备份恢复目标时间：待确认。</w:t>
      </w:r>
    </w:p>
    <w:p>
      <w:pPr>
        <w:spacing w:line="283" w:lineRule="auto" w:after="80"/>
      </w:pPr>
      <w:r>
        <w:t>现场建议明确每个指标的计算公式、样本范围、测试周期、异常排除规则和客户签收方式。</w:t>
      </w:r>
    </w:p>
    <w:p>
      <w:pPr>
        <w:pStyle w:val="Heading1"/>
      </w:pPr>
      <w:r>
        <w:t>9. 运维与交付</w:t>
      </w:r>
    </w:p>
    <w:p>
      <w:pPr>
        <w:pStyle w:val="Heading2"/>
      </w:pPr>
      <w:r>
        <w:t>9.1 运维责任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5DEE8"/>
          <w:left w:val="single" w:sz="6" w:space="0" w:color="D5DEE8"/>
          <w:bottom w:val="single" w:sz="6" w:space="0" w:color="D5DEE8"/>
          <w:right w:val="single" w:sz="6" w:space="0" w:color="D5DEE8"/>
          <w:insideH w:val="single" w:sz="6" w:space="0" w:color="D5DEE8"/>
          <w:insideV w:val="single" w:sz="6" w:space="0" w:color="D5DEE8"/>
        </w:tblBorders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2498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运维事项</w:t>
            </w:r>
          </w:p>
        </w:tc>
        <w:tc>
          <w:tcPr>
            <w:tcW w:type="dxa" w:w="2498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服务中心</w:t>
            </w:r>
          </w:p>
        </w:tc>
        <w:tc>
          <w:tcPr>
            <w:tcW w:type="dxa" w:w="2498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建设单位</w:t>
            </w:r>
          </w:p>
        </w:tc>
        <w:tc>
          <w:tcPr>
            <w:tcW w:type="dxa" w:w="2498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第三方/平台/网络方</w:t>
            </w:r>
          </w:p>
        </w:tc>
      </w:tr>
      <w:tr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云资源与账号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审批和授权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使用和配置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开通与资源侧支持</w:t>
            </w:r>
          </w:p>
        </w:tc>
      </w:tr>
      <w:tr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网络与白名单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提供网络策略和审批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提交端口/IP需求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配置路由、防火墙、NAT</w:t>
            </w:r>
          </w:p>
        </w:tc>
      </w:tr>
      <w:tr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应用系统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使用确认和问题反馈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部署、升级、故障处理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按需配合</w:t>
            </w:r>
          </w:p>
        </w:tc>
      </w:tr>
      <w:tr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设备接入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现场协调和设备清单确认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接入配置和联调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设备协议、固件、账号支持</w:t>
            </w:r>
          </w:p>
        </w:tc>
      </w:tr>
      <w:tr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数据授权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提供授权依据和使用范围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按授权导入和管理</w:t>
            </w:r>
          </w:p>
        </w:tc>
        <w:tc>
          <w:tcPr>
            <w:tcW w:type="dxa" w:w="2498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按需提供接口或模板</w:t>
            </w:r>
          </w:p>
        </w:tc>
      </w:tr>
      <w:tr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备份与日志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确认保留周期和审计要求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配置和导出</w:t>
            </w:r>
          </w:p>
        </w:tc>
        <w:tc>
          <w:tcPr>
            <w:tcW w:type="dxa" w:w="2498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提供云平台备份能力</w:t>
            </w:r>
          </w:p>
        </w:tc>
      </w:tr>
    </w:tbl>
    <w:p/>
    <w:p>
      <w:pPr>
        <w:pStyle w:val="Heading2"/>
      </w:pPr>
      <w:r>
        <w:t>9.2 交付文档</w:t>
      </w:r>
    </w:p>
    <w:p>
      <w:pPr>
        <w:spacing w:line="283" w:lineRule="auto" w:after="80"/>
      </w:pPr>
      <w:r>
        <w:t>建议项目上线前提交以下交付物：</w:t>
      </w:r>
    </w:p>
    <w:p>
      <w:pPr>
        <w:pStyle w:val="ListBullet"/>
        <w:spacing w:after="40"/>
      </w:pPr>
      <w:r>
        <w:t>系统部署说明。</w:t>
      </w:r>
    </w:p>
    <w:p>
      <w:pPr>
        <w:pStyle w:val="ListBullet"/>
        <w:spacing w:after="40"/>
      </w:pPr>
      <w:r>
        <w:t>网络端口与白名单清单。</w:t>
      </w:r>
    </w:p>
    <w:p>
      <w:pPr>
        <w:pStyle w:val="ListBullet"/>
        <w:spacing w:after="40"/>
      </w:pPr>
      <w:r>
        <w:t>设备接入清单。</w:t>
      </w:r>
    </w:p>
    <w:p>
      <w:pPr>
        <w:pStyle w:val="ListBullet"/>
        <w:spacing w:after="40"/>
      </w:pPr>
      <w:r>
        <w:t>人员与组织数据导入模板。</w:t>
      </w:r>
    </w:p>
    <w:p>
      <w:pPr>
        <w:pStyle w:val="ListBullet"/>
        <w:spacing w:after="40"/>
      </w:pPr>
      <w:r>
        <w:t>接口联调记录。</w:t>
      </w:r>
    </w:p>
    <w:p>
      <w:pPr>
        <w:pStyle w:val="ListBullet"/>
        <w:spacing w:after="40"/>
      </w:pPr>
      <w:r>
        <w:t>测试报告。</w:t>
      </w:r>
    </w:p>
    <w:p>
      <w:pPr>
        <w:pStyle w:val="ListBullet"/>
        <w:spacing w:after="40"/>
      </w:pPr>
      <w:r>
        <w:t>上线确认单。</w:t>
      </w:r>
    </w:p>
    <w:p>
      <w:pPr>
        <w:pStyle w:val="ListBullet"/>
        <w:spacing w:after="40"/>
      </w:pPr>
      <w:r>
        <w:t>用户操作手册。</w:t>
      </w:r>
    </w:p>
    <w:p>
      <w:pPr>
        <w:pStyle w:val="ListBullet"/>
        <w:spacing w:after="40"/>
      </w:pPr>
      <w:r>
        <w:t>运维手册。</w:t>
      </w:r>
    </w:p>
    <w:p>
      <w:pPr>
        <w:pStyle w:val="ListBullet"/>
        <w:spacing w:after="40"/>
      </w:pPr>
      <w:r>
        <w:t>培训签到和培训记录。</w:t>
      </w:r>
    </w:p>
    <w:p>
      <w:pPr>
        <w:pStyle w:val="ListBullet"/>
        <w:spacing w:after="40"/>
      </w:pPr>
      <w:r>
        <w:t>验收报告和客户签收页。</w:t>
      </w:r>
    </w:p>
    <w:p>
      <w:pPr>
        <w:pStyle w:val="Heading1"/>
      </w:pPr>
      <w:r>
        <w:t>10. 风险与应对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5DEE8"/>
          <w:left w:val="single" w:sz="6" w:space="0" w:color="D5DEE8"/>
          <w:bottom w:val="single" w:sz="6" w:space="0" w:color="D5DEE8"/>
          <w:right w:val="single" w:sz="6" w:space="0" w:color="D5DEE8"/>
          <w:insideH w:val="single" w:sz="6" w:space="0" w:color="D5DEE8"/>
          <w:insideV w:val="single" w:sz="6" w:space="0" w:color="D5DEE8"/>
        </w:tblBorders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3331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风险</w:t>
            </w:r>
          </w:p>
        </w:tc>
        <w:tc>
          <w:tcPr>
            <w:tcW w:type="dxa" w:w="3331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影响</w:t>
            </w:r>
          </w:p>
        </w:tc>
        <w:tc>
          <w:tcPr>
            <w:tcW w:type="dxa" w:w="3331"/>
            <w:vAlign w:val="center"/>
            <w:shd w:fill="17365D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建议应对</w:t>
            </w:r>
          </w:p>
        </w:tc>
      </w:tr>
      <w:tr>
        <w:tc>
          <w:tcPr>
            <w:tcW w:type="dxa" w:w="3331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云资源未按期准备</w:t>
            </w:r>
          </w:p>
        </w:tc>
        <w:tc>
          <w:tcPr>
            <w:tcW w:type="dxa" w:w="3331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影响部署和联调</w:t>
            </w:r>
          </w:p>
        </w:tc>
        <w:tc>
          <w:tcPr>
            <w:tcW w:type="dxa" w:w="3331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现场确认资源责任方、开通周期和备用方案</w:t>
            </w:r>
          </w:p>
        </w:tc>
      </w:tr>
      <w:tr>
        <w:tc>
          <w:tcPr>
            <w:tcW w:type="dxa" w:w="3331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域名/证书/白名单未完成</w:t>
            </w:r>
          </w:p>
        </w:tc>
        <w:tc>
          <w:tcPr>
            <w:tcW w:type="dxa" w:w="3331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影响小程序和管理端访问</w:t>
            </w:r>
          </w:p>
        </w:tc>
        <w:tc>
          <w:tcPr>
            <w:tcW w:type="dxa" w:w="3331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提前提供域名、证书、IP、端口清单</w:t>
            </w:r>
          </w:p>
        </w:tc>
      </w:tr>
      <w:tr>
        <w:tc>
          <w:tcPr>
            <w:tcW w:type="dxa" w:w="3331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设备协议或厂商支持不足</w:t>
            </w:r>
          </w:p>
        </w:tc>
        <w:tc>
          <w:tcPr>
            <w:tcW w:type="dxa" w:w="3331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影响56台设备接入</w:t>
            </w:r>
          </w:p>
        </w:tc>
        <w:tc>
          <w:tcPr>
            <w:tcW w:type="dxa" w:w="3331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要求设备厂商提供接口文档、测试账号和联调人员</w:t>
            </w:r>
          </w:p>
        </w:tc>
      </w:tr>
      <w:tr>
        <w:tc>
          <w:tcPr>
            <w:tcW w:type="dxa" w:w="3331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人员照片和授权不完整</w:t>
            </w:r>
          </w:p>
        </w:tc>
        <w:tc>
          <w:tcPr>
            <w:tcW w:type="dxa" w:w="3331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影响建库和合规</w:t>
            </w:r>
          </w:p>
        </w:tc>
        <w:tc>
          <w:tcPr>
            <w:tcW w:type="dxa" w:w="3331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明确照片来源、采集授权、导入模板和异常处理</w:t>
            </w:r>
          </w:p>
        </w:tc>
      </w:tr>
      <w:tr>
        <w:tc>
          <w:tcPr>
            <w:tcW w:type="dxa" w:w="3331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现有人脸平台接口不明确</w:t>
            </w:r>
          </w:p>
        </w:tc>
        <w:tc>
          <w:tcPr>
            <w:tcW w:type="dxa" w:w="3331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影响对接范围和工期</w:t>
            </w:r>
          </w:p>
        </w:tc>
        <w:tc>
          <w:tcPr>
            <w:tcW w:type="dxa" w:w="3331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现场确认是否对接、接口方式、测试环境和负责人</w:t>
            </w:r>
          </w:p>
        </w:tc>
      </w:tr>
      <w:tr>
        <w:tc>
          <w:tcPr>
            <w:tcW w:type="dxa" w:w="3331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验收指标不明确</w:t>
            </w:r>
          </w:p>
        </w:tc>
        <w:tc>
          <w:tcPr>
            <w:tcW w:type="dxa" w:w="3331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影响签收和后续争议</w:t>
            </w:r>
          </w:p>
        </w:tc>
        <w:tc>
          <w:tcPr>
            <w:tcW w:type="dxa" w:w="3331"/>
            <w:vAlign w:val="center"/>
            <w:shd w:fill="F7FAFC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现场确认指标、公式、样本、测试周期和签收方式</w:t>
            </w:r>
          </w:p>
        </w:tc>
      </w:tr>
      <w:tr>
        <w:tc>
          <w:tcPr>
            <w:tcW w:type="dxa" w:w="3331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网络安全策略过严或变更频繁</w:t>
            </w:r>
          </w:p>
        </w:tc>
        <w:tc>
          <w:tcPr>
            <w:tcW w:type="dxa" w:w="3331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影响联调和上线</w:t>
            </w:r>
          </w:p>
        </w:tc>
        <w:tc>
          <w:tcPr>
            <w:tcW w:type="dxa" w:w="3331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sz w:val="16"/>
              </w:rPr>
              <w:t>建立网络变更窗口和联调问题响应机制</w:t>
            </w:r>
          </w:p>
        </w:tc>
      </w:tr>
    </w:tbl>
    <w:p/>
    <w:p>
      <w:pPr>
        <w:pStyle w:val="Heading1"/>
      </w:pPr>
      <w:r>
        <w:t>11. 现场沟通确认清单</w:t>
      </w:r>
    </w:p>
    <w:p>
      <w:pPr>
        <w:pStyle w:val="Heading2"/>
      </w:pPr>
      <w:r>
        <w:t>11.1 客户需确认</w:t>
      </w:r>
    </w:p>
    <w:p>
      <w:pPr>
        <w:pStyle w:val="ListBullet"/>
        <w:spacing w:after="40"/>
      </w:pPr>
      <w:r>
        <w:t>部署环境：政务外网、政务云、专有云或其他合规资源。</w:t>
      </w:r>
    </w:p>
    <w:p>
      <w:pPr>
        <w:pStyle w:val="ListBullet"/>
        <w:spacing w:after="40"/>
      </w:pPr>
      <w:r>
        <w:t>云资源：ECS、RDS、SLB、WAF、OSS、Redis是否由客户提供。</w:t>
      </w:r>
    </w:p>
    <w:p>
      <w:pPr>
        <w:pStyle w:val="ListBullet"/>
        <w:spacing w:after="40"/>
      </w:pPr>
      <w:r>
        <w:t>网络：专线/VPN/固定出口IP、设备网段、管理端访问范围、白名单。</w:t>
      </w:r>
    </w:p>
    <w:p>
      <w:pPr>
        <w:pStyle w:val="ListBullet"/>
        <w:spacing w:after="40"/>
      </w:pPr>
      <w:r>
        <w:t>域名与证书：是否已有政务外网域名、备案主体、HTTPS证书。</w:t>
      </w:r>
    </w:p>
    <w:p>
      <w:pPr>
        <w:pStyle w:val="ListBullet"/>
        <w:spacing w:after="40"/>
      </w:pPr>
      <w:r>
        <w:t>设备：56台设备清单、点位、IP、厂商、型号、协议和联调负责人。</w:t>
      </w:r>
    </w:p>
    <w:p>
      <w:pPr>
        <w:pStyle w:val="ListBullet"/>
        <w:spacing w:after="40"/>
      </w:pPr>
      <w:r>
        <w:t>人员数据：组织架构、人员名单、人脸照片、采集授权和更新机制。</w:t>
      </w:r>
    </w:p>
    <w:p>
      <w:pPr>
        <w:pStyle w:val="ListBullet"/>
        <w:spacing w:after="40"/>
      </w:pPr>
      <w:r>
        <w:t>小程序：主体、合法域名、上线审批、发布窗口。</w:t>
      </w:r>
    </w:p>
    <w:p>
      <w:pPr>
        <w:pStyle w:val="ListBullet"/>
        <w:spacing w:after="40"/>
      </w:pPr>
      <w:r>
        <w:t>现有人脸平台：是否对接、接口文档、测试环境、账号、QPS限制和负责人。</w:t>
      </w:r>
    </w:p>
    <w:p>
      <w:pPr>
        <w:pStyle w:val="ListBullet"/>
        <w:spacing w:after="40"/>
      </w:pPr>
      <w:r>
        <w:t>安全合规：数据留存周期、权限范围、日志留存、备份策略。</w:t>
      </w:r>
    </w:p>
    <w:p>
      <w:pPr>
        <w:pStyle w:val="ListBullet"/>
        <w:spacing w:after="40"/>
      </w:pPr>
      <w:r>
        <w:t>验收：验收指标、测试样本、测试周期、异常排除规则和签收人。</w:t>
      </w:r>
    </w:p>
    <w:p>
      <w:pPr>
        <w:pStyle w:val="Heading2"/>
      </w:pPr>
      <w:r>
        <w:t>11.2 建设单位需准备</w:t>
      </w:r>
    </w:p>
    <w:p>
      <w:pPr>
        <w:pStyle w:val="ListBullet"/>
        <w:spacing w:after="40"/>
      </w:pPr>
      <w:r>
        <w:t>推荐资源配置表。</w:t>
      </w:r>
    </w:p>
    <w:p>
      <w:pPr>
        <w:pStyle w:val="ListBullet"/>
        <w:spacing w:after="40"/>
      </w:pPr>
      <w:r>
        <w:t>网络端口和白名单需求表。</w:t>
      </w:r>
    </w:p>
    <w:p>
      <w:pPr>
        <w:pStyle w:val="ListBullet"/>
        <w:spacing w:after="40"/>
      </w:pPr>
      <w:r>
        <w:t>设备接入字段模板。</w:t>
      </w:r>
    </w:p>
    <w:p>
      <w:pPr>
        <w:pStyle w:val="ListBullet"/>
        <w:spacing w:after="40"/>
      </w:pPr>
      <w:r>
        <w:t>人员和组织导入模板。</w:t>
      </w:r>
    </w:p>
    <w:p>
      <w:pPr>
        <w:pStyle w:val="ListBullet"/>
        <w:spacing w:after="40"/>
      </w:pPr>
      <w:r>
        <w:t>现有人脸平台接口需求清单。</w:t>
      </w:r>
    </w:p>
    <w:p>
      <w:pPr>
        <w:pStyle w:val="ListBullet"/>
        <w:spacing w:after="40"/>
      </w:pPr>
      <w:r>
        <w:t>上线测试和验收清单。</w:t>
      </w:r>
    </w:p>
    <w:p>
      <w:pPr>
        <w:pStyle w:val="ListBullet"/>
        <w:spacing w:after="40"/>
      </w:pPr>
      <w:r>
        <w:t>运维交付物清单。</w:t>
      </w:r>
    </w:p>
    <w:p>
      <w:pPr>
        <w:pStyle w:val="Heading1"/>
      </w:pPr>
      <w:r>
        <w:t>12. 现场建议话术</w:t>
      </w:r>
    </w:p>
    <w:p>
      <w:pPr>
        <w:spacing w:line="283" w:lineRule="auto" w:after="80"/>
      </w:pPr>
      <w:r>
        <w:t>建议开场口径：</w:t>
      </w:r>
    </w:p>
    <w:p>
      <w:pPr>
        <w:spacing w:line="283" w:lineRule="auto" w:after="80"/>
      </w:pPr>
      <w:r>
        <w:t>“今天我们重点不是把所有技术细节一次讲完，而是把系统能不能部署、能不能联网、能不能接设备、能不能拿到人员和人脸数据、是否需要对接现有人脸平台、以及上线如何验收这几件事确认清楚。确认后我们会形成技术确认纪要，把资源、网络、数据、接口、验收和责任方逐项落下来。”</w:t>
      </w:r>
    </w:p>
    <w:p>
      <w:pPr>
        <w:spacing w:line="283" w:lineRule="auto" w:after="80"/>
      </w:pPr>
      <w:r>
        <w:t>建议对资源口径：</w:t>
      </w:r>
    </w:p>
    <w:p>
      <w:pPr>
        <w:spacing w:line="283" w:lineRule="auto" w:after="80"/>
      </w:pPr>
      <w:r>
        <w:t>“当前方案按2台应用服务器、2台高可用数据库、1套负载入口作为起步建议。最终配置可以根据贵方现有云资源调整，但数据库、缓存和内部管理端口建议不开放公网，外部入口原则上只开放HTTPS。”</w:t>
      </w:r>
    </w:p>
    <w:p>
      <w:pPr>
        <w:spacing w:line="283" w:lineRule="auto" w:after="80"/>
      </w:pPr>
      <w:r>
        <w:t>建议对对接口径：</w:t>
      </w:r>
    </w:p>
    <w:p>
      <w:pPr>
        <w:spacing w:line="283" w:lineRule="auto" w:after="80"/>
      </w:pPr>
      <w:r>
        <w:t>“如果贵方已有统一人脸平台，我们优先按接口或SDK对接，不重复建设主数据；如果暂时没有接口或接口周期较长，首期可以按独立建设模式落地，同时预留后续对接能力。”</w:t>
      </w:r>
    </w:p>
    <w:p>
      <w:pPr>
        <w:spacing w:line="283" w:lineRule="auto" w:after="80"/>
      </w:pPr>
      <w:r>
        <w:t>建议对验收口径：</w:t>
      </w:r>
    </w:p>
    <w:p>
      <w:pPr>
        <w:spacing w:line="283" w:lineRule="auto" w:after="80"/>
      </w:pPr>
      <w:r>
        <w:t>“验收指标建议今天先确定口径，例如设备接入范围、人员导入范围、识别记录字段、接口成功率统计方式、日志和备份策略。没有公式、样本和测试周期的指标，我们不建议写成硬承诺，避免后续验收口径不一致。”</w:t>
      </w:r>
    </w:p>
    <w:p>
      <w:pPr>
        <w:pStyle w:val="Heading1"/>
      </w:pPr>
      <w:r>
        <w:t>13. 结论</w:t>
      </w:r>
    </w:p>
    <w:p>
      <w:pPr>
        <w:spacing w:line="283" w:lineRule="auto" w:after="80"/>
      </w:pPr>
      <w:r>
        <w:t>城市副中心项目人脸识别系统建议以“统一入口、内外隔离、双机高可用、最小端口开放、权限可控、日志可追溯、验收可量化”为建设原则。</w:t>
      </w:r>
    </w:p>
    <w:p>
      <w:pPr>
        <w:spacing w:line="283" w:lineRule="auto" w:after="80"/>
      </w:pPr>
      <w:r>
        <w:t>现场沟通的关键成果应是形成一份客户确认的技术边界清单，包括资源、网络、域名证书、设备、人员数据、现有人脸平台、上线窗口、验收指标和各方责任。只要这些前置条件确认清楚，后续部署、联调、试运行和验收就能进入可计划、可跟踪、可签收的实施状态。</w:t>
      </w:r>
    </w:p>
    <w:sectPr w:rsidR="00FC693F" w:rsidRPr="0006063C" w:rsidSect="00034616">
      <w:footerReference w:type="default" r:id="rId10"/>
      <w:pgSz w:w="12240" w:h="15840"/>
      <w:pgMar w:top="1080" w:right="1123" w:bottom="1080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color w:val="7F7F7F"/>
        <w:sz w:val="16"/>
      </w:rPr>
      <w:t>城市副中心项目人脸识别系统精细版技术方案 - 现场沟通版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F5496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Microsoft YaHei" w:hAnsi="Microsoft YaHei" w:eastAsia="Microsoft YaHei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Microsoft YaHei" w:hAnsi="Microsoft YaHei" w:eastAsia="Microsoft YaHei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