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center"/>
      </w:pPr>
      <w:r>
        <w:rPr>
          <w:rFonts w:ascii="Noto Sans CJK SC" w:hAnsi="Noto Sans CJK SC" w:eastAsia="Noto Sans CJK SC" w:cs="Noto Sans CJK SC"/>
          <w:b/>
          <w:color w:val="1F4E79"/>
          <w:sz w:val="44"/>
        </w:rPr>
        <w:t>AI原生协作与项目交付对齐会</w:t>
      </w:r>
    </w:p>
    <w:p>
      <w:pPr>
        <w:spacing w:after="240"/>
        <w:jc w:val="center"/>
      </w:pPr>
      <w:r>
        <w:rPr>
          <w:rFonts w:ascii="Noto Sans CJK SC" w:hAnsi="Noto Sans CJK SC" w:eastAsia="Noto Sans CJK SC" w:cs="Noto Sans CJK SC"/>
          <w:b/>
          <w:color w:val="667085"/>
          <w:sz w:val="25"/>
        </w:rPr>
        <w:t>会议纪要｜Codex App 可执行版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1814"/>
            <w:shd w:fill="D9EAF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8"/>
              </w:rPr>
              <w:t>会议主题</w:t>
            </w:r>
          </w:p>
        </w:tc>
        <w:tc>
          <w:tcPr>
            <w:tcW w:type="dxa" w:w="737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8"/>
              </w:rPr>
              <w:t>AI 原生协作与项目交付对齐会</w:t>
            </w:r>
          </w:p>
        </w:tc>
      </w:tr>
      <w:tr>
        <w:tc>
          <w:tcPr>
            <w:tcW w:type="dxa" w:w="1814"/>
            <w:shd w:fill="D9EAF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8"/>
              </w:rPr>
              <w:t>整理版本</w:t>
            </w:r>
          </w:p>
        </w:tc>
        <w:tc>
          <w:tcPr>
            <w:tcW w:type="dxa" w:w="737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8"/>
              </w:rPr>
              <w:t>会议纪要 + Codex App 可执行任务拆解版</w:t>
            </w:r>
          </w:p>
        </w:tc>
      </w:tr>
      <w:tr>
        <w:tc>
          <w:tcPr>
            <w:tcW w:type="dxa" w:w="1814"/>
            <w:shd w:fill="D9EAF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8"/>
              </w:rPr>
              <w:t>整理日期</w:t>
            </w:r>
          </w:p>
        </w:tc>
        <w:tc>
          <w:tcPr>
            <w:tcW w:type="dxa" w:w="737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8"/>
              </w:rPr>
              <w:t>2026-06-01</w:t>
            </w:r>
          </w:p>
        </w:tc>
      </w:tr>
      <w:tr>
        <w:tc>
          <w:tcPr>
            <w:tcW w:type="dxa" w:w="1814"/>
            <w:shd w:fill="D9EAF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8"/>
              </w:rPr>
              <w:t>资料来源</w:t>
            </w:r>
          </w:p>
        </w:tc>
        <w:tc>
          <w:tcPr>
            <w:tcW w:type="dxa" w:w="737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8"/>
              </w:rPr>
              <w:t>上传的《纪要_AI原生协作与项目交付对齐会.pdf》与《原文_AI原生协作与项目交付对齐会.pdf》</w:t>
            </w:r>
          </w:p>
        </w:tc>
      </w:tr>
      <w:tr>
        <w:tc>
          <w:tcPr>
            <w:tcW w:type="dxa" w:w="1814"/>
            <w:shd w:fill="D9EAF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8"/>
              </w:rPr>
              <w:t>核心主线</w:t>
            </w:r>
          </w:p>
        </w:tc>
        <w:tc>
          <w:tcPr>
            <w:tcW w:type="dxa" w:w="737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8"/>
              </w:rPr>
              <w:t>AI Native 协作、关键项目交付风险闭环、产品标准化与研发流程提效</w:t>
            </w:r>
          </w:p>
        </w:tc>
      </w:tr>
      <w:tr>
        <w:tc>
          <w:tcPr>
            <w:tcW w:type="dxa" w:w="1814"/>
            <w:shd w:fill="D9EAF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8"/>
              </w:rPr>
              <w:t>适用对象</w:t>
            </w:r>
          </w:p>
        </w:tc>
        <w:tc>
          <w:tcPr>
            <w:tcW w:type="dxa" w:w="737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8"/>
              </w:rPr>
              <w:t>产品、研发、交付、销售、项目管理及使用 Codex App 承接工程任务的成员</w:t>
            </w:r>
          </w:p>
        </w:tc>
      </w:tr>
    </w:tbl>
    <w:p>
      <w:pPr>
        <w:spacing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482"/>
            <w:shd w:fill="EEF6FC"/>
            <w:tcBorders>
              <w:top w:sz="8" w:val="single" w:color="1F4E79"/>
              <w:bottom w:sz="8" w:val="single" w:color="1F4E79"/>
              <w:left w:sz="8" w:val="single" w:color="1F4E79"/>
              <w:right w:sz="8" w:val="single" w:color="1F4E79"/>
            </w:tcBorders>
          </w:tcPr>
          <w:p>
            <w:pPr>
              <w:spacing w:after="80"/>
            </w:pPr>
            <w:r>
              <w:rPr>
                <w:rFonts w:ascii="Noto Sans CJK SC" w:hAnsi="Noto Sans CJK SC" w:eastAsia="Noto Sans CJK SC" w:cs="Noto Sans CJK SC"/>
                <w:b/>
                <w:color w:val="1F4E79"/>
                <w:sz w:val="21"/>
              </w:rPr>
              <w:t>一句话总结</w:t>
            </w:r>
          </w:p>
          <w:p>
            <w:pPr>
              <w:spacing w:after="40" w:line="252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9"/>
              </w:rPr>
              <w:t>• 本次会议把“关键项目交付风险”与“AI Native 协作能力建设”放在同一张图里：短期要用量化指标、排期和硬件适配保证石家庄/国庆/滨州交付；长期要把需求讨论、开发经验、测试上线和复盘沉淀到 Agent/Codex 知识库，让 AI 逐步承担重复性研发与文档工作。</w:t>
            </w:r>
          </w:p>
        </w:tc>
      </w:tr>
    </w:tbl>
    <w:p>
      <w:pPr>
        <w:spacing w:after="40"/>
      </w:pPr>
    </w:p>
    <w:p>
      <w:pPr>
        <w:pStyle w:val="Heading1"/>
        <w:keepNext/>
        <w:spacing w:before="280" w:after="120"/>
      </w:pPr>
      <w:r>
        <w:t>目录</w:t>
      </w:r>
    </w:p>
    <w:p>
      <w:pPr>
        <w:spacing w:after="20"/>
      </w:pPr>
      <w:r>
        <w:rPr>
          <w:rFonts w:ascii="Noto Sans CJK SC" w:hAnsi="Noto Sans CJK SC" w:eastAsia="Noto Sans CJK SC" w:cs="Noto Sans CJK SC"/>
          <w:color w:val="1F2937"/>
          <w:sz w:val="20"/>
        </w:rPr>
        <w:t>1. 一页结论</w:t>
      </w:r>
    </w:p>
    <w:p>
      <w:pPr>
        <w:spacing w:after="20"/>
      </w:pPr>
      <w:r>
        <w:rPr>
          <w:rFonts w:ascii="Noto Sans CJK SC" w:hAnsi="Noto Sans CJK SC" w:eastAsia="Noto Sans CJK SC" w:cs="Noto Sans CJK SC"/>
          <w:color w:val="1F2937"/>
          <w:sz w:val="20"/>
        </w:rPr>
        <w:t>2. 会议背景与目标</w:t>
      </w:r>
    </w:p>
    <w:p>
      <w:pPr>
        <w:spacing w:after="20"/>
      </w:pPr>
      <w:r>
        <w:rPr>
          <w:rFonts w:ascii="Noto Sans CJK SC" w:hAnsi="Noto Sans CJK SC" w:eastAsia="Noto Sans CJK SC" w:cs="Noto Sans CJK SC"/>
          <w:color w:val="1F2937"/>
          <w:sz w:val="20"/>
        </w:rPr>
        <w:t>3. 关键决议与执行口径</w:t>
      </w:r>
    </w:p>
    <w:p>
      <w:pPr>
        <w:spacing w:after="20"/>
      </w:pPr>
      <w:r>
        <w:rPr>
          <w:rFonts w:ascii="Noto Sans CJK SC" w:hAnsi="Noto Sans CJK SC" w:eastAsia="Noto Sans CJK SC" w:cs="Noto Sans CJK SC"/>
          <w:color w:val="1F2937"/>
          <w:sz w:val="20"/>
        </w:rPr>
        <w:t>4. 分项目会议纪要</w:t>
      </w:r>
    </w:p>
    <w:p>
      <w:pPr>
        <w:spacing w:after="20"/>
      </w:pPr>
      <w:r>
        <w:rPr>
          <w:rFonts w:ascii="Noto Sans CJK SC" w:hAnsi="Noto Sans CJK SC" w:eastAsia="Noto Sans CJK SC" w:cs="Noto Sans CJK SC"/>
          <w:color w:val="1F2937"/>
          <w:sz w:val="20"/>
        </w:rPr>
        <w:t>5. AI Native 与 Codex App 落地方案</w:t>
      </w:r>
    </w:p>
    <w:p>
      <w:pPr>
        <w:spacing w:after="20"/>
      </w:pPr>
      <w:r>
        <w:rPr>
          <w:rFonts w:ascii="Noto Sans CJK SC" w:hAnsi="Noto Sans CJK SC" w:eastAsia="Noto Sans CJK SC" w:cs="Noto Sans CJK SC"/>
          <w:color w:val="1F2937"/>
          <w:sz w:val="20"/>
        </w:rPr>
        <w:t>6. Codex App 可直接执行的任务包</w:t>
      </w:r>
    </w:p>
    <w:p>
      <w:pPr>
        <w:spacing w:after="20"/>
      </w:pPr>
      <w:r>
        <w:rPr>
          <w:rFonts w:ascii="Noto Sans CJK SC" w:hAnsi="Noto Sans CJK SC" w:eastAsia="Noto Sans CJK SC" w:cs="Noto Sans CJK SC"/>
          <w:color w:val="1F2937"/>
          <w:sz w:val="20"/>
        </w:rPr>
        <w:t>7. 待办事项总表</w:t>
      </w:r>
    </w:p>
    <w:p>
      <w:pPr>
        <w:spacing w:after="20"/>
      </w:pPr>
      <w:r>
        <w:rPr>
          <w:rFonts w:ascii="Noto Sans CJK SC" w:hAnsi="Noto Sans CJK SC" w:eastAsia="Noto Sans CJK SC" w:cs="Noto Sans CJK SC"/>
          <w:color w:val="1F2937"/>
          <w:sz w:val="20"/>
        </w:rPr>
        <w:t>8. 风险、依赖与下次会议建议</w:t>
      </w:r>
    </w:p>
    <w:p>
      <w:pPr>
        <w:pStyle w:val="Heading1"/>
        <w:keepNext/>
        <w:spacing w:before="280" w:after="120"/>
      </w:pPr>
      <w:r>
        <w:t>1. 一页结论</w:t>
      </w:r>
    </w:p>
    <w:p>
      <w:pPr>
        <w:pStyle w:val="ListBullet"/>
        <w:spacing w:after="40" w:line="259" w:lineRule="auto"/>
      </w:pPr>
      <w:r>
        <w:rPr>
          <w:rFonts w:ascii="Noto Sans CJK SC" w:hAnsi="Noto Sans CJK SC" w:eastAsia="Noto Sans CJK SC" w:cs="Noto Sans CJK SC"/>
          <w:b/>
          <w:color w:val="1F2937"/>
          <w:sz w:val="20"/>
        </w:rPr>
        <w:t>防退货：</w:t>
      </w:r>
      <w:r>
        <w:rPr>
          <w:rFonts w:ascii="Noto Sans CJK SC" w:hAnsi="Noto Sans CJK SC" w:eastAsia="Noto Sans CJK SC" w:cs="Noto Sans CJK SC"/>
          <w:color w:val="1F2937"/>
          <w:sz w:val="20"/>
        </w:rPr>
        <w:t>石家庄项目必须形成可签收的量化验收口径，核心指标为产品学习周期 2-4 周、目标准确率 90%-95%，写进交付文档并交销售王一鸣向客户确认。</w:t>
      </w:r>
    </w:p>
    <w:p>
      <w:pPr>
        <w:pStyle w:val="ListBullet"/>
        <w:spacing w:after="40" w:line="259" w:lineRule="auto"/>
      </w:pPr>
      <w:r>
        <w:rPr>
          <w:rFonts w:ascii="Noto Sans CJK SC" w:hAnsi="Noto Sans CJK SC" w:eastAsia="Noto Sans CJK SC" w:cs="Noto Sans CJK SC"/>
          <w:b/>
          <w:color w:val="1F2937"/>
          <w:sz w:val="20"/>
        </w:rPr>
        <w:t>保交付：</w:t>
      </w:r>
      <w:r>
        <w:rPr>
          <w:rFonts w:ascii="Noto Sans CJK SC" w:hAnsi="Noto Sans CJK SC" w:eastAsia="Noto Sans CJK SC" w:cs="Noto Sans CJK SC"/>
          <w:color w:val="1F2937"/>
          <w:sz w:val="20"/>
        </w:rPr>
        <w:t>国庆一体机和滨州优卡特称重台是近期交付风险最高事项；国庆需全本地化人脸学习/识别，滨州需 60 台称重台适配并卡住 6 月 20 日/月底节点。</w:t>
      </w:r>
    </w:p>
    <w:p>
      <w:pPr>
        <w:pStyle w:val="ListBullet"/>
        <w:spacing w:after="40" w:line="259" w:lineRule="auto"/>
      </w:pPr>
      <w:r>
        <w:rPr>
          <w:rFonts w:ascii="Noto Sans CJK SC" w:hAnsi="Noto Sans CJK SC" w:eastAsia="Noto Sans CJK SC" w:cs="Noto Sans CJK SC"/>
          <w:b/>
          <w:color w:val="1F2937"/>
          <w:sz w:val="20"/>
        </w:rPr>
        <w:t>建能力：</w:t>
      </w:r>
      <w:r>
        <w:rPr>
          <w:rFonts w:ascii="Noto Sans CJK SC" w:hAnsi="Noto Sans CJK SC" w:eastAsia="Noto Sans CJK SC" w:cs="Noto Sans CJK SC"/>
          <w:color w:val="1F2937"/>
          <w:sz w:val="20"/>
        </w:rPr>
        <w:t>团队需要把会议录音、方案评审、代码经验、上线问题喂给 CodeS/ChatGPT/Codex App，形成专属知识库，让 AI 先做需求分析、方案生成、开发、测试和上线说明。</w:t>
      </w:r>
    </w:p>
    <w:p>
      <w:pPr>
        <w:pStyle w:val="ListBullet"/>
        <w:spacing w:after="40" w:line="259" w:lineRule="auto"/>
      </w:pPr>
      <w:r>
        <w:rPr>
          <w:rFonts w:ascii="Noto Sans CJK SC" w:hAnsi="Noto Sans CJK SC" w:eastAsia="Noto Sans CJK SC" w:cs="Noto Sans CJK SC"/>
          <w:b/>
          <w:color w:val="1F2937"/>
          <w:sz w:val="20"/>
        </w:rPr>
        <w:t>控范围：</w:t>
      </w:r>
      <w:r>
        <w:rPr>
          <w:rFonts w:ascii="Noto Sans CJK SC" w:hAnsi="Noto Sans CJK SC" w:eastAsia="Noto Sans CJK SC" w:cs="Noto Sans CJK SC"/>
          <w:color w:val="1F2937"/>
          <w:sz w:val="20"/>
        </w:rPr>
        <w:t>标准化产品优先，定制化需求必须可配置、可复用、可回流；未经研发排期确认的客户承诺不得直接压给研发。</w:t>
      </w:r>
    </w:p>
    <w:p>
      <w:pPr>
        <w:pStyle w:val="ListBullet"/>
        <w:spacing w:after="40" w:line="259" w:lineRule="auto"/>
      </w:pPr>
      <w:r>
        <w:rPr>
          <w:rFonts w:ascii="Noto Sans CJK SC" w:hAnsi="Noto Sans CJK SC" w:eastAsia="Noto Sans CJK SC" w:cs="Noto Sans CJK SC"/>
          <w:b/>
          <w:color w:val="1F2937"/>
          <w:sz w:val="20"/>
        </w:rPr>
        <w:t>守资产：</w:t>
      </w:r>
      <w:r>
        <w:rPr>
          <w:rFonts w:ascii="Noto Sans CJK SC" w:hAnsi="Noto Sans CJK SC" w:eastAsia="Noto Sans CJK SC" w:cs="Noto Sans CJK SC"/>
          <w:color w:val="1F2937"/>
          <w:sz w:val="20"/>
        </w:rPr>
        <w:t>软著申请要提速至每周 1 个，CNAS/CB 按营养结算、食安、金融算三大系统推进，并补充专利/认证壁垒。</w:t>
      </w:r>
    </w:p>
    <w:p>
      <w:pPr>
        <w:pStyle w:val="Heading1"/>
        <w:keepNext/>
        <w:spacing w:before="280" w:after="120"/>
      </w:pPr>
      <w:r>
        <w:t>2. 会议背景与目标</w:t>
      </w:r>
    </w:p>
    <w:p>
      <w:pPr>
        <w:pStyle w:val="BodyText"/>
        <w:spacing w:after="60" w:line="276" w:lineRule="auto"/>
      </w:pPr>
      <w:r>
        <w:rPr>
          <w:rFonts w:ascii="Noto Sans CJK SC" w:hAnsi="Noto Sans CJK SC" w:eastAsia="Noto Sans CJK SC" w:cs="Noto Sans CJK SC"/>
          <w:color w:val="1F2937"/>
          <w:sz w:val="21"/>
        </w:rPr>
        <w:t>本次会议围绕两个层次展开：一是解决当前项目交付混乱、验收口径不清、硬件适配排期不稳的问题；二是推动团队从传统项目制协作，转向 AI Native 协作，即让 AI Agent/Codex App 承接需求整理、方案拆解、代码初稿、测试和文档产出，团队成员转为判断、审核和决策。</w:t>
      </w:r>
    </w:p>
    <w:p>
      <w:pPr>
        <w:pStyle w:val="BodyText"/>
        <w:spacing w:after="60" w:line="276" w:lineRule="auto"/>
      </w:pPr>
      <w:r>
        <w:rPr>
          <w:rFonts w:ascii="Noto Sans CJK SC" w:hAnsi="Noto Sans CJK SC" w:eastAsia="Noto Sans CJK SC" w:cs="Noto Sans CJK SC"/>
          <w:color w:val="1F2937"/>
          <w:sz w:val="21"/>
        </w:rPr>
        <w:t>会议涉及的近期关键项目包括：石家庄项目、国庆项目一体机、滨州新月医院称重台、监管端 PC 重构、软著/CNAS/CB 认证以及本周上线和报销流程。</w:t>
      </w:r>
    </w:p>
    <w:p>
      <w:pPr>
        <w:pStyle w:val="Heading1"/>
        <w:keepNext/>
        <w:spacing w:before="280" w:after="120"/>
      </w:pPr>
      <w:r>
        <w:t>3. 关键决议与执行口径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153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议题</w:t>
            </w:r>
          </w:p>
        </w:tc>
        <w:tc>
          <w:tcPr>
            <w:tcW w:type="dxa" w:w="357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会议结论</w:t>
            </w:r>
          </w:p>
        </w:tc>
        <w:tc>
          <w:tcPr>
            <w:tcW w:type="dxa" w:w="408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执行口径</w:t>
            </w:r>
          </w:p>
        </w:tc>
      </w:tr>
      <w:tr>
        <w:tc>
          <w:tcPr>
            <w:tcW w:type="dxa" w:w="153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7"/>
              </w:rPr>
              <w:t>交付验收</w:t>
            </w:r>
          </w:p>
        </w:tc>
        <w:tc>
          <w:tcPr>
            <w:tcW w:type="dxa" w:w="357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石家庄项目必须形成可验收、可签收的量化指标文档。</w:t>
            </w:r>
          </w:p>
        </w:tc>
        <w:tc>
          <w:tcPr>
            <w:tcW w:type="dxa" w:w="408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写入学习周期、学习次数、准确率口径、客户确认页；交销售王一鸣用于客户现场验收。</w:t>
            </w:r>
          </w:p>
        </w:tc>
      </w:tr>
      <w:tr>
        <w:tc>
          <w:tcPr>
            <w:tcW w:type="dxa" w:w="153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7"/>
              </w:rPr>
              <w:t>排期管理</w:t>
            </w:r>
          </w:p>
        </w:tc>
        <w:tc>
          <w:tcPr>
            <w:tcW w:type="dxa" w:w="357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项目节点以研发/产品评估后的排期为准，销售承诺不得绕过排期。</w:t>
            </w:r>
          </w:p>
        </w:tc>
        <w:tc>
          <w:tcPr>
            <w:tcW w:type="dxa" w:w="408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清涛/研发评估真实工期后同步销售；急事同步 IT 管理群；合同清单前置评审。</w:t>
            </w:r>
          </w:p>
        </w:tc>
      </w:tr>
      <w:tr>
        <w:tc>
          <w:tcPr>
            <w:tcW w:type="dxa" w:w="153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7"/>
              </w:rPr>
              <w:t>AI Native</w:t>
            </w:r>
          </w:p>
        </w:tc>
        <w:tc>
          <w:tcPr>
            <w:tcW w:type="dxa" w:w="357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团队从“人拆需求、人写代码”转向“AI 先分析和执行，人做判断与审核”。</w:t>
            </w:r>
          </w:p>
        </w:tc>
        <w:tc>
          <w:tcPr>
            <w:tcW w:type="dxa" w:w="408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所有需求讨论、录音、评审、上线问题进入知识库，沉淀团队风格与业务逻辑。</w:t>
            </w:r>
          </w:p>
        </w:tc>
      </w:tr>
      <w:tr>
        <w:tc>
          <w:tcPr>
            <w:tcW w:type="dxa" w:w="153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7"/>
              </w:rPr>
              <w:t>标准化边界</w:t>
            </w:r>
          </w:p>
        </w:tc>
        <w:tc>
          <w:tcPr>
            <w:tcW w:type="dxa" w:w="357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标准产品优先，定制需求必须可配置、可复用、可回流标准产品。</w:t>
            </w:r>
          </w:p>
        </w:tc>
        <w:tc>
          <w:tcPr>
            <w:tcW w:type="dxa" w:w="408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例如报餐/爆仓需求优先通过后台策略配置解决，避免一次性定制。</w:t>
            </w:r>
          </w:p>
        </w:tc>
      </w:tr>
      <w:tr>
        <w:tc>
          <w:tcPr>
            <w:tcW w:type="dxa" w:w="153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7"/>
              </w:rPr>
              <w:t>硬件适配</w:t>
            </w:r>
          </w:p>
        </w:tc>
        <w:tc>
          <w:tcPr>
            <w:tcW w:type="dxa" w:w="357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优卡特一体机/称重台适配是近期交付风险点。</w:t>
            </w:r>
          </w:p>
        </w:tc>
        <w:tc>
          <w:tcPr>
            <w:tcW w:type="dxa" w:w="408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优先样机到货、SDK/协议确认、硬件验证、软件联调，再谈样式优化。</w:t>
            </w:r>
          </w:p>
        </w:tc>
      </w:tr>
      <w:tr>
        <w:tc>
          <w:tcPr>
            <w:tcW w:type="dxa" w:w="153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7"/>
              </w:rPr>
              <w:t>知识产权与认证</w:t>
            </w:r>
          </w:p>
        </w:tc>
        <w:tc>
          <w:tcPr>
            <w:tcW w:type="dxa" w:w="357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软著节奏需提速，认证按系统化能力推进。</w:t>
            </w:r>
          </w:p>
        </w:tc>
        <w:tc>
          <w:tcPr>
            <w:tcW w:type="dxa" w:w="408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软著从“月均 1 个”提升至“每周 1 个”；CNAS/CB 按营养结算、食安、金融算三大系统推进。</w:t>
            </w:r>
          </w:p>
        </w:tc>
      </w:tr>
    </w:tbl>
    <w:p>
      <w:pPr>
        <w:pStyle w:val="Heading1"/>
        <w:keepNext/>
        <w:spacing w:before="280" w:after="120"/>
      </w:pPr>
      <w:r>
        <w:t>4. 分项目会议纪要</w:t>
      </w:r>
    </w:p>
    <w:p>
      <w:pPr>
        <w:pStyle w:val="Heading2"/>
        <w:keepNext/>
        <w:spacing w:before="160" w:after="80"/>
      </w:pPr>
      <w:r>
        <w:t>4.1 石家庄项目：量化验收与防退货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会议判断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当前最大风险是验收口径不清导致客户不认可，进一步触发退货和内部责任拉扯。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明确指标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产品学习周期按 2-4 周表达；准确率目标按 90%-95% 表达；需补充学习次数、样本口径、准确率计算方法和适用前提。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交付方式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形成白纸黑字的交付/验收文档，交销售王一鸣用于客户现场确认，并与张帅对齐。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下一步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发言人 2 明天中午前输出手册初稿；所有未经数据验证的细项用“待确认”标注，避免口径过度承诺。</w:t>
            </w:r>
          </w:p>
        </w:tc>
      </w:tr>
    </w:tbl>
    <w:p>
      <w:pPr>
        <w:spacing w:after="40"/>
      </w:pPr>
    </w:p>
    <w:p>
      <w:pPr>
        <w:pStyle w:val="Heading2"/>
        <w:keepNext/>
        <w:spacing w:before="160" w:after="80"/>
      </w:pPr>
      <w:r>
        <w:t>4.2 国庆项目：一体机本地化人脸能力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会议判断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国庆项目一体机开发量较大，核心是将原“在线学习 + 本地识别”改造为“本地学习 + 本地识别”。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技术口径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本地与云端人脸流程是两条不同逻辑，但应尽可能做成配置项（本地/云端），避免形成不可维护的两套系统。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设备口径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设备按优卡特 21.5 寸安卓一体机适配；优先硬件适配、功能验证，页面样式可参考旧版并后续微调。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演示准备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发言人 3 今日输出国庆项目演示场景清单，评审后挑重点场景制作视频/文案介绍。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排期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发言人 2 周五前评估本地化人脸开发周期；任务可由海琴返岗后承接，需清涛/研发确认排期。</w:t>
            </w:r>
          </w:p>
        </w:tc>
      </w:tr>
    </w:tbl>
    <w:p>
      <w:pPr>
        <w:spacing w:after="40"/>
      </w:pPr>
    </w:p>
    <w:p>
      <w:pPr>
        <w:pStyle w:val="Heading2"/>
        <w:keepNext/>
        <w:spacing w:before="160" w:after="80"/>
      </w:pPr>
      <w:r>
        <w:t>4.3 滨州新月医院：60 台优卡特称重台对接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会议判断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该项目节点紧、设备未对接过，是硬件适配和排期管理风险点。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项目要求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计划采购/部署 60 台优卡特称重台，会议中提到 6 月 20 日或 6 月底前完成部署准备，用于 7 月全国参联会议。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当前进展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已紧急安排小江联系厂商接样机，预计本周到货；需尽快完成硬件适配与软件联调。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排期口径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清涛需评估真实开发周期，确认后一并同步销售；不得以客户口头节点直接倒逼研发。</w:t>
            </w:r>
          </w:p>
        </w:tc>
      </w:tr>
    </w:tbl>
    <w:p>
      <w:pPr>
        <w:spacing w:after="40"/>
      </w:pPr>
    </w:p>
    <w:p>
      <w:pPr>
        <w:pStyle w:val="Heading2"/>
        <w:keepNext/>
        <w:spacing w:before="160" w:after="80"/>
      </w:pPr>
      <w:r>
        <w:t>4.4 AI 智慧营养与数字化能力体系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餐前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基于身高体重、年龄性别、饮食禁忌、口味偏好等用户画像，结合菜品标签做个性化推荐。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餐中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通过 AI 营养师、智能称重台和 AI 菜品识别，实时反馈打菜克数与营养建议。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餐后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生成日/周/月健康报告，判断身体趋势，提供营养干预和运动建议。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B 端价值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将组织健康趋势、菜品运营、减少浪费等数据化，形成可对外讲清楚的产品闭环。</w:t>
            </w:r>
          </w:p>
        </w:tc>
      </w:tr>
    </w:tbl>
    <w:p>
      <w:pPr>
        <w:spacing w:after="40"/>
      </w:pPr>
    </w:p>
    <w:p>
      <w:pPr>
        <w:pStyle w:val="Heading2"/>
        <w:keepNext/>
        <w:spacing w:before="160" w:after="80"/>
      </w:pPr>
      <w:r>
        <w:t>4.5 产品标准化、监管端与流程优化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标准化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标准产品应固定核心形态，客户优先按标准使用；若必须定制，必须能回流到标准产品。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报餐/爆仓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客户特殊需求可通过后台策略配置解决，页面已有初版，待客户确认后进入开发。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监管端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PC 页面需按业务闭环重构，而不是按政策条目堆砌；王硕需输出多版页面风格/模块方案。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报销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首次报销流程需本周五前启动并完成，会议中日期表述为 5 号或 8 号，需会后复核。</w:t>
            </w:r>
          </w:p>
        </w:tc>
      </w:tr>
    </w:tbl>
    <w:p>
      <w:pPr>
        <w:spacing w:after="40"/>
      </w:pPr>
    </w:p>
    <w:p>
      <w:pPr>
        <w:pStyle w:val="Heading2"/>
        <w:keepNext/>
        <w:spacing w:before="160" w:after="80"/>
      </w:pPr>
      <w:r>
        <w:t>4.6 软著、CNAS/CB 与专利壁垒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软著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软件端软著可升级，硬件端如一体机、称重台需逐项申请；节奏从月均 1 个提升到每周 1 个。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认证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CNAS/CB 按“营养结算、食安、金融算”三大系统推进；食安系统新增交船、尾板等功能，计划 6 月完成后申请。</w:t>
            </w:r>
          </w:p>
        </w:tc>
      </w:tr>
      <w:tr>
        <w:tc>
          <w:tcPr>
            <w:tcW w:type="dxa" w:w="5241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7"/>
              </w:rPr>
              <w:t>专利</w:t>
            </w:r>
          </w:p>
        </w:tc>
        <w:tc>
          <w:tcPr>
            <w:tcW w:type="dxa" w:w="5241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会议后半段强调应从业务流程、硬件采集、AI 营养闭环等方法层面挖掘专利，形成可对外证明的壁垒。</w:t>
            </w:r>
          </w:p>
        </w:tc>
      </w:tr>
    </w:tbl>
    <w:p>
      <w:pPr>
        <w:spacing w:after="40"/>
      </w:pPr>
    </w:p>
    <w:p>
      <w:pPr>
        <w:pStyle w:val="Heading1"/>
        <w:keepNext/>
        <w:spacing w:before="280" w:after="120"/>
      </w:pPr>
      <w:r>
        <w:t>5. AI Native 与 Codex App 落地方案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482"/>
            <w:shd w:fill="EEF6FC"/>
            <w:tcBorders>
              <w:top w:sz="8" w:val="single" w:color="1F4E79"/>
              <w:bottom w:sz="8" w:val="single" w:color="1F4E79"/>
              <w:left w:sz="8" w:val="single" w:color="1F4E79"/>
              <w:right w:sz="8" w:val="single" w:color="1F4E79"/>
            </w:tcBorders>
          </w:tcPr>
          <w:p>
            <w:pPr>
              <w:spacing w:after="80"/>
            </w:pPr>
            <w:r>
              <w:rPr>
                <w:rFonts w:ascii="Noto Sans CJK SC" w:hAnsi="Noto Sans CJK SC" w:eastAsia="Noto Sans CJK SC" w:cs="Noto Sans CJK SC"/>
                <w:b/>
                <w:color w:val="1F4E79"/>
                <w:sz w:val="21"/>
              </w:rPr>
              <w:t>建议采用的工作原则</w:t>
            </w:r>
          </w:p>
          <w:p>
            <w:pPr>
              <w:spacing w:after="40" w:line="252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9"/>
              </w:rPr>
              <w:t>• AI 先做：需求整理、方案拆解、代码初稿、测试用例、上线公告先由 Agent/Codex 生成。</w:t>
            </w:r>
          </w:p>
          <w:p>
            <w:pPr>
              <w:spacing w:after="40" w:line="252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9"/>
              </w:rPr>
              <w:t>• 人来判断：客户承诺、验收口径、排期拍板、风险取舍和最终合并由负责人确认。</w:t>
            </w:r>
          </w:p>
          <w:p>
            <w:pPr>
              <w:spacing w:after="40" w:line="252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9"/>
              </w:rPr>
              <w:t>• 过程入库：每次需求讨论、方案评审、PR 评审、故障复盘都沉淀为可检索上下文。</w:t>
            </w:r>
          </w:p>
          <w:p>
            <w:pPr>
              <w:spacing w:after="40" w:line="252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9"/>
              </w:rPr>
              <w:t>• 持续复用：同类增删改查、设备适配、页面改版、上线流程沉淀为模板，下一次直接复用。</w:t>
            </w:r>
          </w:p>
        </w:tc>
      </w:tr>
    </w:tbl>
    <w:p>
      <w:pPr>
        <w:spacing w:after="40"/>
      </w:pPr>
    </w:p>
    <w:p>
      <w:pPr>
        <w:pStyle w:val="Heading2"/>
        <w:keepNext/>
        <w:spacing w:before="160" w:after="80"/>
      </w:pPr>
      <w:r>
        <w:t>5.1 知识库目录建议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241"/>
        <w:gridCol w:w="5241"/>
      </w:tblGrid>
      <w:tr>
        <w:trPr>
          <w:tblHeader w:val="true"/>
        </w:trPr>
        <w:tc>
          <w:tcPr>
            <w:tcW w:type="dxa" w:w="238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目录</w:t>
            </w:r>
          </w:p>
        </w:tc>
        <w:tc>
          <w:tcPr>
            <w:tcW w:type="dxa" w:w="68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沉淀内容</w:t>
            </w:r>
          </w:p>
        </w:tc>
      </w:tr>
      <w:tr>
        <w:tc>
          <w:tcPr>
            <w:tcW w:type="dxa" w:w="238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7"/>
              </w:rPr>
              <w:t>01_需求讨论</w:t>
            </w:r>
          </w:p>
        </w:tc>
        <w:tc>
          <w:tcPr>
            <w:tcW w:type="dxa" w:w="68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会议录音转写、客户访谈、销售需求、方案评审纪要</w:t>
            </w:r>
          </w:p>
        </w:tc>
      </w:tr>
      <w:tr>
        <w:tc>
          <w:tcPr>
            <w:tcW w:type="dxa" w:w="238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7"/>
              </w:rPr>
              <w:t>02_产品方案</w:t>
            </w:r>
          </w:p>
        </w:tc>
        <w:tc>
          <w:tcPr>
            <w:tcW w:type="dxa" w:w="68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产品能力地图、用户画像、场景清单、页面原型、标准化边界</w:t>
            </w:r>
          </w:p>
        </w:tc>
      </w:tr>
      <w:tr>
        <w:tc>
          <w:tcPr>
            <w:tcW w:type="dxa" w:w="238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7"/>
              </w:rPr>
              <w:t>03_研发实现</w:t>
            </w:r>
          </w:p>
        </w:tc>
        <w:tc>
          <w:tcPr>
            <w:tcW w:type="dxa" w:w="68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模块说明、接口文档、SDK 适配、配置项、关键代码路径</w:t>
            </w:r>
          </w:p>
        </w:tc>
      </w:tr>
      <w:tr>
        <w:tc>
          <w:tcPr>
            <w:tcW w:type="dxa" w:w="238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7"/>
              </w:rPr>
              <w:t>04_测试验收</w:t>
            </w:r>
          </w:p>
        </w:tc>
        <w:tc>
          <w:tcPr>
            <w:tcW w:type="dxa" w:w="68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测试用例、准确率口径、验收记录、客户签字模板</w:t>
            </w:r>
          </w:p>
        </w:tc>
      </w:tr>
      <w:tr>
        <w:tc>
          <w:tcPr>
            <w:tcW w:type="dxa" w:w="238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7"/>
              </w:rPr>
              <w:t>05_上线与自愈</w:t>
            </w:r>
          </w:p>
        </w:tc>
        <w:tc>
          <w:tcPr>
            <w:tcW w:type="dxa" w:w="68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上线公告、回滚方案、监控项、报警处理、自动修复记录</w:t>
            </w:r>
          </w:p>
        </w:tc>
      </w:tr>
      <w:tr>
        <w:tc>
          <w:tcPr>
            <w:tcW w:type="dxa" w:w="238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7"/>
              </w:rPr>
              <w:t>06_交付复盘</w:t>
            </w:r>
          </w:p>
        </w:tc>
        <w:tc>
          <w:tcPr>
            <w:tcW w:type="dxa" w:w="68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项目风险、延期原因、客户反馈、可回流标准产品的功能清单</w:t>
            </w:r>
          </w:p>
        </w:tc>
      </w:tr>
    </w:tbl>
    <w:p>
      <w:pPr>
        <w:pStyle w:val="Heading2"/>
        <w:keepNext/>
        <w:spacing w:before="160" w:after="80"/>
      </w:pPr>
      <w:r>
        <w:t>5.2 Codex App 的使用边界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494"/>
        <w:gridCol w:w="3494"/>
        <w:gridCol w:w="3494"/>
      </w:tblGrid>
      <w:tr>
        <w:trPr>
          <w:tblHeader w:val="true"/>
        </w:trPr>
        <w:tc>
          <w:tcPr>
            <w:tcW w:type="dxa" w:w="3288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适合交给 Codex 的工作</w:t>
            </w:r>
          </w:p>
        </w:tc>
        <w:tc>
          <w:tcPr>
            <w:tcW w:type="dxa" w:w="323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人工必须确认的事项</w:t>
            </w:r>
          </w:p>
        </w:tc>
        <w:tc>
          <w:tcPr>
            <w:tcW w:type="dxa" w:w="266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7"/>
              </w:rPr>
              <w:t>备注</w:t>
            </w:r>
          </w:p>
        </w:tc>
      </w:tr>
      <w:tr>
        <w:tc>
          <w:tcPr>
            <w:tcW w:type="dxa" w:w="3288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代码库阅读、模块梳理、任务拆分、代码修改、测试用例、PR 草案、接口/SDK 适配清单。</w:t>
            </w:r>
          </w:p>
        </w:tc>
        <w:tc>
          <w:tcPr>
            <w:tcW w:type="dxa" w:w="323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技术路线、兼容性取舍、是否合并 PR、是否影响已有项目。</w:t>
            </w:r>
          </w:p>
        </w:tc>
        <w:tc>
          <w:tcPr>
            <w:tcW w:type="dxa" w:w="266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适合国庆一体机、本地人脸、优卡特设备适配。</w:t>
            </w:r>
          </w:p>
        </w:tc>
      </w:tr>
      <w:tr>
        <w:tc>
          <w:tcPr>
            <w:tcW w:type="dxa" w:w="3288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会议材料结构化、验收手册、上线公告、客户确认话术、软著/认证资料大纲。</w:t>
            </w:r>
          </w:p>
        </w:tc>
        <w:tc>
          <w:tcPr>
            <w:tcW w:type="dxa" w:w="323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指标口径、合同条款、对客户承诺、认证申报结论。</w:t>
            </w:r>
          </w:p>
        </w:tc>
        <w:tc>
          <w:tcPr>
            <w:tcW w:type="dxa" w:w="266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适合石家庄手册、软著材料、上线公告。</w:t>
            </w:r>
          </w:p>
        </w:tc>
      </w:tr>
      <w:tr>
        <w:tc>
          <w:tcPr>
            <w:tcW w:type="dxa" w:w="3288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知识库目录、模板、标准化流程、复盘规则、自动化测试/监控脚本。</w:t>
            </w:r>
          </w:p>
        </w:tc>
        <w:tc>
          <w:tcPr>
            <w:tcW w:type="dxa" w:w="323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组织流程变更、职责边界、排期优先级。</w:t>
            </w:r>
          </w:p>
        </w:tc>
        <w:tc>
          <w:tcPr>
            <w:tcW w:type="dxa" w:w="266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7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7"/>
              </w:rPr>
              <w:t>适合 AI Native 协作模式落地。</w:t>
            </w:r>
          </w:p>
        </w:tc>
      </w:tr>
    </w:tbl>
    <w:p>
      <w:pPr>
        <w:pStyle w:val="Heading1"/>
        <w:keepNext/>
        <w:spacing w:before="280" w:after="120"/>
      </w:pPr>
      <w:r>
        <w:t>6. Codex App 可直接执行的任务包</w:t>
      </w:r>
    </w:p>
    <w:p>
      <w:pPr>
        <w:pStyle w:val="BodyText"/>
        <w:spacing w:after="60" w:line="276" w:lineRule="auto"/>
      </w:pPr>
      <w:r>
        <w:rPr>
          <w:rFonts w:ascii="Noto Sans CJK SC" w:hAnsi="Noto Sans CJK SC" w:eastAsia="Noto Sans CJK SC" w:cs="Noto Sans CJK SC"/>
          <w:color w:val="1F2937"/>
          <w:sz w:val="21"/>
        </w:rPr>
        <w:t>以下任务包按“输入材料 - Codex 指令 - 交付物 - 人工验收点”设计，适合直接复制到 Codex App 或项目仓库中的任务说明中使用。</w:t>
      </w:r>
    </w:p>
    <w:p>
      <w:pPr>
        <w:pStyle w:val="Heading2"/>
        <w:keepNext/>
        <w:spacing w:before="160" w:after="80"/>
      </w:pPr>
      <w:r>
        <w:t>任务包 1｜石家庄项目量化验收手册（P0）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Codex 指令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根据会议材料生成 docs/石家庄项目量化验收手册.md。必须包含：学习周期、学习次数、准确率定义、样本集/菜品库前提、测试流程、异常处理、客户签字确认页。已确认口径：学习周期 2-4 周、目标准确率 90%-95%；其他未经确认的指标统一标为【待确认】。同时生成验收测试记录表和销售王一鸣客户确认话术。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交付物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手册正文、验收测试记录表、客户确认页、待确认问题清单。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人工验收点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张帅/产品负责人确认指标；销售确认客户话术；合同相关条款由商务/法务或负责人确认。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建议状态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可立即建立任务；P0 项建议当天拉起，P1 项本周内建立模板，P2 项随上线节奏处理。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80"/>
      </w:pPr>
      <w:r>
        <w:t>任务包 2｜国庆一体机本地化人脸学习/识别方案（P0）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Codex 指令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阅读仓库中现有一体机、人脸学习、人脸识别模块，梳理当前“在线学习 + 本地识别”逻辑，设计“本地学习 + 本地识别”实现方案。要求：优先支持 local/cloud 配置项，避免复制两套不可维护系统；输出技术方案、任务拆分、接口/SDK 依赖、风险点、测试用例和预计工作量。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交付物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技术方案、任务拆解、开发排期建议、测试用例、风险与依赖清单。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人工验收点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清涛/研发确认排期；真实设备与 SDK 到位后验证；产品确认页面和交互差异。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建议状态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可立即建立任务；P0 项建议当天拉起，P1 项本周内建立模板，P2 项随上线节奏处理。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80"/>
      </w:pPr>
      <w:r>
        <w:t>任务包 3｜优卡特 21.5 寸一体机适配清单（P0）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Codex 指令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基于优卡特 21.5 寸安卓一体机，梳理需适配的页面、分辨率、摄像头、人脸 SDK、网络环境、外设和配置项。参考旧版一体机页面，优先保证硬件适配和功能可用，样式仅做最小可用微调。输出适配清单、UI 差异清单和联调测试表。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交付物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设备适配清单、页面差异清单、联调测试表、最小可用版本范围。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人工验收点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样机实测；销售/客户确认 21.5 寸设备；产品确认是否需要重新出图。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建议状态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可立即建立任务；P0 项建议当天拉起，P1 项本周内建立模板，P2 项随上线节奏处理。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80"/>
      </w:pPr>
      <w:r>
        <w:t>任务包 4｜滨州 60 台优卡特称重台联调计划（P0）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Codex 指令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生成优卡特称重台接入计划，覆盖样机到货检查、SDK/协议对接、称重数据读取、异常处理、页面适配、60 台部署准备、6 月 20 日/月底里程碑。输出排期表、风险清单、需要销售/厂商确认的问题清单。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交付物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联调排期、设备协议/SDK 问题清单、测试矩阵、部署准备清单。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人工验收点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清涛确认真实周期；小江/厂商确认样机与资料；销售确认客户节点。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建议状态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可立即建立任务；P0 项建议当天拉起，P1 项本周内建立模板，P2 项随上线节奏处理。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80"/>
      </w:pPr>
      <w:r>
        <w:t>任务包 5｜AI Native 知识库目录与模板（P1）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Codex 指令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在 docs/ai-native/ 下创建知识库目录结构与 README，覆盖需求讨论、产品方案、研发实现、测试验收、上线公告、故障自愈、项目复盘。为每类文档提供模板，要求能被 Codex/ChatGPT 检索复用，并说明每次会议录音、评审纪要、PR 复盘的归档规则。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交付物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目录结构、README、6 类模板、归档规范、示例文档。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人工验收点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团队确认目录规则；项目负责人指定维护人；每周检查是否有材料入库。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建议状态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可立即建立任务；P0 项建议当天拉起，P1 项本周内建立模板，P2 项随上线节奏处理。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80"/>
      </w:pPr>
      <w:r>
        <w:t>任务包 6｜监管端 PC 信息架构重构说明（P1）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Codex 指令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根据监管端现状和会议要求，重构为业务闭环式信息架构，不再按政策条目堆砌。输出模块分组、导航路径、首页布局建议、关键页面字段、王硕出多版设计方案前需要确认的问题清单。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交付物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信息架构图、页面模块说明、字段清单、设计评审问题清单。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人工验收点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王硕输出页面风格；产品确认业务闭环；研发确认实现成本。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建议状态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可立即建立任务；P0 项建议当天拉起，P1 项本周内建立模板，P2 项随上线节奏处理。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80"/>
      </w:pPr>
      <w:r>
        <w:t>任务包 7｜软著/CNAS/CB 申报资料模板（P1）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Codex 指令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梳理营养结算、食安、金融算三大系统功能边界，生成软著/认证申报资料大纲、截图清单、功能说明模板、版本说明模板，并给出“每周一个软著”的任务节奏和资料责任人字段。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交付物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申报资料模板、截图清单、功能边界表、周度申报计划。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人工验收点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认证/法务/负责人确认申报口径；涉及资质的最终判断不得由 Codex 代替。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建议状态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可立即建立任务；P0 项建议当天拉起，P1 项本周内建立模板，P2 项随上线节奏处理。</w:t>
            </w:r>
          </w:p>
        </w:tc>
      </w:tr>
    </w:tbl>
    <w:p>
      <w:pPr>
        <w:spacing w:after="20"/>
      </w:pPr>
    </w:p>
    <w:p>
      <w:pPr>
        <w:pStyle w:val="Heading2"/>
        <w:keepNext/>
        <w:spacing w:before="160" w:after="80"/>
      </w:pPr>
      <w:r>
        <w:t>任务包 8｜本周上线公告与交付注意事项（P2）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241"/>
        <w:gridCol w:w="5241"/>
      </w:tblGrid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Codex 指令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根据本周上线内容生成上线公告草稿，标明消费策略化时间点、需要交付端手动调整的项目、回滚策略、验收检查项和客户沟通话术。所有未确认信息用【待确认】标识。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交付物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上线公告、回滚说明、交付检查清单、客户沟通话术。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人工验收点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发布负责人确认上线范围；交付端确认需要手动调整的项目。</w:t>
            </w:r>
          </w:p>
        </w:tc>
      </w:tr>
      <w:tr>
        <w:tc>
          <w:tcPr>
            <w:tcW w:type="dxa" w:w="1587"/>
            <w:vAlign w:val="center"/>
            <w:shd w:fill="D9EAF7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/>
                <w:color w:val="1F4E79"/>
                <w:sz w:val="16"/>
              </w:rPr>
              <w:t>建议状态</w:t>
            </w:r>
          </w:p>
        </w:tc>
        <w:tc>
          <w:tcPr>
            <w:tcW w:type="dxa" w:w="7597"/>
            <w:vAlign w:val="center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52" w:lineRule="auto"/>
            </w:pPr>
            <w:r/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6"/>
              </w:rPr>
              <w:t>可立即建立任务；P0 项建议当天拉起，P1 项本周内建立模板，P2 项随上线节奏处理。</w:t>
            </w:r>
          </w:p>
        </w:tc>
      </w:tr>
    </w:tbl>
    <w:p>
      <w:pPr>
        <w:spacing w:after="20"/>
      </w:pPr>
    </w:p>
    <w:p>
      <w:pPr>
        <w:pStyle w:val="Heading1"/>
        <w:keepNext/>
        <w:spacing w:before="280" w:after="120"/>
      </w:pPr>
      <w:r>
        <w:t>7. 待办事项总表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>
        <w:trPr>
          <w:tblHeader w:val="true"/>
        </w:trPr>
        <w:tc>
          <w:tcPr>
            <w:tcW w:type="dxa" w:w="56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  <w:t>编号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  <w:t>事项</w:t>
            </w:r>
          </w:p>
        </w:tc>
        <w:tc>
          <w:tcPr>
            <w:tcW w:type="dxa" w:w="136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  <w:t>责任人</w:t>
            </w:r>
          </w:p>
        </w:tc>
        <w:tc>
          <w:tcPr>
            <w:tcW w:type="dxa" w:w="13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  <w:t>截止时间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  <w:t>验收输出</w:t>
            </w:r>
          </w:p>
        </w:tc>
        <w:tc>
          <w:tcPr>
            <w:tcW w:type="dxa" w:w="90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  <w:t>Codex 参与度</w:t>
            </w:r>
          </w:p>
        </w:tc>
        <w:tc>
          <w:tcPr>
            <w:tcW w:type="dxa" w:w="209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4"/>
              </w:rPr>
              <w:t>执行说明</w:t>
            </w:r>
          </w:p>
        </w:tc>
      </w:tr>
      <w:tr>
        <w:tc>
          <w:tcPr>
            <w:tcW w:type="dxa" w:w="56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4"/>
              </w:rPr>
              <w:t>A1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石家庄项目量化指标手册初稿</w:t>
            </w:r>
          </w:p>
        </w:tc>
        <w:tc>
          <w:tcPr>
            <w:tcW w:type="dxa" w:w="136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发言人 2；协同张帅</w:t>
            </w:r>
          </w:p>
        </w:tc>
        <w:tc>
          <w:tcPr>
            <w:tcW w:type="dxa" w:w="13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明天中午前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手册初稿、验收口径、客户确认页</w:t>
            </w:r>
          </w:p>
        </w:tc>
        <w:tc>
          <w:tcPr>
            <w:tcW w:type="dxa" w:w="90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高</w:t>
            </w:r>
          </w:p>
        </w:tc>
        <w:tc>
          <w:tcPr>
            <w:tcW w:type="dxa" w:w="209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先由 Codex 生成结构和表格，负责人补充/确认指标。</w:t>
            </w:r>
          </w:p>
        </w:tc>
      </w:tr>
      <w:tr>
        <w:tc>
          <w:tcPr>
            <w:tcW w:type="dxa" w:w="56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4"/>
              </w:rPr>
              <w:t>A2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国庆项目演示场景清单</w:t>
            </w:r>
          </w:p>
        </w:tc>
        <w:tc>
          <w:tcPr>
            <w:tcW w:type="dxa" w:w="136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发言人 3</w:t>
            </w:r>
          </w:p>
        </w:tc>
        <w:tc>
          <w:tcPr>
            <w:tcW w:type="dxa" w:w="13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今日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演示场景清单、视频/文案脚本</w:t>
            </w:r>
          </w:p>
        </w:tc>
        <w:tc>
          <w:tcPr>
            <w:tcW w:type="dxa" w:w="90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高</w:t>
            </w:r>
          </w:p>
        </w:tc>
        <w:tc>
          <w:tcPr>
            <w:tcW w:type="dxa" w:w="209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Codex 可拆场景、生成脚本和素材提示词。</w:t>
            </w:r>
          </w:p>
        </w:tc>
      </w:tr>
      <w:tr>
        <w:tc>
          <w:tcPr>
            <w:tcW w:type="dxa" w:w="56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4"/>
              </w:rPr>
              <w:t>A3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设备图片及可行性资料整理（含德沃设备）</w:t>
            </w:r>
          </w:p>
        </w:tc>
        <w:tc>
          <w:tcPr>
            <w:tcW w:type="dxa" w:w="136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发言人 3</w:t>
            </w:r>
          </w:p>
        </w:tc>
        <w:tc>
          <w:tcPr>
            <w:tcW w:type="dxa" w:w="13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本周内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按续亮表格样式统一整理</w:t>
            </w:r>
          </w:p>
        </w:tc>
        <w:tc>
          <w:tcPr>
            <w:tcW w:type="dxa" w:w="90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中</w:t>
            </w:r>
          </w:p>
        </w:tc>
        <w:tc>
          <w:tcPr>
            <w:tcW w:type="dxa" w:w="209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Codex 可生成字段模板和缺口清单；图片资料需人工收集。</w:t>
            </w:r>
          </w:p>
        </w:tc>
      </w:tr>
      <w:tr>
        <w:tc>
          <w:tcPr>
            <w:tcW w:type="dxa" w:w="56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4"/>
              </w:rPr>
              <w:t>A4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监管端页面风格与模块重构</w:t>
            </w:r>
          </w:p>
        </w:tc>
        <w:tc>
          <w:tcPr>
            <w:tcW w:type="dxa" w:w="136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发言人 3；王硕</w:t>
            </w:r>
          </w:p>
        </w:tc>
        <w:tc>
          <w:tcPr>
            <w:tcW w:type="dxa" w:w="13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本周内/待确认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多版设计方案、业务闭环模块说明</w:t>
            </w:r>
          </w:p>
        </w:tc>
        <w:tc>
          <w:tcPr>
            <w:tcW w:type="dxa" w:w="90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高</w:t>
            </w:r>
          </w:p>
        </w:tc>
        <w:tc>
          <w:tcPr>
            <w:tcW w:type="dxa" w:w="209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Codex 可先产出 IA 和页面说明，王硕出图。</w:t>
            </w:r>
          </w:p>
        </w:tc>
      </w:tr>
      <w:tr>
        <w:tc>
          <w:tcPr>
            <w:tcW w:type="dxa" w:w="56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4"/>
              </w:rPr>
              <w:t>A5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一体机本地化人脸识别开发周期评估</w:t>
            </w:r>
          </w:p>
        </w:tc>
        <w:tc>
          <w:tcPr>
            <w:tcW w:type="dxa" w:w="136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发言人 2；清涛</w:t>
            </w:r>
          </w:p>
        </w:tc>
        <w:tc>
          <w:tcPr>
            <w:tcW w:type="dxa" w:w="13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周五前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研发排期、风险清单、测试用例</w:t>
            </w:r>
          </w:p>
        </w:tc>
        <w:tc>
          <w:tcPr>
            <w:tcW w:type="dxa" w:w="90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高</w:t>
            </w:r>
          </w:p>
        </w:tc>
        <w:tc>
          <w:tcPr>
            <w:tcW w:type="dxa" w:w="209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Codex 可读代码并拆技术任务，排期由研发确认。</w:t>
            </w:r>
          </w:p>
        </w:tc>
      </w:tr>
      <w:tr>
        <w:tc>
          <w:tcPr>
            <w:tcW w:type="dxa" w:w="56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4"/>
              </w:rPr>
              <w:t>A6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滨州项目设备到货及对接进度</w:t>
            </w:r>
          </w:p>
        </w:tc>
        <w:tc>
          <w:tcPr>
            <w:tcW w:type="dxa" w:w="136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发言人 3；小江；清涛</w:t>
            </w:r>
          </w:p>
        </w:tc>
        <w:tc>
          <w:tcPr>
            <w:tcW w:type="dxa" w:w="13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6 月 20 日前完成部署准备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样机到货、SDK/协议、联调计划</w:t>
            </w:r>
          </w:p>
        </w:tc>
        <w:tc>
          <w:tcPr>
            <w:tcW w:type="dxa" w:w="90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中</w:t>
            </w:r>
          </w:p>
        </w:tc>
        <w:tc>
          <w:tcPr>
            <w:tcW w:type="dxa" w:w="209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Codex 可做对接清单和测试矩阵；硬件实测需人工。</w:t>
            </w:r>
          </w:p>
        </w:tc>
      </w:tr>
      <w:tr>
        <w:tc>
          <w:tcPr>
            <w:tcW w:type="dxa" w:w="56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4"/>
              </w:rPr>
              <w:t>A7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软著申请节奏提速</w:t>
            </w:r>
          </w:p>
        </w:tc>
        <w:tc>
          <w:tcPr>
            <w:tcW w:type="dxa" w:w="136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发言人 3/产品团队</w:t>
            </w:r>
          </w:p>
        </w:tc>
        <w:tc>
          <w:tcPr>
            <w:tcW w:type="dxa" w:w="13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每周滚动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每周 1 个软著资料包</w:t>
            </w:r>
          </w:p>
        </w:tc>
        <w:tc>
          <w:tcPr>
            <w:tcW w:type="dxa" w:w="90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高</w:t>
            </w:r>
          </w:p>
        </w:tc>
        <w:tc>
          <w:tcPr>
            <w:tcW w:type="dxa" w:w="209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Codex 可生成说明书、截图清单、版本说明模板。</w:t>
            </w:r>
          </w:p>
        </w:tc>
      </w:tr>
      <w:tr>
        <w:tc>
          <w:tcPr>
            <w:tcW w:type="dxa" w:w="56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4"/>
              </w:rPr>
              <w:t>A8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CNAS/CB 认证按三大系统推进</w:t>
            </w:r>
          </w:p>
        </w:tc>
        <w:tc>
          <w:tcPr>
            <w:tcW w:type="dxa" w:w="136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负责人待定</w:t>
            </w:r>
          </w:p>
        </w:tc>
        <w:tc>
          <w:tcPr>
            <w:tcW w:type="dxa" w:w="13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6 月内推进食安相关功能后申请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系统边界表、申报材料清单</w:t>
            </w:r>
          </w:p>
        </w:tc>
        <w:tc>
          <w:tcPr>
            <w:tcW w:type="dxa" w:w="90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中</w:t>
            </w:r>
          </w:p>
        </w:tc>
        <w:tc>
          <w:tcPr>
            <w:tcW w:type="dxa" w:w="209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Codex 可整理材料；认证判断需负责人/专业方确认。</w:t>
            </w:r>
          </w:p>
        </w:tc>
      </w:tr>
      <w:tr>
        <w:tc>
          <w:tcPr>
            <w:tcW w:type="dxa" w:w="56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4"/>
              </w:rPr>
              <w:t>A9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本周上线公告与交付注意事项</w:t>
            </w:r>
          </w:p>
        </w:tc>
        <w:tc>
          <w:tcPr>
            <w:tcW w:type="dxa" w:w="136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产品/发布负责人</w:t>
            </w:r>
          </w:p>
        </w:tc>
        <w:tc>
          <w:tcPr>
            <w:tcW w:type="dxa" w:w="13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上线前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公告、回滚方案、交付手动调整清单</w:t>
            </w:r>
          </w:p>
        </w:tc>
        <w:tc>
          <w:tcPr>
            <w:tcW w:type="dxa" w:w="90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高</w:t>
            </w:r>
          </w:p>
        </w:tc>
        <w:tc>
          <w:tcPr>
            <w:tcW w:type="dxa" w:w="209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Codex 可根据提交记录生成公告草稿。</w:t>
            </w:r>
          </w:p>
        </w:tc>
      </w:tr>
      <w:tr>
        <w:tc>
          <w:tcPr>
            <w:tcW w:type="dxa" w:w="56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4"/>
              </w:rPr>
              <w:t>A10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首次报销流程</w:t>
            </w:r>
          </w:p>
        </w:tc>
        <w:tc>
          <w:tcPr>
            <w:tcW w:type="dxa" w:w="1360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发言人 3/相关负责人</w:t>
            </w:r>
          </w:p>
        </w:tc>
        <w:tc>
          <w:tcPr>
            <w:tcW w:type="dxa" w:w="1304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本周五前（日期需复核）</w:t>
            </w:r>
          </w:p>
        </w:tc>
        <w:tc>
          <w:tcPr>
            <w:tcW w:type="dxa" w:w="175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首次报销完成记录</w:t>
            </w:r>
          </w:p>
        </w:tc>
        <w:tc>
          <w:tcPr>
            <w:tcW w:type="dxa" w:w="90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低</w:t>
            </w:r>
          </w:p>
        </w:tc>
        <w:tc>
          <w:tcPr>
            <w:tcW w:type="dxa" w:w="2097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4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4"/>
              </w:rPr>
              <w:t>Codex 可生成检查清单；实际操作需人工。</w:t>
            </w:r>
          </w:p>
        </w:tc>
      </w:tr>
    </w:tbl>
    <w:p>
      <w:pPr>
        <w:pStyle w:val="Heading1"/>
        <w:keepNext/>
        <w:spacing w:before="280" w:after="120"/>
      </w:pPr>
      <w:r>
        <w:t>8. 风险、依赖与下次会议建议</w:t>
      </w:r>
    </w:p>
    <w:p>
      <w:pPr>
        <w:pStyle w:val="Heading2"/>
        <w:keepNext/>
        <w:spacing w:before="160" w:after="80"/>
      </w:pPr>
      <w:r>
        <w:t>8.1 主要风险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620"/>
        <w:gridCol w:w="2620"/>
        <w:gridCol w:w="2620"/>
        <w:gridCol w:w="2620"/>
      </w:tblGrid>
      <w:tr>
        <w:trPr>
          <w:tblHeader w:val="true"/>
        </w:trPr>
        <w:tc>
          <w:tcPr>
            <w:tcW w:type="dxa" w:w="623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5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5"/>
              </w:rPr>
              <w:t>编号</w:t>
            </w:r>
          </w:p>
        </w:tc>
        <w:tc>
          <w:tcPr>
            <w:tcW w:type="dxa" w:w="187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5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5"/>
              </w:rPr>
              <w:t>风险</w:t>
            </w:r>
          </w:p>
        </w:tc>
        <w:tc>
          <w:tcPr>
            <w:tcW w:type="dxa" w:w="340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5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5"/>
              </w:rPr>
              <w:t>影响</w:t>
            </w:r>
          </w:p>
        </w:tc>
        <w:tc>
          <w:tcPr>
            <w:tcW w:type="dxa" w:w="3288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1F4E79"/>
          </w:tcPr>
          <w:p>
            <w:pPr>
              <w:spacing w:after="0" w:line="245" w:lineRule="auto"/>
              <w:jc w:val="center"/>
            </w:pPr>
            <w:r>
              <w:rPr>
                <w:rFonts w:ascii="Noto Sans CJK SC" w:hAnsi="Noto Sans CJK SC" w:eastAsia="Noto Sans CJK SC" w:cs="Noto Sans CJK SC"/>
                <w:b/>
                <w:color w:val="FFFFFF"/>
                <w:sz w:val="15"/>
              </w:rPr>
            </w:r>
            <w:r>
              <w:rPr>
                <w:rFonts w:ascii="Noto Sans CJK SC" w:hAnsi="Noto Sans CJK SC" w:eastAsia="Noto Sans CJK SC" w:cs="Noto Sans CJK SC"/>
                <w:b/>
                <w:color w:val="FFFFFF"/>
                <w:sz w:val="15"/>
              </w:rPr>
              <w:t>应对</w:t>
            </w:r>
          </w:p>
        </w:tc>
      </w:tr>
      <w:tr>
        <w:tc>
          <w:tcPr>
            <w:tcW w:type="dxa" w:w="623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5"/>
              </w:rPr>
              <w:t>R1</w:t>
            </w:r>
          </w:p>
        </w:tc>
        <w:tc>
          <w:tcPr>
            <w:tcW w:type="dxa" w:w="187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验收指标不够客观</w:t>
            </w:r>
          </w:p>
        </w:tc>
        <w:tc>
          <w:tcPr>
            <w:tcW w:type="dxa" w:w="340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石家庄准确率口径若缺样本、学习次数、数据集边界，容易被客户质疑。</w:t>
            </w:r>
          </w:p>
        </w:tc>
        <w:tc>
          <w:tcPr>
            <w:tcW w:type="dxa" w:w="3288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手册中明确前提条件、计算公式、样本范围和待确认项。</w:t>
            </w:r>
          </w:p>
        </w:tc>
      </w:tr>
      <w:tr>
        <w:tc>
          <w:tcPr>
            <w:tcW w:type="dxa" w:w="623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5"/>
              </w:rPr>
              <w:t>R2</w:t>
            </w:r>
          </w:p>
        </w:tc>
        <w:tc>
          <w:tcPr>
            <w:tcW w:type="dxa" w:w="187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销售承诺早于排期评估</w:t>
            </w:r>
          </w:p>
        </w:tc>
        <w:tc>
          <w:tcPr>
            <w:tcW w:type="dxa" w:w="340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客户节点倒逼研发，导致临时加塞、交付质量差。</w:t>
            </w:r>
          </w:p>
        </w:tc>
        <w:tc>
          <w:tcPr>
            <w:tcW w:type="dxa" w:w="3288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合同/清单前置产品与研发评审；研发排期确认后再对外承诺。</w:t>
            </w:r>
          </w:p>
        </w:tc>
      </w:tr>
      <w:tr>
        <w:tc>
          <w:tcPr>
            <w:tcW w:type="dxa" w:w="623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5"/>
              </w:rPr>
              <w:t>R3</w:t>
            </w:r>
          </w:p>
        </w:tc>
        <w:tc>
          <w:tcPr>
            <w:tcW w:type="dxa" w:w="187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新硬件未完成验证</w:t>
            </w:r>
          </w:p>
        </w:tc>
        <w:tc>
          <w:tcPr>
            <w:tcW w:type="dxa" w:w="340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优卡特一体机/称重台首次适配，存在 SDK、协议、兼容性风险。</w:t>
            </w:r>
          </w:p>
        </w:tc>
        <w:tc>
          <w:tcPr>
            <w:tcW w:type="dxa" w:w="3288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先拿样机、先跑通最小链路、先做测试矩阵。</w:t>
            </w:r>
          </w:p>
        </w:tc>
      </w:tr>
      <w:tr>
        <w:tc>
          <w:tcPr>
            <w:tcW w:type="dxa" w:w="623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5"/>
              </w:rPr>
              <w:t>R4</w:t>
            </w:r>
          </w:p>
        </w:tc>
        <w:tc>
          <w:tcPr>
            <w:tcW w:type="dxa" w:w="187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AI Agent 上下文不足</w:t>
            </w:r>
          </w:p>
        </w:tc>
        <w:tc>
          <w:tcPr>
            <w:tcW w:type="dxa" w:w="340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AI 可生成方案，但若不了解项目上下文，产出难落地。</w:t>
            </w:r>
          </w:p>
        </w:tc>
        <w:tc>
          <w:tcPr>
            <w:tcW w:type="dxa" w:w="3288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  <w:shd w:fill="FAFBFC"/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强制将会议录音、评审纪要、代码规范、上线复盘入库。</w:t>
            </w:r>
          </w:p>
        </w:tc>
      </w:tr>
      <w:tr>
        <w:tc>
          <w:tcPr>
            <w:tcW w:type="dxa" w:w="623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/>
                <w:color w:val="1F2937"/>
                <w:sz w:val="15"/>
              </w:rPr>
              <w:t>R5</w:t>
            </w:r>
          </w:p>
        </w:tc>
        <w:tc>
          <w:tcPr>
            <w:tcW w:type="dxa" w:w="1871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定制化发散</w:t>
            </w:r>
          </w:p>
        </w:tc>
        <w:tc>
          <w:tcPr>
            <w:tcW w:type="dxa" w:w="3402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客户特殊需求持续堆积，影响标准产品演进。</w:t>
            </w:r>
          </w:p>
        </w:tc>
        <w:tc>
          <w:tcPr>
            <w:tcW w:type="dxa" w:w="3288"/>
            <w:vAlign w:val="top"/>
            <w:tcBorders>
              <w:top w:sz="4" w:val="single" w:color="D0D5DD"/>
              <w:bottom w:sz="4" w:val="single" w:color="D0D5DD"/>
              <w:left w:sz="4" w:val="single" w:color="D0D5DD"/>
              <w:right w:sz="4" w:val="single" w:color="D0D5DD"/>
            </w:tcBorders>
          </w:tcPr>
          <w:p>
            <w:pPr>
              <w:spacing w:after="0" w:line="245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5"/>
              </w:rPr>
            </w:r>
            <w:r>
              <w:rPr>
                <w:rFonts w:ascii="Noto Sans CJK SC" w:hAnsi="Noto Sans CJK SC" w:eastAsia="Noto Sans CJK SC" w:cs="Noto Sans CJK SC"/>
                <w:b w:val="0"/>
                <w:color w:val="1F2937"/>
                <w:sz w:val="15"/>
              </w:rPr>
              <w:t>需求必须判断是否可配置、可复用、可回流。</w:t>
            </w:r>
          </w:p>
        </w:tc>
      </w:tr>
    </w:tbl>
    <w:p>
      <w:pPr>
        <w:pStyle w:val="Heading2"/>
        <w:keepNext/>
        <w:spacing w:before="160" w:after="80"/>
      </w:pPr>
      <w:r>
        <w:t>8.2 下次会议建议议题</w:t>
      </w:r>
    </w:p>
    <w:p>
      <w:pPr>
        <w:pStyle w:val="ListBullet"/>
        <w:spacing w:after="40" w:line="259" w:lineRule="auto"/>
      </w:pPr>
      <w:r>
        <w:rPr>
          <w:rFonts w:ascii="Noto Sans CJK SC" w:hAnsi="Noto Sans CJK SC" w:eastAsia="Noto Sans CJK SC" w:cs="Noto Sans CJK SC"/>
          <w:color w:val="1F2937"/>
          <w:sz w:val="20"/>
        </w:rPr>
        <w:t>复核石家庄项目量化指标手册初稿，确认哪些指标可对客户承诺，哪些需标注前提条件。</w:t>
      </w:r>
    </w:p>
    <w:p>
      <w:pPr>
        <w:pStyle w:val="ListBullet"/>
        <w:spacing w:after="40" w:line="259" w:lineRule="auto"/>
      </w:pPr>
      <w:r>
        <w:rPr>
          <w:rFonts w:ascii="Noto Sans CJK SC" w:hAnsi="Noto Sans CJK SC" w:eastAsia="Noto Sans CJK SC" w:cs="Noto Sans CJK SC"/>
          <w:color w:val="1F2937"/>
          <w:sz w:val="20"/>
        </w:rPr>
        <w:t>评审国庆一体机本地人脸方案，确认本地/云端配置项、Android 适配范围和真实排期。</w:t>
      </w:r>
    </w:p>
    <w:p>
      <w:pPr>
        <w:pStyle w:val="ListBullet"/>
        <w:spacing w:after="40" w:line="259" w:lineRule="auto"/>
      </w:pPr>
      <w:r>
        <w:rPr>
          <w:rFonts w:ascii="Noto Sans CJK SC" w:hAnsi="Noto Sans CJK SC" w:eastAsia="Noto Sans CJK SC" w:cs="Noto Sans CJK SC"/>
          <w:color w:val="1F2937"/>
          <w:sz w:val="20"/>
        </w:rPr>
        <w:t>确认滨州优卡特称重台样机到货、厂商资料、SDK/协议和 6 月 20 日节点可行性。</w:t>
      </w:r>
    </w:p>
    <w:p>
      <w:pPr>
        <w:pStyle w:val="ListBullet"/>
        <w:spacing w:after="40" w:line="259" w:lineRule="auto"/>
      </w:pPr>
      <w:r>
        <w:rPr>
          <w:rFonts w:ascii="Noto Sans CJK SC" w:hAnsi="Noto Sans CJK SC" w:eastAsia="Noto Sans CJK SC" w:cs="Noto Sans CJK SC"/>
          <w:color w:val="1F2937"/>
          <w:sz w:val="20"/>
        </w:rPr>
        <w:t>验收 AI Native 知识库目录，指定维护人和每类材料的入库规则。</w:t>
      </w:r>
    </w:p>
    <w:p>
      <w:pPr>
        <w:pStyle w:val="ListBullet"/>
        <w:spacing w:after="40" w:line="259" w:lineRule="auto"/>
      </w:pPr>
      <w:r>
        <w:rPr>
          <w:rFonts w:ascii="Noto Sans CJK SC" w:hAnsi="Noto Sans CJK SC" w:eastAsia="Noto Sans CJK SC" w:cs="Noto Sans CJK SC"/>
          <w:color w:val="1F2937"/>
          <w:sz w:val="20"/>
        </w:rPr>
        <w:t>拉通软著/CNAS/CB 申报清单，确定本周申报资料包。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482"/>
      </w:tblGrid>
      <w:tr>
        <w:tc>
          <w:tcPr>
            <w:tcW w:type="dxa" w:w="10482"/>
            <w:shd w:fill="FFF4E5"/>
            <w:tcBorders>
              <w:top w:sz="8" w:val="single" w:color="D97706"/>
              <w:bottom w:sz="8" w:val="single" w:color="D97706"/>
              <w:left w:sz="8" w:val="single" w:color="D97706"/>
              <w:right w:sz="8" w:val="single" w:color="D97706"/>
            </w:tcBorders>
          </w:tcPr>
          <w:p>
            <w:pPr>
              <w:spacing w:after="80"/>
            </w:pPr>
            <w:r>
              <w:rPr>
                <w:rFonts w:ascii="Noto Sans CJK SC" w:hAnsi="Noto Sans CJK SC" w:eastAsia="Noto Sans CJK SC" w:cs="Noto Sans CJK SC"/>
                <w:b/>
                <w:color w:val="D97706"/>
                <w:sz w:val="21"/>
              </w:rPr>
              <w:t>会后建议立刻创建的 3 个 Codex 任务</w:t>
            </w:r>
          </w:p>
          <w:p>
            <w:pPr>
              <w:spacing w:after="40" w:line="252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9"/>
              </w:rPr>
              <w:t>• 石家庄项目量化验收手册：当天生成初稿，明天中午前人工确认。</w:t>
            </w:r>
          </w:p>
          <w:p>
            <w:pPr>
              <w:spacing w:after="40" w:line="252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9"/>
              </w:rPr>
              <w:t>• 国庆一体机本地人脸方案：当天读代码并输出任务拆分，周五前形成排期依据。</w:t>
            </w:r>
          </w:p>
          <w:p>
            <w:pPr>
              <w:spacing w:after="40" w:line="252" w:lineRule="auto"/>
            </w:pPr>
            <w:r>
              <w:rPr>
                <w:rFonts w:ascii="Noto Sans CJK SC" w:hAnsi="Noto Sans CJK SC" w:eastAsia="Noto Sans CJK SC" w:cs="Noto Sans CJK SC"/>
                <w:color w:val="1F2937"/>
                <w:sz w:val="19"/>
              </w:rPr>
              <w:t>• AI Native 知识库目录：当天建立 docs/ai-native 模板，为后续会议录音/评审纪要入库。</w:t>
            </w:r>
          </w:p>
        </w:tc>
      </w:tr>
    </w:tbl>
    <w:p>
      <w:pPr>
        <w:spacing w:after="40"/>
      </w:pPr>
    </w:p>
    <w:p>
      <w:pPr>
        <w:pStyle w:val="Heading1"/>
        <w:keepNext/>
        <w:spacing w:before="280" w:after="120"/>
      </w:pPr>
      <w:r>
        <w:t>资料依据</w:t>
      </w:r>
    </w:p>
    <w:p>
      <w:pPr>
        <w:pStyle w:val="BodyText"/>
        <w:spacing w:after="60" w:line="276" w:lineRule="auto"/>
      </w:pPr>
      <w:r>
        <w:rPr>
          <w:rFonts w:ascii="Noto Sans CJK SC" w:hAnsi="Noto Sans CJK SC" w:eastAsia="Noto Sans CJK SC" w:cs="Noto Sans CJK SC"/>
          <w:color w:val="1F2937"/>
          <w:sz w:val="21"/>
        </w:rPr>
        <w:t>本纪要由上传的会议纪要 PDF 与原始转写 PDF 重新结构化整理而成，已将口语化表述改写为“结论 - 风险 - 责任人 - 交付物 - Codex 可执行任务”的格式。涉及未在会议中最终确认的节点、责任人、合同条款和认证口径，均需会后由对应负责人复核。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79" w:bottom="850" w:left="8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Noto Sans CJK SC" w:hAnsi="Noto Sans CJK SC" w:eastAsia="Noto Sans CJK SC" w:cs="Noto Sans CJK SC"/>
        <w:color w:val="667085"/>
        <w:sz w:val="16"/>
      </w:rPr>
      <w:t>内部资料｜会议纪要｜Codex App 可执行版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Noto Sans CJK SC" w:hAnsi="Noto Sans CJK SC" w:eastAsia="Noto Sans CJK SC" w:cs="Noto Sans CJK SC"/>
        <w:color w:val="667085"/>
        <w:sz w:val="17"/>
      </w:rPr>
      <w:t>AI原生协作与项目交付对齐会｜会议纪要（Codex App 可执行版）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69" w:lineRule="auto"/>
    </w:pPr>
    <w:rPr>
      <w:rFonts w:ascii="Noto Sans CJK SC" w:hAnsi="Noto Sans CJK SC" w:eastAsia="Noto Sans CJK SC" w:cs="Noto Sans CJK SC"/>
      <w:color w:val="1F2937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 w:line="269" w:lineRule="auto"/>
      <w:outlineLvl w:val="0"/>
    </w:pPr>
    <w:rPr>
      <w:rFonts w:asciiTheme="majorHAnsi" w:eastAsiaTheme="majorEastAsia" w:hAnsiTheme="majorHAnsi" w:cstheme="majorBidi" w:ascii="Noto Sans CJK SC" w:hAnsi="Noto Sans CJK SC" w:eastAsia="Noto Sans CJK SC" w:cs="Noto Sans CJK SC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 w:line="269" w:lineRule="auto"/>
      <w:outlineLvl w:val="1"/>
    </w:pPr>
    <w:rPr>
      <w:rFonts w:asciiTheme="majorHAnsi" w:eastAsiaTheme="majorEastAsia" w:hAnsiTheme="majorHAnsi" w:cstheme="majorBidi" w:ascii="Noto Sans CJK SC" w:hAnsi="Noto Sans CJK SC" w:eastAsia="Noto Sans CJK SC" w:cs="Noto Sans CJK SC"/>
      <w:b/>
      <w:bCs/>
      <w:color w:val="34405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Sans CJK SC" w:hAnsi="Noto Sans CJK SC" w:eastAsia="Noto Sans CJK SC" w:cs="Noto Sans CJK SC"/>
      <w:b/>
      <w:color w:val="1F4E79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69" w:lineRule="auto"/>
    </w:pPr>
    <w:rPr>
      <w:rFonts w:ascii="Noto Sans CJK SC" w:hAnsi="Noto Sans CJK SC" w:eastAsia="Noto Sans CJK SC" w:cs="Noto Sans CJK SC"/>
      <w:color w:val="1F2937"/>
      <w:sz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line="269" w:lineRule="auto"/>
      <w:contextualSpacing/>
    </w:pPr>
    <w:rPr>
      <w:rFonts w:ascii="Noto Sans CJK SC" w:hAnsi="Noto Sans CJK SC" w:eastAsia="Noto Sans CJK SC" w:cs="Noto Sans CJK SC"/>
      <w:color w:val="1F2937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line="269" w:lineRule="auto"/>
      <w:contextualSpacing/>
    </w:pPr>
    <w:rPr>
      <w:rFonts w:ascii="Noto Sans CJK SC" w:hAnsi="Noto Sans CJK SC" w:eastAsia="Noto Sans CJK SC" w:cs="Noto Sans CJK SC"/>
      <w:color w:val="1F2937"/>
      <w:sz w:val="20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AI原生协作与项目交付对齐会 会议纪要 Codex App 可执行版</dc:title>
  <dc:subject>会议纪要、项目交付、AI Native、Codex App</dc:subject>
  <dc:creator>OpenAI</dc:creator>
  <cp:keywords>AI Native, Codex App, 会议纪要, 项目交付, 石家庄, 国庆项目, 滨州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