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 w:eastAsia="Microsoft YaHei"/>
          <w:b/>
          <w:color w:val="1F4E79"/>
          <w:sz w:val="44"/>
        </w:rPr>
        <w:t>智慧食堂产品标准化周会材料</w:t>
      </w:r>
    </w:p>
    <w:p>
      <w:pPr>
        <w:jc w:val="center"/>
      </w:pPr>
      <w:r>
        <w:rPr>
          <w:rFonts w:ascii="Microsoft YaHei" w:hAnsi="Microsoft YaHei" w:eastAsia="Microsoft YaHei"/>
          <w:color w:val="595959"/>
          <w:sz w:val="22"/>
        </w:rPr>
        <w:t>围绕机场/赛迪、金斯瑞、206 与重庆环卫参数库形成可复制产品模块</w:t>
      </w:r>
    </w:p>
    <w:p>
      <w:pPr>
        <w:pStyle w:val="Heading1"/>
      </w:pPr>
      <w:r>
        <w:rPr>
          <w:rFonts w:ascii="Microsoft YaHei" w:hAnsi="Microsoft YaHei" w:eastAsia="Microsoft YaHei"/>
          <w:color w:val="1F4E79"/>
        </w:rPr>
        <w:t>一、核心结论</w:t>
      </w:r>
    </w:p>
    <w:p>
      <w:pPr>
        <w:spacing w:after="120" w:line="276" w:lineRule="auto"/>
      </w:pPr>
      <w:r>
        <w:rPr>
          <w:rFonts w:ascii="Microsoft YaHei" w:hAnsi="Microsoft YaHei" w:eastAsia="Microsoft YaHei"/>
        </w:rPr>
        <w:t>本次材料只保留一个判断：产品标准化不是把所有项目做成一模一样，而是把每个项目拆成“标准产品模块 + 项目定制适配”。项目越多，标准模块越清楚，定制边界越清楚，下一次复制就越快。</w:t>
      </w:r>
    </w:p>
    <w:p>
      <w:pPr>
        <w:spacing w:after="120" w:line="276" w:lineRule="auto"/>
      </w:pPr>
      <w:r>
        <w:rPr>
          <w:rFonts w:ascii="Microsoft YaHei" w:hAnsi="Microsoft YaHei" w:eastAsia="Microsoft YaHei"/>
        </w:rPr>
        <w:t>周会表达建议：机场/赛迪让营养结算主系统和主流程落地；金斯瑞让前厅、后厨、食安和多设备联调跑通；206 让纯内网、国产化数据库、国产化服务器和复杂网络环境跑通。这三个项目合在一起，正在形成智慧营养健康餐厅的标准产品包。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rPr>
          <w:tblHeader w:val="true"/>
        </w:trPr>
        <w:tc>
          <w:tcPr>
            <w:tcW w:type="dxa" w:w="1701"/>
            <w:vAlign w:val="center"/>
            <w:shd w:fill="1F4E79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层次</w:t>
            </w:r>
          </w:p>
        </w:tc>
        <w:tc>
          <w:tcPr>
            <w:tcW w:type="dxa" w:w="4535"/>
            <w:vAlign w:val="center"/>
            <w:shd w:fill="1F4E79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要讲清楚的内容</w:t>
            </w:r>
          </w:p>
        </w:tc>
        <w:tc>
          <w:tcPr>
            <w:tcW w:type="dxa" w:w="2835"/>
            <w:vAlign w:val="center"/>
            <w:shd w:fill="1F4E79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证据支撑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标准产品模块</w:t>
            </w:r>
          </w:p>
        </w:tc>
        <w:tc>
          <w:tcPr>
            <w:tcW w:type="dxa" w:w="4535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营养结算、前厅交易结算、后厨食安进销存、餐前餐中餐后营养闭环、国产化/内网部署、设备接入与联调。</w:t>
            </w:r>
          </w:p>
        </w:tc>
        <w:tc>
          <w:tcPr>
            <w:tcW w:type="dxa" w:w="2835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项目清单、Word 方案功能清单、金斯瑞软硬件表、重庆环卫参数库。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项目定制适配</w:t>
            </w:r>
          </w:p>
        </w:tc>
        <w:tc>
          <w:tcPr>
            <w:tcW w:type="dxa" w:w="4535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客户现场网络、设备点位、第三方系统、OA/商城/咖啡机/无人售卖柜、国产数据库服务器环境、客户特殊流程。</w:t>
            </w:r>
          </w:p>
        </w:tc>
        <w:tc>
          <w:tcPr>
            <w:tcW w:type="dxa" w:w="2835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机场/赛迪消费策略和商城对接；金斯瑞 OA 与多设备联调；206 服务器/数据库/网络问题。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复制方式</w:t>
            </w:r>
          </w:p>
        </w:tc>
        <w:tc>
          <w:tcPr>
            <w:tcW w:type="dxa" w:w="4535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每个项目沉淀为一张产品卡：标准模块、定制边界、报价/实施清单、验收证据、可转招投标参数。</w:t>
            </w:r>
          </w:p>
        </w:tc>
        <w:tc>
          <w:tcPr>
            <w:tcW w:type="dxa" w:w="2835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项目标准化地图、品类汇总、控制参数库。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Microsoft YaHei"/>
          <w:color w:val="1F4E79"/>
        </w:rPr>
        <w:t>二、项目如何沉淀为产品模块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17"/>
        <w:gridCol w:w="2017"/>
        <w:gridCol w:w="2017"/>
        <w:gridCol w:w="2017"/>
        <w:gridCol w:w="2017"/>
      </w:tblGrid>
      <w:tr>
        <w:trPr>
          <w:tblHeader w:val="true"/>
        </w:trPr>
        <w:tc>
          <w:tcPr>
            <w:tcW w:type="dxa" w:w="1247"/>
            <w:vAlign w:val="center"/>
            <w:shd w:fill="1F4E79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项目</w:t>
            </w:r>
          </w:p>
        </w:tc>
        <w:tc>
          <w:tcPr>
            <w:tcW w:type="dxa" w:w="2381"/>
            <w:vAlign w:val="center"/>
            <w:shd w:fill="1F4E79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已上线/落地内容</w:t>
            </w:r>
          </w:p>
        </w:tc>
        <w:tc>
          <w:tcPr>
            <w:tcW w:type="dxa" w:w="2381"/>
            <w:vAlign w:val="center"/>
            <w:shd w:fill="1F4E79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形成的标准产品模块</w:t>
            </w:r>
          </w:p>
        </w:tc>
        <w:tc>
          <w:tcPr>
            <w:tcW w:type="dxa" w:w="2154"/>
            <w:vAlign w:val="center"/>
            <w:shd w:fill="1F4E79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定制化部分</w:t>
            </w:r>
          </w:p>
        </w:tc>
        <w:tc>
          <w:tcPr>
            <w:tcW w:type="dxa" w:w="2154"/>
            <w:vAlign w:val="center"/>
            <w:shd w:fill="1F4E79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数据口径与证据</w:t>
            </w:r>
          </w:p>
        </w:tc>
      </w:tr>
      <w:tr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机场/赛迪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营养结算系统主系统已搭建，人员、账户、充值、收银、结算、对账、消费策略等主流程已落地。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营养结算 1.0 标准场景：平台 + 收银秤/挂式收银机 + IC/发卡 + 结算对账 + 消费策略边界。</w:t>
            </w:r>
          </w:p>
        </w:tc>
        <w:tc>
          <w:tcPr>
            <w:tcW w:type="dxa" w:w="2154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线上商城对接、消费策略定制开发、客户流程适配、现场服务单。</w:t>
            </w:r>
          </w:p>
        </w:tc>
        <w:tc>
          <w:tcPr>
            <w:tcW w:type="dxa" w:w="2154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项目标准化地图金额约 192,900；标准化/定制化约 50%/50%。</w:t>
            </w:r>
          </w:p>
        </w:tc>
      </w:tr>
      <w:tr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金斯瑞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大部分工作集中在设备联调联试，并投入客户真实使用；覆盖南京、镇江两地前厅与后厨/食安设备。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前厅交易设备包 + 后厨食安设备包 + 多设备联调清单 + 两园区复制模板。</w:t>
            </w:r>
          </w:p>
        </w:tc>
        <w:tc>
          <w:tcPr>
            <w:tcW w:type="dxa" w:w="2154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OA 平台对接、两地设备组合差异、叫号/取餐/食安点位适配、上线数据清理与刷卡测试。</w:t>
            </w:r>
          </w:p>
        </w:tc>
        <w:tc>
          <w:tcPr>
            <w:tcW w:type="dxa" w:w="2154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项目标准化地图金额约 449,400；标准化/定制化约 65%/35%；来源为金斯瑞实施计划与设备清单。</w:t>
            </w:r>
          </w:p>
        </w:tc>
      </w:tr>
      <w:tr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206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重点解决纯内网部署、国产化数据库、国产化服务器运行，以及服务器、数据库、网络三个问题。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内网国产化部署包：服务器、数据库、网络、设备接入、现场排障、外部设备消费扣款闭环。</w:t>
            </w:r>
          </w:p>
        </w:tc>
        <w:tc>
          <w:tcPr>
            <w:tcW w:type="dxa" w:w="2154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新食堂现场点位、无人售卖机/售卖柜、补打/出货逻辑、客户内网环境适配。</w:t>
            </w:r>
          </w:p>
        </w:tc>
        <w:tc>
          <w:tcPr>
            <w:tcW w:type="dxa" w:w="2154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项目标准化地图金额约 541,385；另一个项目证据库单项采购口径为 399,820，金额口径需后续统一。</w:t>
            </w:r>
          </w:p>
        </w:tc>
      </w:tr>
      <w:tr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重庆环卫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不作为单个上线案例重点讲，而作为参数化模板使用。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招投标参数库：把餐前、餐中、餐后的能力转成可评分、可验收、可报价的参数。</w:t>
            </w:r>
          </w:p>
        </w:tc>
        <w:tc>
          <w:tcPr>
            <w:tcW w:type="dxa" w:w="2154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需结合不同客户资质、国产化要求、安全测评要求调整。</w:t>
            </w:r>
          </w:p>
        </w:tc>
        <w:tc>
          <w:tcPr>
            <w:tcW w:type="dxa" w:w="2154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控制参数库 v0.2：覆盖资质、商务评分、软件功能、硬件参数、国产化与验收要求。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Microsoft YaHei"/>
          <w:color w:val="1F4E79"/>
        </w:rPr>
        <w:t>三、金斯瑞软硬件证据：前厅与后厨分别沉淀什么</w:t>
      </w:r>
    </w:p>
    <w:p>
      <w:pPr>
        <w:spacing w:after="120" w:line="276" w:lineRule="auto"/>
      </w:pPr>
      <w:r>
        <w:rPr>
          <w:rFonts w:ascii="Microsoft YaHei" w:hAnsi="Microsoft YaHei" w:eastAsia="Microsoft YaHei"/>
        </w:rPr>
        <w:t>金斯瑞项目的价值，不是只证明某个功能能用，而是证明前厅交易、称重结算、叫号取餐、后厨食安、视频与传感器、服务器和系统对接可以在客户现场组合运行。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rPr>
          <w:tblHeader w:val="true"/>
        </w:trPr>
        <w:tc>
          <w:tcPr>
            <w:tcW w:type="dxa" w:w="1247"/>
            <w:vAlign w:val="center"/>
            <w:shd w:fill="1F4E79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区域</w:t>
            </w:r>
          </w:p>
        </w:tc>
        <w:tc>
          <w:tcPr>
            <w:tcW w:type="dxa" w:w="2948"/>
            <w:vAlign w:val="center"/>
            <w:shd w:fill="1F4E79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南京设备</w:t>
            </w:r>
          </w:p>
        </w:tc>
        <w:tc>
          <w:tcPr>
            <w:tcW w:type="dxa" w:w="2948"/>
            <w:vAlign w:val="center"/>
            <w:shd w:fill="1F4E79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镇江设备</w:t>
            </w:r>
          </w:p>
        </w:tc>
        <w:tc>
          <w:tcPr>
            <w:tcW w:type="dxa" w:w="2494"/>
            <w:vAlign w:val="center"/>
            <w:shd w:fill="1F4E79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可沉淀的产品模块</w:t>
            </w:r>
          </w:p>
        </w:tc>
      </w:tr>
      <w:tr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前厅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档口人脸消费机 17 台；自选称重结算设备 5 台；叫号信息盒 8 台；小票打印机 8 台；自助交互终端 1 台。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视觉结算台 2 台；台式收银机 13 台；智能称重收银机 2 台；信息发布盒 2 台；叫号信息盒 7 台。</w:t>
            </w:r>
          </w:p>
        </w:tc>
        <w:tc>
          <w:tcPr>
            <w:tcW w:type="dxa" w:w="2494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前厅交易结算设备包：人脸消费、称重结算、视觉结算、叫号、打印、自助交互。</w:t>
            </w:r>
          </w:p>
        </w:tc>
      </w:tr>
      <w:tr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后厨/食安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智能留样柜 1 台；智能分析盒 1 台；摄像头 4 个；16 路硬盘录像机 1 台。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食品安全监督管理系统 1 套；服务器 1 台；并配置电子菜谱管理系统。</w:t>
            </w:r>
          </w:p>
        </w:tc>
        <w:tc>
          <w:tcPr>
            <w:tcW w:type="dxa" w:w="2494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后厨食安设备包：留样、视频、AI 分析、晨检、传感器、食安监管。</w:t>
            </w:r>
          </w:p>
        </w:tc>
      </w:tr>
      <w:tr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环境与对接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云服务器环境、支付通道、刷卡测试、数据清理、移动端登录调整。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OA 平台对接、两地设备组合与现场联调。</w:t>
            </w:r>
          </w:p>
        </w:tc>
        <w:tc>
          <w:tcPr>
            <w:tcW w:type="dxa" w:w="2494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实施联调清单：网络、电源、点位、账号、人员、余额、脸库、IC 卡、支付、报表验证。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Microsoft YaHei"/>
          <w:color w:val="1F4E79"/>
        </w:rPr>
        <w:t>四、餐前餐中餐后：从营养能力到产品参数</w:t>
      </w:r>
    </w:p>
    <w:p>
      <w:pPr>
        <w:spacing w:after="120" w:line="276" w:lineRule="auto"/>
      </w:pPr>
      <w:r>
        <w:rPr>
          <w:rFonts w:ascii="Microsoft YaHei" w:hAnsi="Microsoft YaHei" w:eastAsia="Microsoft YaHei"/>
        </w:rPr>
        <w:t>餐前餐中餐后是本次最需要讲深的产品标准化主线。它把康比特营养健康能力，从专家经验变成系统流程，再变成客户采购和招投标能识别的技术参数。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472000" cy="1013929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101392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Microsoft YaHei" w:hAnsi="Microsoft YaHei" w:eastAsia="Microsoft YaHei"/>
          <w:i/>
          <w:color w:val="595959"/>
          <w:sz w:val="18"/>
        </w:rPr>
        <w:t>图 1：餐前注册、健康目标、个性化菜单、到店取餐、营养报告的完整闭环。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472000" cy="285045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8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8504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Microsoft YaHei" w:hAnsi="Microsoft YaHei" w:eastAsia="Microsoft YaHei"/>
          <w:i/>
          <w:color w:val="595959"/>
          <w:sz w:val="18"/>
        </w:rPr>
        <w:t>图 2：餐中设备端展示菜品、重量、热量、推荐摄入和提醒。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472000" cy="290227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8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9022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Microsoft YaHei" w:hAnsi="Microsoft YaHei" w:eastAsia="Microsoft YaHei"/>
          <w:i/>
          <w:color w:val="595959"/>
          <w:sz w:val="18"/>
        </w:rPr>
        <w:t>图 3：餐中红绿灯式营养指导，可转化为实时提醒和干预参数。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472000" cy="612342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9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612342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Microsoft YaHei" w:hAnsi="Microsoft YaHei" w:eastAsia="Microsoft YaHei"/>
          <w:i/>
          <w:color w:val="595959"/>
          <w:sz w:val="18"/>
        </w:rPr>
        <w:t>图 4：餐后形成个人和群体营养资产报告，支持复盘与管理。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rPr>
          <w:tblHeader w:val="true"/>
        </w:trPr>
        <w:tc>
          <w:tcPr>
            <w:tcW w:type="dxa" w:w="1247"/>
            <w:vAlign w:val="center"/>
            <w:shd w:fill="1F4E79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阶段</w:t>
            </w:r>
          </w:p>
        </w:tc>
        <w:tc>
          <w:tcPr>
            <w:tcW w:type="dxa" w:w="2835"/>
            <w:vAlign w:val="center"/>
            <w:shd w:fill="1F4E79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产品能力</w:t>
            </w:r>
          </w:p>
        </w:tc>
        <w:tc>
          <w:tcPr>
            <w:tcW w:type="dxa" w:w="3742"/>
            <w:vAlign w:val="center"/>
            <w:shd w:fill="1F4E79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可转成招投标参数的表达</w:t>
            </w:r>
          </w:p>
        </w:tc>
        <w:tc>
          <w:tcPr>
            <w:tcW w:type="dxa" w:w="1928"/>
            <w:vAlign w:val="center"/>
            <w:shd w:fill="1F4E79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证据</w:t>
            </w:r>
          </w:p>
        </w:tc>
      </w:tr>
      <w:tr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餐前</w:t>
            </w:r>
          </w:p>
        </w:tc>
        <w:tc>
          <w:tcPr>
            <w:tcW w:type="dxa" w:w="2835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小程序注册、上传体检信息、关联运动数据/体重秤、设置健康或体重目标、生成个性化菜单。</w:t>
            </w:r>
          </w:p>
        </w:tc>
        <w:tc>
          <w:tcPr>
            <w:tcW w:type="dxa" w:w="3742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支持接入运动数据、体检数据、体重目标；支持基于 BMI、健康指标和个人目标生成摄入建议。</w:t>
            </w:r>
          </w:p>
        </w:tc>
        <w:tc>
          <w:tcPr>
            <w:tcW w:type="dxa" w:w="1928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Word 方案餐前流程图；方案文字“关联运动数据/体检数据/体重秤”。</w:t>
            </w:r>
          </w:p>
        </w:tc>
      </w:tr>
      <w:tr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餐中</w:t>
            </w:r>
          </w:p>
        </w:tc>
        <w:tc>
          <w:tcPr>
            <w:tcW w:type="dxa" w:w="2835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设备端识别人员和菜品，展示推荐克重、剩余推荐摄入量、热量超标提醒、菜品推荐。</w:t>
            </w:r>
          </w:p>
        </w:tc>
        <w:tc>
          <w:tcPr>
            <w:tcW w:type="dxa" w:w="3742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支持餐中实时推荐克重、剩余推荐量、超标提醒；支持不少于 12 类标签，识别准确率可写入参数；支持红绿灯式指导。</w:t>
            </w:r>
          </w:p>
        </w:tc>
        <w:tc>
          <w:tcPr>
            <w:tcW w:type="dxa" w:w="1928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Word 方案设备截图；方案参数中包含标签、识别准确率和实时建议示例。</w:t>
            </w:r>
          </w:p>
        </w:tc>
      </w:tr>
      <w:tr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餐后</w:t>
            </w:r>
          </w:p>
        </w:tc>
        <w:tc>
          <w:tcPr>
            <w:tcW w:type="dxa" w:w="2835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个人日/周/月/年报告，群体报告，营养摄入分析，导出、打印、科普宣教。</w:t>
            </w:r>
          </w:p>
        </w:tc>
        <w:tc>
          <w:tcPr>
            <w:tcW w:type="dxa" w:w="3742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支持不少于 30 项摄入分析指标；支持个人与群体营养报告导出打印；支持日/周/月/年统计；内置食材库、菜品库、营养科普。</w:t>
            </w:r>
          </w:p>
        </w:tc>
        <w:tc>
          <w:tcPr>
            <w:tcW w:type="dxa" w:w="1928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方案参数：不少于 2000 个食材、1500 个菜品、60 篇营养文章；报告截图。</w:t>
            </w:r>
          </w:p>
        </w:tc>
      </w:tr>
      <w:tr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投标参数化</w:t>
            </w:r>
          </w:p>
        </w:tc>
        <w:tc>
          <w:tcPr>
            <w:tcW w:type="dxa" w:w="2835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把营养闭环拆成软件参数、硬件参数、国产化参数、验收参数。</w:t>
            </w:r>
          </w:p>
        </w:tc>
        <w:tc>
          <w:tcPr>
            <w:tcW w:type="dxa" w:w="3742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按重庆环卫参数库口径组织：资质、商务评分、软件功能、硬件规格、国产化部署、安全测评和验收。</w:t>
            </w:r>
          </w:p>
        </w:tc>
        <w:tc>
          <w:tcPr>
            <w:tcW w:type="dxa" w:w="1928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控制参数库 v0.2。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Microsoft YaHei"/>
          <w:color w:val="1F4E79"/>
        </w:rPr>
        <w:t>五、已经形成的产品标准模块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rPr>
          <w:tblHeader w:val="true"/>
        </w:trPr>
        <w:tc>
          <w:tcPr>
            <w:tcW w:type="dxa" w:w="1814"/>
            <w:vAlign w:val="center"/>
            <w:shd w:fill="1F4E79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标准模块</w:t>
            </w:r>
          </w:p>
        </w:tc>
        <w:tc>
          <w:tcPr>
            <w:tcW w:type="dxa" w:w="2835"/>
            <w:vAlign w:val="center"/>
            <w:shd w:fill="1F4E79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已覆盖项目/证据</w:t>
            </w:r>
          </w:p>
        </w:tc>
        <w:tc>
          <w:tcPr>
            <w:tcW w:type="dxa" w:w="2268"/>
            <w:vAlign w:val="center"/>
            <w:shd w:fill="1F4E79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当前成熟度判断</w:t>
            </w:r>
          </w:p>
        </w:tc>
        <w:tc>
          <w:tcPr>
            <w:tcW w:type="dxa" w:w="2835"/>
            <w:vAlign w:val="center"/>
            <w:shd w:fill="1F4E79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下一步标准化动作</w:t>
            </w:r>
          </w:p>
        </w:tc>
      </w:tr>
      <w:tr>
        <w:tc>
          <w:tcPr>
            <w:tcW w:type="dxa" w:w="1814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营养结算主系统</w:t>
            </w:r>
          </w:p>
        </w:tc>
        <w:tc>
          <w:tcPr>
            <w:tcW w:type="dxa" w:w="2835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机场/赛迪主流程落地；Word 方案中形成餐前餐中餐后闭环。</w:t>
            </w:r>
          </w:p>
        </w:tc>
        <w:tc>
          <w:tcPr>
            <w:tcW w:type="dxa" w:w="2268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从方案进入主流程落地阶段。</w:t>
            </w:r>
          </w:p>
        </w:tc>
        <w:tc>
          <w:tcPr>
            <w:tcW w:type="dxa" w:w="2835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固化人员、账户、充值、收银、结算、对账、报告、商城/消费策略边界。</w:t>
            </w:r>
          </w:p>
        </w:tc>
      </w:tr>
      <w:tr>
        <w:tc>
          <w:tcPr>
            <w:tcW w:type="dxa" w:w="1814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前厅交易结算设备包</w:t>
            </w:r>
          </w:p>
        </w:tc>
        <w:tc>
          <w:tcPr>
            <w:tcW w:type="dxa" w:w="2835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金斯瑞、206、机场/赛迪等项目出现收银机、称重结算、视觉结算、绑盘机、消费机等。</w:t>
            </w:r>
          </w:p>
        </w:tc>
        <w:tc>
          <w:tcPr>
            <w:tcW w:type="dxa" w:w="2268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设备类型已较丰富，但需要形成标准报价和联调清单。</w:t>
            </w:r>
          </w:p>
        </w:tc>
        <w:tc>
          <w:tcPr>
            <w:tcW w:type="dxa" w:w="2835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按场景拆为档口收银、称重自助、视觉结算、叫号取餐、打印/交互五类。</w:t>
            </w:r>
          </w:p>
        </w:tc>
      </w:tr>
      <w:tr>
        <w:tc>
          <w:tcPr>
            <w:tcW w:type="dxa" w:w="1814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后厨食安进销存设备包</w:t>
            </w:r>
          </w:p>
        </w:tc>
        <w:tc>
          <w:tcPr>
            <w:tcW w:type="dxa" w:w="2835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金斯瑞留样柜、分析盒、摄像头、NVR、传感器；多个项目包含食安监管和进销存。</w:t>
            </w:r>
          </w:p>
        </w:tc>
        <w:tc>
          <w:tcPr>
            <w:tcW w:type="dxa" w:w="2268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具备产品组合基础。</w:t>
            </w:r>
          </w:p>
        </w:tc>
        <w:tc>
          <w:tcPr>
            <w:tcW w:type="dxa" w:w="2835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形成后厨食安基础包、增强包、国产化政企包。</w:t>
            </w:r>
          </w:p>
        </w:tc>
      </w:tr>
      <w:tr>
        <w:tc>
          <w:tcPr>
            <w:tcW w:type="dxa" w:w="1814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国产化/内网部署包</w:t>
            </w:r>
          </w:p>
        </w:tc>
        <w:tc>
          <w:tcPr>
            <w:tcW w:type="dxa" w:w="2835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206 重点解决服务器、数据库、网络；Word 方案明确支持国产化系统部署，用户数据库为人大金仓。</w:t>
            </w:r>
          </w:p>
        </w:tc>
        <w:tc>
          <w:tcPr>
            <w:tcW w:type="dxa" w:w="2268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是政企复制的关键能力，但证据还需补齐。</w:t>
            </w:r>
          </w:p>
        </w:tc>
        <w:tc>
          <w:tcPr>
            <w:tcW w:type="dxa" w:w="2835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沉淀部署检查清单、数据库适配清单、网络排障清单、验收截图。</w:t>
            </w:r>
          </w:p>
        </w:tc>
      </w:tr>
      <w:tr>
        <w:tc>
          <w:tcPr>
            <w:tcW w:type="dxa" w:w="1814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招投标参数库</w:t>
            </w:r>
          </w:p>
        </w:tc>
        <w:tc>
          <w:tcPr>
            <w:tcW w:type="dxa" w:w="2835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重庆环卫参数库已覆盖资质、商务、软件、硬件、国产化、安全测评。</w:t>
            </w:r>
          </w:p>
        </w:tc>
        <w:tc>
          <w:tcPr>
            <w:tcW w:type="dxa" w:w="2268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已具备方法框架。</w:t>
            </w:r>
          </w:p>
        </w:tc>
        <w:tc>
          <w:tcPr>
            <w:tcW w:type="dxa" w:w="2835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把本次餐前餐中餐后指标补入 v1.0 参数库。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Microsoft YaHei"/>
          <w:color w:val="1F4E79"/>
        </w:rPr>
        <w:t>六、下一步规划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rPr>
          <w:tblHeader w:val="true"/>
        </w:trPr>
        <w:tc>
          <w:tcPr>
            <w:tcW w:type="dxa" w:w="1361"/>
            <w:vAlign w:val="center"/>
            <w:shd w:fill="1F4E79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时间</w:t>
            </w:r>
          </w:p>
        </w:tc>
        <w:tc>
          <w:tcPr>
            <w:tcW w:type="dxa" w:w="2268"/>
            <w:vAlign w:val="center"/>
            <w:shd w:fill="1F4E79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目标</w:t>
            </w:r>
          </w:p>
        </w:tc>
        <w:tc>
          <w:tcPr>
            <w:tcW w:type="dxa" w:w="3628"/>
            <w:vAlign w:val="center"/>
            <w:shd w:fill="1F4E79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具体动作</w:t>
            </w:r>
          </w:p>
        </w:tc>
        <w:tc>
          <w:tcPr>
            <w:tcW w:type="dxa" w:w="2381"/>
            <w:vAlign w:val="center"/>
            <w:shd w:fill="1F4E79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交付物</w:t>
            </w:r>
          </w:p>
        </w:tc>
      </w:tr>
      <w:tr>
        <w:tc>
          <w:tcPr>
            <w:tcW w:type="dxa" w:w="1361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下周</w:t>
            </w:r>
          </w:p>
        </w:tc>
        <w:tc>
          <w:tcPr>
            <w:tcW w:type="dxa" w:w="2268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把本次周会材料落到可复用证据。</w:t>
            </w:r>
          </w:p>
        </w:tc>
        <w:tc>
          <w:tcPr>
            <w:tcW w:type="dxa" w:w="3628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完成机场/赛迪、金斯瑞、206 三张产品标准化样板卡；统一项目金额口径；把原始截图和来源文件路径登记清楚。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3 张项目标准化卡片；证据目录；金额口径说明。</w:t>
            </w:r>
          </w:p>
        </w:tc>
      </w:tr>
      <w:tr>
        <w:tc>
          <w:tcPr>
            <w:tcW w:type="dxa" w:w="1361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两周内</w:t>
            </w:r>
          </w:p>
        </w:tc>
        <w:tc>
          <w:tcPr>
            <w:tcW w:type="dxa" w:w="2268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形成标准产品包 v1.0。</w:t>
            </w:r>
          </w:p>
        </w:tc>
        <w:tc>
          <w:tcPr>
            <w:tcW w:type="dxa" w:w="3628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整理营养结算、前厅设备、后厨食安、国产化内网部署、第三方设备接入五类模块。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标准产品模块清单；软硬件配置模板；实施联调检查清单。</w:t>
            </w:r>
          </w:p>
        </w:tc>
      </w:tr>
      <w:tr>
        <w:tc>
          <w:tcPr>
            <w:tcW w:type="dxa" w:w="1361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一个月内</w:t>
            </w:r>
          </w:p>
        </w:tc>
        <w:tc>
          <w:tcPr>
            <w:tcW w:type="dxa" w:w="2268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形成可用于售前和招投标的参数库。</w:t>
            </w:r>
          </w:p>
        </w:tc>
        <w:tc>
          <w:tcPr>
            <w:tcW w:type="dxa" w:w="3628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把重庆环卫参数库与餐前餐中餐后能力合并，补齐软件参数、硬件参数、国产化参数、验收截图。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智慧营养健康餐厅招投标参数库 v1.0。</w:t>
            </w:r>
          </w:p>
        </w:tc>
      </w:tr>
      <w:tr>
        <w:tc>
          <w:tcPr>
            <w:tcW w:type="dxa" w:w="1361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持续机制</w:t>
            </w:r>
          </w:p>
        </w:tc>
        <w:tc>
          <w:tcPr>
            <w:tcW w:type="dxa" w:w="2268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让每个项目都反哺产品标准化。</w:t>
            </w:r>
          </w:p>
        </w:tc>
        <w:tc>
          <w:tcPr>
            <w:tcW w:type="dxa" w:w="3628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项目复盘时固定记录：标准模块、定制边界、可复用参数、未标准化问题、下一次复制方式。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9"/>
              </w:rPr>
              <w:t>产品标准化看板；项目复盘模板；周会跟踪口径。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Microsoft YaHei"/>
          <w:color w:val="1F4E79"/>
        </w:rPr>
        <w:t>七、来源与证据路径</w:t>
      </w:r>
    </w:p>
    <w:p>
      <w:pPr>
        <w:pStyle w:val="ListBullet"/>
        <w:spacing w:after="60"/>
      </w:pPr>
      <w:r>
        <w:rPr>
          <w:rFonts w:ascii="Microsoft YaHei" w:hAnsi="Microsoft YaHei" w:eastAsia="Microsoft YaHei"/>
          <w:sz w:val="21"/>
        </w:rPr>
        <w:t>原始 Word：/Users/jack/Library/Containers/com.tencent.xinWeChat/Data/Documents/xwechat_files/aqua118_1a62/temp/drag/260306智慧食堂方案(3).docx；SHA256：5189706b1b80ebcd0ebfaf47cc44dcebd2f68afae900fbf9abe9ad02c017dcb9。</w:t>
      </w:r>
    </w:p>
    <w:p>
      <w:pPr>
        <w:pStyle w:val="ListBullet"/>
        <w:spacing w:after="60"/>
      </w:pPr>
      <w:r>
        <w:rPr>
          <w:rFonts w:ascii="Microsoft YaHei" w:hAnsi="Microsoft YaHei" w:eastAsia="Microsoft YaHei"/>
          <w:sz w:val="21"/>
        </w:rPr>
        <w:t>Word 派生 Markdown：work/2026-05-30-product-standardization-weekly-talking-points/docx-extract/260306-smart-canteen-solution.md。</w:t>
      </w:r>
    </w:p>
    <w:p>
      <w:pPr>
        <w:pStyle w:val="ListBullet"/>
        <w:spacing w:after="60"/>
      </w:pPr>
      <w:r>
        <w:rPr>
          <w:rFonts w:ascii="Microsoft YaHei" w:hAnsi="Microsoft YaHei" w:eastAsia="Microsoft YaHei"/>
          <w:sz w:val="21"/>
        </w:rPr>
        <w:t>Word 原始图片：work/2026-05-30-product-standardization-weekly-talking-points/docx-extract/media/。</w:t>
      </w:r>
    </w:p>
    <w:p>
      <w:pPr>
        <w:pStyle w:val="ListBullet"/>
        <w:spacing w:after="60"/>
      </w:pPr>
      <w:r>
        <w:rPr>
          <w:rFonts w:ascii="Microsoft YaHei" w:hAnsi="Microsoft YaHei" w:eastAsia="Microsoft YaHei"/>
          <w:sz w:val="21"/>
        </w:rPr>
        <w:t>金斯瑞软硬件表：work/2026-05-23-gpt-monthly-planning-context-pack/04_mac_file_index/raw-small/金斯瑞智慧食堂实施计划20260324.xlsx。</w:t>
      </w:r>
    </w:p>
    <w:p>
      <w:pPr>
        <w:pStyle w:val="ListBullet"/>
        <w:spacing w:after="60"/>
      </w:pPr>
      <w:r>
        <w:rPr>
          <w:rFonts w:ascii="Microsoft YaHei" w:hAnsi="Microsoft YaHei" w:eastAsia="Microsoft YaHei"/>
          <w:sz w:val="21"/>
        </w:rPr>
        <w:t>项目标准化地图：work/2026-05-29-product-standardization-ai-native-weekly-material/project-standardization-map.csv。</w:t>
      </w:r>
    </w:p>
    <w:p>
      <w:pPr>
        <w:pStyle w:val="ListBullet"/>
        <w:spacing w:after="60"/>
      </w:pPr>
      <w:r>
        <w:rPr>
          <w:rFonts w:ascii="Microsoft YaHei" w:hAnsi="Microsoft YaHei" w:eastAsia="Microsoft YaHei"/>
          <w:sz w:val="21"/>
        </w:rPr>
        <w:t>项目品类汇总：work/2026-05-29-smart-canteen-15-project-product-evidence-database/product-category-summary.csv。</w:t>
      </w:r>
    </w:p>
    <w:p>
      <w:pPr>
        <w:pStyle w:val="ListBullet"/>
        <w:spacing w:after="60"/>
      </w:pPr>
      <w:r>
        <w:rPr>
          <w:rFonts w:ascii="Microsoft YaHei" w:hAnsi="Microsoft YaHei" w:eastAsia="Microsoft YaHei"/>
          <w:sz w:val="21"/>
        </w:rPr>
        <w:t>项目证据库：work/2026-05-29-smart-canteen-15-project-product-evidence-database/project-product-evidence-db.csv。</w:t>
      </w:r>
    </w:p>
    <w:p>
      <w:pPr>
        <w:pStyle w:val="ListBullet"/>
        <w:spacing w:after="60"/>
      </w:pPr>
      <w:r>
        <w:rPr>
          <w:rFonts w:ascii="Microsoft YaHei" w:hAnsi="Microsoft YaHei" w:eastAsia="Microsoft YaHei"/>
          <w:sz w:val="21"/>
        </w:rPr>
        <w:t>重庆环卫参数库：standards-stack/product-strategy/smart-canteen/bid-parameter-library/control-parameter-library-v0.2.md。</w:t>
      </w:r>
    </w:p>
    <w:p>
      <w:pPr>
        <w:sectPr>
          <w:footerReference w:type="default" r:id="rId13"/>
          <w:pgSz w:w="12240" w:h="15840"/>
          <w:pgMar w:top="1020" w:right="1077" w:bottom="1020" w:left="1077" w:header="720" w:footer="720" w:gutter="0"/>
          <w:cols w:space="720"/>
          <w:docGrid w:linePitch="360"/>
        </w:sectPr>
      </w:pPr>
    </w:p>
    <w:sectPr w:rsidR="00FC693F" w:rsidRPr="0006063C" w:rsidSect="00034616">
      <w:type w:val="continuous"/>
      <w:pgSz w:w="12240" w:h="15840"/>
      <w:pgMar w:top="1020" w:right="1077" w:bottom="102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icrosoft YaHei" w:hAnsi="Microsoft YaHei" w:eastAsia="Microsoft YaHei"/>
        <w:color w:val="7F7F7F"/>
        <w:sz w:val="16"/>
      </w:rPr>
      <w:t>智慧食堂产品标准化周会材料 | 2026-05-30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