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Noto Sans CJK SC" w:hAnsi="Noto Sans CJK SC" w:eastAsia="Noto Sans CJK SC"/>
          <w:b/>
          <w:color w:val="0B1F3A"/>
          <w:sz w:val="44"/>
        </w:rPr>
        <w:t>AI协同云效落地会议纪要</w:t>
      </w:r>
    </w:p>
    <w:p>
      <w:pPr>
        <w:spacing w:after="160"/>
        <w:jc w:val="center"/>
      </w:pPr>
      <w:r>
        <w:rPr>
          <w:rFonts w:ascii="Noto Sans CJK SC" w:hAnsi="Noto Sans CJK SC" w:eastAsia="Noto Sans CJK SC"/>
          <w:b w:val="0"/>
          <w:color w:val="64748B"/>
          <w:sz w:val="21"/>
        </w:rPr>
        <w:t>精简终版｜2026-04-27｜云效 × Codex 产研协同试点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EFF6FF"/>
            <w:tcBorders>
              <w:top w:val="single" w:sz="6" w:color="BFDBFE"/>
              <w:left w:val="single" w:sz="6" w:color="BFDBFE"/>
              <w:bottom w:val="single" w:sz="6" w:color="BFDBFE"/>
              <w:right w:val="single" w:sz="6" w:color="BFDBFE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2563EB"/>
                <w:sz w:val="24"/>
              </w:rPr>
              <w:t>一句话结论：</w:t>
            </w:r>
            <w:r>
              <w:rPr>
                <w:rFonts w:ascii="Noto Sans CJK SC" w:hAnsi="Noto Sans CJK SC" w:eastAsia="Noto Sans CJK SC"/>
                <w:b/>
                <w:color w:val="0F172A"/>
                <w:sz w:val="22"/>
              </w:rPr>
              <w:t>不迁移到Linear / Multica，继续以云效作为协同底座；通过Codex / AI Agent把需求拆解、开发执行、测试验证和经验沉淀串成闭环。</w:t>
            </w:r>
          </w:p>
        </w:tc>
      </w:tr>
    </w:tbl>
    <w:p>
      <w:pPr>
        <w:spacing w:before="200" w:after="80"/>
      </w:pPr>
      <w:r>
        <w:rPr>
          <w:rFonts w:ascii="Noto Sans CJK SC" w:hAnsi="Noto Sans CJK SC" w:eastAsia="Noto Sans CJK SC"/>
          <w:b/>
          <w:color w:val="0B1F3A"/>
          <w:sz w:val="36"/>
        </w:rPr>
        <w:t>一、核心决议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563EB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协同底座：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云效继续作为组织级协同入口，避免新工具迁移造成管理和流程成本。</w:t>
            </w:r>
          </w:p>
        </w:tc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14B8A6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AI执行层：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Codex承接需求拆解、代码生成、状态回写、测试记录和过程留痕。</w:t>
            </w:r>
          </w:p>
        </w:tc>
      </w:tr>
      <w:tr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7C3AED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PM升级：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PM价值从写文档/传话筒，转向用户洞察、长期方向、取舍决策和验收判断。</w:t>
            </w:r>
          </w:p>
        </w:tc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16A34A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资产沉淀：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Prompt、Skill、QA、API、DB、Test规范沉淀为组织过程资产，减少重复试错。</w:t>
            </w:r>
          </w:p>
        </w:tc>
      </w:tr>
    </w:tbl>
    <w:p>
      <w:pPr>
        <w:spacing w:before="200" w:after="80"/>
      </w:pPr>
      <w:r>
        <w:rPr>
          <w:rFonts w:ascii="Noto Sans CJK SC" w:hAnsi="Noto Sans CJK SC" w:eastAsia="Noto Sans CJK SC"/>
          <w:b/>
          <w:color w:val="0B1F3A"/>
          <w:sz w:val="36"/>
        </w:rPr>
        <w:t>二、会议共识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F97316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经营优先：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产研任务先对齐验收、营收和产品能力，不能只汇报进度。</w:t>
            </w:r>
          </w:p>
        </w:tc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563EB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评审必过：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AI可拆解可执行，但需求计划、验收口径和上线判断必须由人确认。</w:t>
            </w:r>
          </w:p>
        </w:tc>
      </w:tr>
      <w:tr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14B8A6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协作提速：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会议录音、云效链接、Codex对话优先，减少手工打字和低效转述。</w:t>
            </w:r>
          </w:p>
        </w:tc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40" w:type="dxa"/>
              <w:start w:w="40" w:type="dxa"/>
              <w:bottom w:w="40" w:type="dxa"/>
              <w:end w:w="40" w:type="dxa"/>
            </w:tcMar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EF4444"/>
                <w:sz w:val="21"/>
              </w:rPr>
              <w:t xml:space="preserve">● </w:t>
            </w:r>
            <w:r>
              <w:rPr>
                <w:rFonts w:ascii="Noto Sans CJK SC" w:hAnsi="Noto Sans CJK SC" w:eastAsia="Noto Sans CJK SC"/>
                <w:b/>
                <w:color w:val="0F172A"/>
                <w:sz w:val="21"/>
              </w:rPr>
              <w:t>边界治理：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AI工作空间、代码仓库、PAT权限、敏感数据与私有化部署要分层管理。</w:t>
            </w:r>
          </w:p>
        </w:tc>
      </w:tr>
    </w:tbl>
    <w:p>
      <w:pPr>
        <w:spacing w:before="200" w:after="80"/>
      </w:pPr>
      <w:r>
        <w:rPr>
          <w:rFonts w:ascii="Noto Sans CJK SC" w:hAnsi="Noto Sans CJK SC" w:eastAsia="Noto Sans CJK SC"/>
          <w:b/>
          <w:color w:val="0B1F3A"/>
          <w:sz w:val="36"/>
        </w:rPr>
        <w:t>三、行动项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794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编号</w:t>
            </w:r>
          </w:p>
        </w:tc>
        <w:tc>
          <w:tcPr>
            <w:tcW w:type="dxa" w:w="1701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事项</w:t>
            </w:r>
          </w:p>
        </w:tc>
        <w:tc>
          <w:tcPr>
            <w:tcW w:type="dxa" w:w="3572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交付物</w:t>
            </w:r>
          </w:p>
        </w:tc>
        <w:tc>
          <w:tcPr>
            <w:tcW w:type="dxa" w:w="2098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责任角色</w:t>
            </w:r>
          </w:p>
        </w:tc>
        <w:tc>
          <w:tcPr>
            <w:tcW w:type="dxa" w:w="1134"/>
            <w:shd w:fill="0B1F3A"/>
            <w:tcBorders>
              <w:top w:val="single" w:sz="6" w:color="0B1F3A"/>
              <w:left w:val="single" w:sz="6" w:color="0B1F3A"/>
              <w:bottom w:val="single" w:sz="6" w:color="0B1F3A"/>
              <w:right w:val="single" w:sz="6" w:color="0B1F3A"/>
            </w:tcBorders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时点</w:t>
            </w:r>
          </w:p>
        </w:tc>
      </w:tr>
      <w:tr>
        <w:tc>
          <w:tcPr>
            <w:tcW w:type="dxa" w:w="79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563EB"/>
                <w:sz w:val="18"/>
              </w:rPr>
              <w:t>A1</w:t>
            </w:r>
          </w:p>
        </w:tc>
        <w:tc>
          <w:tcPr>
            <w:tcW w:type="dxa" w:w="1701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召开下周协同沟通会</w:t>
            </w:r>
          </w:p>
        </w:tc>
        <w:tc>
          <w:tcPr>
            <w:tcW w:type="dxa" w:w="3572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统一云效 + Codex工作方式与试点范围</w:t>
            </w:r>
          </w:p>
        </w:tc>
        <w:tc>
          <w:tcPr>
            <w:tcW w:type="dxa" w:w="2098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技术牵头 / 产品 / 研发</w:t>
            </w:r>
          </w:p>
        </w:tc>
        <w:tc>
          <w:tcPr>
            <w:tcW w:type="dxa" w:w="113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下周</w:t>
            </w:r>
          </w:p>
        </w:tc>
      </w:tr>
      <w:tr>
        <w:tc>
          <w:tcPr>
            <w:tcW w:type="dxa" w:w="794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563EB"/>
                <w:sz w:val="18"/>
              </w:rPr>
              <w:t>A2</w:t>
            </w:r>
          </w:p>
        </w:tc>
        <w:tc>
          <w:tcPr>
            <w:tcW w:type="dxa" w:w="1701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固定操作模板</w:t>
            </w:r>
          </w:p>
        </w:tc>
        <w:tc>
          <w:tcPr>
            <w:tcW w:type="dxa" w:w="3572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云效链接执行、需求归档、状态回写、工时记录</w:t>
            </w:r>
          </w:p>
        </w:tc>
        <w:tc>
          <w:tcPr>
            <w:tcW w:type="dxa" w:w="2098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技术牵头</w:t>
            </w:r>
          </w:p>
        </w:tc>
        <w:tc>
          <w:tcPr>
            <w:tcW w:type="dxa" w:w="1134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下周</w:t>
            </w:r>
          </w:p>
        </w:tc>
      </w:tr>
      <w:tr>
        <w:tc>
          <w:tcPr>
            <w:tcW w:type="dxa" w:w="79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563EB"/>
                <w:sz w:val="18"/>
              </w:rPr>
              <w:t>A3</w:t>
            </w:r>
          </w:p>
        </w:tc>
        <w:tc>
          <w:tcPr>
            <w:tcW w:type="dxa" w:w="1701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沉淀自动化规范</w:t>
            </w:r>
          </w:p>
        </w:tc>
        <w:tc>
          <w:tcPr>
            <w:tcW w:type="dxa" w:w="3572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Inbox、Feature、API、DB、QA、Test、Skill目录与脚本</w:t>
            </w:r>
          </w:p>
        </w:tc>
        <w:tc>
          <w:tcPr>
            <w:tcW w:type="dxa" w:w="2098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技术牵头 / 研发</w:t>
            </w:r>
          </w:p>
        </w:tc>
        <w:tc>
          <w:tcPr>
            <w:tcW w:type="dxa" w:w="113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本周启动</w:t>
            </w:r>
          </w:p>
        </w:tc>
      </w:tr>
      <w:tr>
        <w:tc>
          <w:tcPr>
            <w:tcW w:type="dxa" w:w="794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563EB"/>
                <w:sz w:val="18"/>
              </w:rPr>
              <w:t>A4</w:t>
            </w:r>
          </w:p>
        </w:tc>
        <w:tc>
          <w:tcPr>
            <w:tcW w:type="dxa" w:w="1701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选择项目试点</w:t>
            </w:r>
          </w:p>
        </w:tc>
        <w:tc>
          <w:tcPr>
            <w:tcW w:type="dxa" w:w="3572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以智慧餐厅/现有云效项目跑通需求到验收闭环</w:t>
            </w:r>
          </w:p>
        </w:tc>
        <w:tc>
          <w:tcPr>
            <w:tcW w:type="dxa" w:w="2098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产品 / 研发</w:t>
            </w:r>
          </w:p>
        </w:tc>
        <w:tc>
          <w:tcPr>
            <w:tcW w:type="dxa" w:w="1134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近期</w:t>
            </w:r>
          </w:p>
        </w:tc>
      </w:tr>
      <w:tr>
        <w:tc>
          <w:tcPr>
            <w:tcW w:type="dxa" w:w="79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563EB"/>
                <w:sz w:val="18"/>
              </w:rPr>
              <w:t>A5</w:t>
            </w:r>
          </w:p>
        </w:tc>
        <w:tc>
          <w:tcPr>
            <w:tcW w:type="dxa" w:w="1701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建立治理边界</w:t>
            </w:r>
          </w:p>
        </w:tc>
        <w:tc>
          <w:tcPr>
            <w:tcW w:type="dxa" w:w="3572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PAT最小权限、工作空间与代码仓库分层、数据脱敏规则</w:t>
            </w:r>
          </w:p>
        </w:tc>
        <w:tc>
          <w:tcPr>
            <w:tcW w:type="dxa" w:w="2098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技术牵头</w:t>
            </w:r>
          </w:p>
        </w:tc>
        <w:tc>
          <w:tcPr>
            <w:tcW w:type="dxa" w:w="1134"/>
            <w:shd w:fill="FFFFFF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E293B"/>
                <w:sz w:val="18"/>
              </w:rPr>
              <w:t>启动前</w:t>
            </w:r>
          </w:p>
        </w:tc>
      </w:tr>
    </w:tbl>
    <w:p>
      <w:pPr>
        <w:spacing w:before="200" w:after="80"/>
      </w:pPr>
      <w:r>
        <w:rPr>
          <w:rFonts w:ascii="Noto Sans CJK SC" w:hAnsi="Noto Sans CJK SC" w:eastAsia="Noto Sans CJK SC"/>
          <w:b/>
          <w:color w:val="0B1F3A"/>
          <w:sz w:val="36"/>
        </w:rPr>
        <w:t>四、最终口径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F8FAFC"/>
            <w:tcBorders>
              <w:top w:val="single" w:sz="6" w:color="E2E8F0"/>
              <w:left w:val="single" w:sz="6" w:color="E2E8F0"/>
              <w:bottom w:val="single" w:sz="6" w:color="E2E8F0"/>
              <w:right w:val="single" w:sz="6" w:color="E2E8F0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0B1F3A"/>
                <w:sz w:val="21"/>
              </w:rPr>
              <w:t>对内统一表达：</w:t>
            </w:r>
            <w:r>
              <w:rPr>
                <w:rFonts w:ascii="Noto Sans CJK SC" w:hAnsi="Noto Sans CJK SC" w:eastAsia="Noto Sans CJK SC"/>
                <w:b w:val="0"/>
                <w:color w:val="334155"/>
                <w:sz w:val="20"/>
              </w:rPr>
              <w:t>我们不是换一个项目管理工具，而是在云效现有体系上接入AI协同能力，让产品、研发、测试和验收形成可追踪、可复用、可复制的闭环。</w:t>
            </w:r>
          </w:p>
        </w:tc>
      </w:tr>
    </w:tbl>
    <w:p>
      <w:pPr>
        <w:sectPr>
          <w:footerReference w:type="default" r:id="rId12"/>
          <w:pgSz w:w="11906" w:h="16838"/>
          <w:pgMar w:top="709" w:right="794" w:bottom="652" w:left="794" w:header="720" w:footer="720" w:gutter="0"/>
          <w:cols w:space="720"/>
          <w:docGrid w:linePitch="360"/>
        </w:sectPr>
      </w:pPr>
    </w:p>
    <w:p>
      <w:pPr>
        <w:spacing w:after="80"/>
        <w:jc w:val="left"/>
      </w:pPr>
      <w:r>
        <w:rPr>
          <w:rFonts w:ascii="Noto Sans CJK SC" w:hAnsi="Noto Sans CJK SC" w:eastAsia="Noto Sans CJK SC"/>
          <w:b/>
          <w:color w:val="0B1F3A"/>
          <w:sz w:val="24"/>
        </w:rPr>
        <w:t>附件一：云效 × Codex AI产研协同闭环</w:t>
      </w:r>
    </w:p>
    <w:p>
      <w:r>
        <w:drawing>
          <wp:inline xmlns:a="http://schemas.openxmlformats.org/drawingml/2006/main" xmlns:pic="http://schemas.openxmlformats.org/drawingml/2006/picture">
            <wp:extent cx="9972000" cy="56092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Y-20260427-AI协同云效闭环-流程图-精美终版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454" w:right="454" w:bottom="340" w:left="454" w:header="720" w:footer="720" w:gutter="0"/>
          <w:cols w:space="720"/>
          <w:docGrid w:linePitch="360"/>
        </w:sectPr>
      </w:pPr>
    </w:p>
    <w:p>
      <w:pPr>
        <w:spacing w:after="80"/>
        <w:jc w:val="left"/>
      </w:pPr>
      <w:r>
        <w:rPr>
          <w:rFonts w:ascii="Noto Sans CJK SC" w:hAnsi="Noto Sans CJK SC" w:eastAsia="Noto Sans CJK SC"/>
          <w:b/>
          <w:color w:val="0B1F3A"/>
          <w:sz w:val="24"/>
        </w:rPr>
        <w:t>附件二：为什么最终选择云效 - 决策证据链</w:t>
      </w:r>
    </w:p>
    <w:p>
      <w:r>
        <w:drawing>
          <wp:inline xmlns:a="http://schemas.openxmlformats.org/drawingml/2006/main" xmlns:pic="http://schemas.openxmlformats.org/drawingml/2006/picture">
            <wp:extent cx="9972000" cy="560925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Y-20260427-AI协同云效落地-证据链图-精美终版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454" w:right="454" w:bottom="340" w:left="454" w:header="720" w:footer="720" w:gutter="0"/>
          <w:cols w:space="720"/>
          <w:docGrid w:linePitch="360"/>
        </w:sectPr>
      </w:pPr>
    </w:p>
    <w:p>
      <w:pPr>
        <w:spacing w:after="80"/>
        <w:jc w:val="left"/>
      </w:pPr>
      <w:r>
        <w:rPr>
          <w:rFonts w:ascii="Noto Sans CJK SC" w:hAnsi="Noto Sans CJK SC" w:eastAsia="Noto Sans CJK SC"/>
          <w:b/>
          <w:color w:val="0B1F3A"/>
          <w:sz w:val="24"/>
        </w:rPr>
        <w:t>附件三：AI协同云效落地方案信息图</w:t>
      </w:r>
    </w:p>
    <w:p>
      <w:r>
        <w:drawing>
          <wp:inline xmlns:a="http://schemas.openxmlformats.org/drawingml/2006/main" xmlns:pic="http://schemas.openxmlformats.org/drawingml/2006/picture">
            <wp:extent cx="9972000" cy="560925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Y-20260427-AI协同云效落地-主信息图-精美终版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6838" w:h="11906" w:orient="landscape"/>
      <w:pgMar w:top="454" w:right="454" w:bottom="340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94A3B8"/>
        <w:sz w:val="16"/>
      </w:rPr>
      <w:t>内部资料｜AI协同云效落地会议纪要｜精简终版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SC" w:hAnsi="Noto Sans CJK SC" w:eastAsia="Noto Sans CJK SC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