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after="40"/>
        <w:jc w:val="center"/>
      </w:pPr>
      <w:r>
        <w:rPr>
          <w:rFonts w:ascii="Noto Sans CJK SC" w:hAnsi="Noto Sans CJK SC" w:eastAsia="Noto Sans CJK SC"/>
          <w:b/>
          <w:color w:val="0B1F3A"/>
          <w:sz w:val="44"/>
        </w:rPr>
        <w:t>AI协同云效落地会议纪要</w:t>
      </w:r>
    </w:p>
    <w:p>
      <w:pPr>
        <w:spacing w:after="160"/>
        <w:jc w:val="center"/>
      </w:pPr>
      <w:r>
        <w:rPr>
          <w:rFonts w:ascii="Noto Sans CJK SC" w:hAnsi="Noto Sans CJK SC" w:eastAsia="Noto Sans CJK SC"/>
          <w:b w:val="0"/>
          <w:color w:val="64748B"/>
          <w:sz w:val="21"/>
        </w:rPr>
        <w:t>精简终版｜2026-04-27｜云效 × Codex 产研协同试点</w:t>
      </w:r>
    </w:p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10318"/>
      </w:tblGrid>
      <w:tr>
        <w:tc>
          <w:tcPr>
            <w:tcW w:type="dxa" w:w="10318"/>
            <w:shd w:fill="EFF6FF"/>
            <w:tcBorders>
              <w:top w:val="single" w:sz="6" w:color="BFDBFE"/>
              <w:left w:val="single" w:sz="6" w:color="BFDBFE"/>
              <w:bottom w:val="single" w:sz="6" w:color="BFDBFE"/>
              <w:right w:val="single" w:sz="6" w:color="BFDBFE"/>
            </w:tcBorders>
            <w:tcMar>
              <w:top w:w="160" w:type="dxa"/>
              <w:start w:w="180" w:type="dxa"/>
              <w:bottom w:w="160" w:type="dxa"/>
              <w:end w:w="180" w:type="dxa"/>
            </w:tcMar>
          </w:tcPr>
          <w:p>
            <w:r>
              <w:rPr>
                <w:rFonts w:ascii="Noto Sans CJK SC" w:hAnsi="Noto Sans CJK SC" w:eastAsia="Noto Sans CJK SC"/>
                <w:b/>
                <w:color w:val="2563EB"/>
                <w:sz w:val="24"/>
              </w:rPr>
              <w:t>一句话结论：</w:t>
            </w:r>
            <w:r>
              <w:rPr>
                <w:rFonts w:ascii="Noto Sans CJK SC" w:hAnsi="Noto Sans CJK SC" w:eastAsia="Noto Sans CJK SC"/>
                <w:b/>
                <w:color w:val="0F172A"/>
                <w:sz w:val="22"/>
              </w:rPr>
              <w:t>不迁移到Linear / Multica，继续以云效作为协同底座；通过Codex / AI Agent把需求拆解、开发执行、测试验证和经验沉淀串成闭环。</w:t>
            </w:r>
          </w:p>
        </w:tc>
      </w:tr>
    </w:tbl>
    <w:p>
      <w:pPr>
        <w:spacing w:before="200" w:after="80"/>
      </w:pPr>
      <w:r>
        <w:rPr>
          <w:rFonts w:ascii="Noto Sans CJK SC" w:hAnsi="Noto Sans CJK SC" w:eastAsia="Noto Sans CJK SC"/>
          <w:b/>
          <w:color w:val="0B1F3A"/>
          <w:sz w:val="36"/>
        </w:rPr>
        <w:t>一、核心决议</w:t>
      </w:r>
    </w:p>
    <w:tbl>
      <w:tblPr>
        <w:tblW w:type="auto" w:w="0"/>
        <w:jc w:val="center"/>
        <w:tblLayout w:type="autofit"/>
        <w:tblLook w:firstColumn="1" w:firstRow="1" w:lastColumn="0" w:lastRow="0" w:noHBand="0" w:noVBand="1" w:val="04A0"/>
      </w:tblPr>
      <w:tblGrid>
        <w:gridCol w:w="5159"/>
        <w:gridCol w:w="5159"/>
      </w:tblGrid>
      <w:tr>
        <w:tc>
          <w:tcPr>
            <w:tcW w:type="dxa" w:w="5159"/>
            <w:tcBorders>
              <w:top w:val="single" w:sz="0" w:color="FFFFFF"/>
              <w:left w:val="single" w:sz="0" w:color="FFFFFF"/>
              <w:bottom w:val="single" w:sz="0" w:color="FFFFFF"/>
              <w:right w:val="single" w:sz="0" w:color="FFFFFF"/>
            </w:tcBorders>
            <w:tcMar>
              <w:top w:w="40" w:type="dxa"/>
              <w:start w:w="40" w:type="dxa"/>
              <w:bottom w:w="40" w:type="dxa"/>
              <w:end w:w="40" w:type="dxa"/>
            </w:tcMar>
          </w:tcPr>
          <w:p>
            <w:pPr>
              <w:spacing w:after="0"/>
            </w:pPr>
            <w:r>
              <w:rPr>
                <w:rFonts w:ascii="Noto Sans CJK SC" w:hAnsi="Noto Sans CJK SC" w:eastAsia="Noto Sans CJK SC"/>
                <w:b/>
                <w:color w:val="2563EB"/>
                <w:sz w:val="21"/>
              </w:rPr>
              <w:t xml:space="preserve">● </w:t>
            </w:r>
            <w:r>
              <w:rPr>
                <w:rFonts w:ascii="Noto Sans CJK SC" w:hAnsi="Noto Sans CJK SC" w:eastAsia="Noto Sans CJK SC"/>
                <w:b/>
                <w:color w:val="0F172A"/>
                <w:sz w:val="21"/>
              </w:rPr>
              <w:t>协同底座：</w:t>
            </w:r>
            <w:r>
              <w:rPr>
                <w:rFonts w:ascii="Noto Sans CJK SC" w:hAnsi="Noto Sans CJK SC" w:eastAsia="Noto Sans CJK SC"/>
                <w:b w:val="0"/>
                <w:color w:val="334155"/>
                <w:sz w:val="20"/>
              </w:rPr>
              <w:t>云效继续作为组织级协同入口，避免新工具迁移造成管理和流程成本。</w:t>
            </w:r>
          </w:p>
        </w:tc>
        <w:tc>
          <w:tcPr>
            <w:tcW w:type="dxa" w:w="5159"/>
            <w:tcBorders>
              <w:top w:val="single" w:sz="0" w:color="FFFFFF"/>
              <w:left w:val="single" w:sz="0" w:color="FFFFFF"/>
              <w:bottom w:val="single" w:sz="0" w:color="FFFFFF"/>
              <w:right w:val="single" w:sz="0" w:color="FFFFFF"/>
            </w:tcBorders>
            <w:tcMar>
              <w:top w:w="40" w:type="dxa"/>
              <w:start w:w="40" w:type="dxa"/>
              <w:bottom w:w="40" w:type="dxa"/>
              <w:end w:w="40" w:type="dxa"/>
            </w:tcMar>
          </w:tcPr>
          <w:p>
            <w:pPr>
              <w:spacing w:after="0"/>
            </w:pPr>
            <w:r>
              <w:rPr>
                <w:rFonts w:ascii="Noto Sans CJK SC" w:hAnsi="Noto Sans CJK SC" w:eastAsia="Noto Sans CJK SC"/>
                <w:b/>
                <w:color w:val="14B8A6"/>
                <w:sz w:val="21"/>
              </w:rPr>
              <w:t xml:space="preserve">● </w:t>
            </w:r>
            <w:r>
              <w:rPr>
                <w:rFonts w:ascii="Noto Sans CJK SC" w:hAnsi="Noto Sans CJK SC" w:eastAsia="Noto Sans CJK SC"/>
                <w:b/>
                <w:color w:val="0F172A"/>
                <w:sz w:val="21"/>
              </w:rPr>
              <w:t>AI执行层：</w:t>
            </w:r>
            <w:r>
              <w:rPr>
                <w:rFonts w:ascii="Noto Sans CJK SC" w:hAnsi="Noto Sans CJK SC" w:eastAsia="Noto Sans CJK SC"/>
                <w:b w:val="0"/>
                <w:color w:val="334155"/>
                <w:sz w:val="20"/>
              </w:rPr>
              <w:t>Codex承接需求拆解、代码生成、状态回写、测试记录和过程留痕。</w:t>
            </w:r>
          </w:p>
        </w:tc>
      </w:tr>
      <w:tr>
        <w:tc>
          <w:tcPr>
            <w:tcW w:type="dxa" w:w="5159"/>
            <w:tcBorders>
              <w:top w:val="single" w:sz="0" w:color="FFFFFF"/>
              <w:left w:val="single" w:sz="0" w:color="FFFFFF"/>
              <w:bottom w:val="single" w:sz="0" w:color="FFFFFF"/>
              <w:right w:val="single" w:sz="0" w:color="FFFFFF"/>
            </w:tcBorders>
            <w:tcMar>
              <w:top w:w="40" w:type="dxa"/>
              <w:start w:w="40" w:type="dxa"/>
              <w:bottom w:w="40" w:type="dxa"/>
              <w:end w:w="40" w:type="dxa"/>
            </w:tcMar>
          </w:tcPr>
          <w:p>
            <w:pPr>
              <w:spacing w:after="0"/>
            </w:pPr>
            <w:r>
              <w:rPr>
                <w:rFonts w:ascii="Noto Sans CJK SC" w:hAnsi="Noto Sans CJK SC" w:eastAsia="Noto Sans CJK SC"/>
                <w:b/>
                <w:color w:val="7C3AED"/>
                <w:sz w:val="21"/>
              </w:rPr>
              <w:t xml:space="preserve">● </w:t>
            </w:r>
            <w:r>
              <w:rPr>
                <w:rFonts w:ascii="Noto Sans CJK SC" w:hAnsi="Noto Sans CJK SC" w:eastAsia="Noto Sans CJK SC"/>
                <w:b/>
                <w:color w:val="0F172A"/>
                <w:sz w:val="21"/>
              </w:rPr>
              <w:t>PM升级：</w:t>
            </w:r>
            <w:r>
              <w:rPr>
                <w:rFonts w:ascii="Noto Sans CJK SC" w:hAnsi="Noto Sans CJK SC" w:eastAsia="Noto Sans CJK SC"/>
                <w:b w:val="0"/>
                <w:color w:val="334155"/>
                <w:sz w:val="20"/>
              </w:rPr>
              <w:t>PM价值从写文档/传话筒，转向用户洞察、长期方向、取舍决策和验收判断。</w:t>
            </w:r>
          </w:p>
        </w:tc>
        <w:tc>
          <w:tcPr>
            <w:tcW w:type="dxa" w:w="5159"/>
            <w:tcBorders>
              <w:top w:val="single" w:sz="0" w:color="FFFFFF"/>
              <w:left w:val="single" w:sz="0" w:color="FFFFFF"/>
              <w:bottom w:val="single" w:sz="0" w:color="FFFFFF"/>
              <w:right w:val="single" w:sz="0" w:color="FFFFFF"/>
            </w:tcBorders>
            <w:tcMar>
              <w:top w:w="40" w:type="dxa"/>
              <w:start w:w="40" w:type="dxa"/>
              <w:bottom w:w="40" w:type="dxa"/>
              <w:end w:w="40" w:type="dxa"/>
            </w:tcMar>
          </w:tcPr>
          <w:p>
            <w:pPr>
              <w:spacing w:after="0"/>
            </w:pPr>
            <w:r>
              <w:rPr>
                <w:rFonts w:ascii="Noto Sans CJK SC" w:hAnsi="Noto Sans CJK SC" w:eastAsia="Noto Sans CJK SC"/>
                <w:b/>
                <w:color w:val="16A34A"/>
                <w:sz w:val="21"/>
              </w:rPr>
              <w:t xml:space="preserve">● </w:t>
            </w:r>
            <w:r>
              <w:rPr>
                <w:rFonts w:ascii="Noto Sans CJK SC" w:hAnsi="Noto Sans CJK SC" w:eastAsia="Noto Sans CJK SC"/>
                <w:b/>
                <w:color w:val="0F172A"/>
                <w:sz w:val="21"/>
              </w:rPr>
              <w:t>资产沉淀：</w:t>
            </w:r>
            <w:r>
              <w:rPr>
                <w:rFonts w:ascii="Noto Sans CJK SC" w:hAnsi="Noto Sans CJK SC" w:eastAsia="Noto Sans CJK SC"/>
                <w:b w:val="0"/>
                <w:color w:val="334155"/>
                <w:sz w:val="20"/>
              </w:rPr>
              <w:t>Prompt、Skill、QA、API、DB、Test规范沉淀为组织过程资产，减少重复试错。</w:t>
            </w:r>
          </w:p>
        </w:tc>
      </w:tr>
    </w:tbl>
    <w:p>
      <w:pPr>
        <w:spacing w:before="200" w:after="80"/>
      </w:pPr>
      <w:r>
        <w:rPr>
          <w:rFonts w:ascii="Noto Sans CJK SC" w:hAnsi="Noto Sans CJK SC" w:eastAsia="Noto Sans CJK SC"/>
          <w:b/>
          <w:color w:val="0B1F3A"/>
          <w:sz w:val="36"/>
        </w:rPr>
        <w:t>二、会议共识</w:t>
      </w:r>
    </w:p>
    <w:tbl>
      <w:tblPr>
        <w:tblW w:type="auto" w:w="0"/>
        <w:jc w:val="center"/>
        <w:tblLayout w:type="autofit"/>
        <w:tblLook w:firstColumn="1" w:firstRow="1" w:lastColumn="0" w:lastRow="0" w:noHBand="0" w:noVBand="1" w:val="04A0"/>
      </w:tblPr>
      <w:tblGrid>
        <w:gridCol w:w="5159"/>
        <w:gridCol w:w="5159"/>
      </w:tblGrid>
      <w:tr>
        <w:tc>
          <w:tcPr>
            <w:tcW w:type="dxa" w:w="5159"/>
            <w:tcBorders>
              <w:top w:val="single" w:sz="0" w:color="FFFFFF"/>
              <w:left w:val="single" w:sz="0" w:color="FFFFFF"/>
              <w:bottom w:val="single" w:sz="0" w:color="FFFFFF"/>
              <w:right w:val="single" w:sz="0" w:color="FFFFFF"/>
            </w:tcBorders>
            <w:tcMar>
              <w:top w:w="40" w:type="dxa"/>
              <w:start w:w="40" w:type="dxa"/>
              <w:bottom w:w="40" w:type="dxa"/>
              <w:end w:w="40" w:type="dxa"/>
            </w:tcMar>
          </w:tcPr>
          <w:p>
            <w:pPr>
              <w:spacing w:after="0"/>
            </w:pPr>
            <w:r>
              <w:rPr>
                <w:rFonts w:ascii="Noto Sans CJK SC" w:hAnsi="Noto Sans CJK SC" w:eastAsia="Noto Sans CJK SC"/>
                <w:b/>
                <w:color w:val="F97316"/>
                <w:sz w:val="21"/>
              </w:rPr>
              <w:t xml:space="preserve">● </w:t>
            </w:r>
            <w:r>
              <w:rPr>
                <w:rFonts w:ascii="Noto Sans CJK SC" w:hAnsi="Noto Sans CJK SC" w:eastAsia="Noto Sans CJK SC"/>
                <w:b/>
                <w:color w:val="0F172A"/>
                <w:sz w:val="21"/>
              </w:rPr>
              <w:t>经营优先：</w:t>
            </w:r>
            <w:r>
              <w:rPr>
                <w:rFonts w:ascii="Noto Sans CJK SC" w:hAnsi="Noto Sans CJK SC" w:eastAsia="Noto Sans CJK SC"/>
                <w:b w:val="0"/>
                <w:color w:val="334155"/>
                <w:sz w:val="20"/>
              </w:rPr>
              <w:t>产研任务先对齐验收、营收和产品能力，不能只汇报进度。</w:t>
            </w:r>
          </w:p>
        </w:tc>
        <w:tc>
          <w:tcPr>
            <w:tcW w:type="dxa" w:w="5159"/>
            <w:tcBorders>
              <w:top w:val="single" w:sz="0" w:color="FFFFFF"/>
              <w:left w:val="single" w:sz="0" w:color="FFFFFF"/>
              <w:bottom w:val="single" w:sz="0" w:color="FFFFFF"/>
              <w:right w:val="single" w:sz="0" w:color="FFFFFF"/>
            </w:tcBorders>
            <w:tcMar>
              <w:top w:w="40" w:type="dxa"/>
              <w:start w:w="40" w:type="dxa"/>
              <w:bottom w:w="40" w:type="dxa"/>
              <w:end w:w="40" w:type="dxa"/>
            </w:tcMar>
          </w:tcPr>
          <w:p>
            <w:pPr>
              <w:spacing w:after="0"/>
            </w:pPr>
            <w:r>
              <w:rPr>
                <w:rFonts w:ascii="Noto Sans CJK SC" w:hAnsi="Noto Sans CJK SC" w:eastAsia="Noto Sans CJK SC"/>
                <w:b/>
                <w:color w:val="2563EB"/>
                <w:sz w:val="21"/>
              </w:rPr>
              <w:t xml:space="preserve">● </w:t>
            </w:r>
            <w:r>
              <w:rPr>
                <w:rFonts w:ascii="Noto Sans CJK SC" w:hAnsi="Noto Sans CJK SC" w:eastAsia="Noto Sans CJK SC"/>
                <w:b/>
                <w:color w:val="0F172A"/>
                <w:sz w:val="21"/>
              </w:rPr>
              <w:t>评审必过：</w:t>
            </w:r>
            <w:r>
              <w:rPr>
                <w:rFonts w:ascii="Noto Sans CJK SC" w:hAnsi="Noto Sans CJK SC" w:eastAsia="Noto Sans CJK SC"/>
                <w:b w:val="0"/>
                <w:color w:val="334155"/>
                <w:sz w:val="20"/>
              </w:rPr>
              <w:t>AI可拆解可执行，但需求计划、验收口径和上线判断必须由人确认。</w:t>
            </w:r>
          </w:p>
        </w:tc>
      </w:tr>
      <w:tr>
        <w:tc>
          <w:tcPr>
            <w:tcW w:type="dxa" w:w="5159"/>
            <w:tcBorders>
              <w:top w:val="single" w:sz="0" w:color="FFFFFF"/>
              <w:left w:val="single" w:sz="0" w:color="FFFFFF"/>
              <w:bottom w:val="single" w:sz="0" w:color="FFFFFF"/>
              <w:right w:val="single" w:sz="0" w:color="FFFFFF"/>
            </w:tcBorders>
            <w:tcMar>
              <w:top w:w="40" w:type="dxa"/>
              <w:start w:w="40" w:type="dxa"/>
              <w:bottom w:w="40" w:type="dxa"/>
              <w:end w:w="40" w:type="dxa"/>
            </w:tcMar>
          </w:tcPr>
          <w:p>
            <w:pPr>
              <w:spacing w:after="0"/>
            </w:pPr>
            <w:r>
              <w:rPr>
                <w:rFonts w:ascii="Noto Sans CJK SC" w:hAnsi="Noto Sans CJK SC" w:eastAsia="Noto Sans CJK SC"/>
                <w:b/>
                <w:color w:val="14B8A6"/>
                <w:sz w:val="21"/>
              </w:rPr>
              <w:t xml:space="preserve">● </w:t>
            </w:r>
            <w:r>
              <w:rPr>
                <w:rFonts w:ascii="Noto Sans CJK SC" w:hAnsi="Noto Sans CJK SC" w:eastAsia="Noto Sans CJK SC"/>
                <w:b/>
                <w:color w:val="0F172A"/>
                <w:sz w:val="21"/>
              </w:rPr>
              <w:t>协作提速：</w:t>
            </w:r>
            <w:r>
              <w:rPr>
                <w:rFonts w:ascii="Noto Sans CJK SC" w:hAnsi="Noto Sans CJK SC" w:eastAsia="Noto Sans CJK SC"/>
                <w:b w:val="0"/>
                <w:color w:val="334155"/>
                <w:sz w:val="20"/>
              </w:rPr>
              <w:t>会议录音、云效链接、Codex对话优先，减少手工打字和低效转述。</w:t>
            </w:r>
          </w:p>
        </w:tc>
        <w:tc>
          <w:tcPr>
            <w:tcW w:type="dxa" w:w="5159"/>
            <w:tcBorders>
              <w:top w:val="single" w:sz="0" w:color="FFFFFF"/>
              <w:left w:val="single" w:sz="0" w:color="FFFFFF"/>
              <w:bottom w:val="single" w:sz="0" w:color="FFFFFF"/>
              <w:right w:val="single" w:sz="0" w:color="FFFFFF"/>
            </w:tcBorders>
            <w:tcMar>
              <w:top w:w="40" w:type="dxa"/>
              <w:start w:w="40" w:type="dxa"/>
              <w:bottom w:w="40" w:type="dxa"/>
              <w:end w:w="40" w:type="dxa"/>
            </w:tcMar>
          </w:tcPr>
          <w:p>
            <w:pPr>
              <w:spacing w:after="0"/>
            </w:pPr>
            <w:r>
              <w:rPr>
                <w:rFonts w:ascii="Noto Sans CJK SC" w:hAnsi="Noto Sans CJK SC" w:eastAsia="Noto Sans CJK SC"/>
                <w:b/>
                <w:color w:val="EF4444"/>
                <w:sz w:val="21"/>
              </w:rPr>
              <w:t xml:space="preserve">● </w:t>
            </w:r>
            <w:r>
              <w:rPr>
                <w:rFonts w:ascii="Noto Sans CJK SC" w:hAnsi="Noto Sans CJK SC" w:eastAsia="Noto Sans CJK SC"/>
                <w:b/>
                <w:color w:val="0F172A"/>
                <w:sz w:val="21"/>
              </w:rPr>
              <w:t>边界治理：</w:t>
            </w:r>
            <w:r>
              <w:rPr>
                <w:rFonts w:ascii="Noto Sans CJK SC" w:hAnsi="Noto Sans CJK SC" w:eastAsia="Noto Sans CJK SC"/>
                <w:b w:val="0"/>
                <w:color w:val="334155"/>
                <w:sz w:val="20"/>
              </w:rPr>
              <w:t>AI工作空间、代码仓库、PAT权限、敏感数据与私有化部署要分层管理。</w:t>
            </w:r>
          </w:p>
        </w:tc>
      </w:tr>
    </w:tbl>
    <w:p>
      <w:pPr>
        <w:spacing w:before="200" w:after="80"/>
      </w:pPr>
      <w:r>
        <w:rPr>
          <w:rFonts w:ascii="Noto Sans CJK SC" w:hAnsi="Noto Sans CJK SC" w:eastAsia="Noto Sans CJK SC"/>
          <w:b/>
          <w:color w:val="0B1F3A"/>
          <w:sz w:val="36"/>
        </w:rPr>
        <w:t>三、行动项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064"/>
        <w:gridCol w:w="2064"/>
        <w:gridCol w:w="2064"/>
        <w:gridCol w:w="2064"/>
        <w:gridCol w:w="2064"/>
      </w:tblGrid>
      <w:tr>
        <w:tc>
          <w:tcPr>
            <w:tcW w:type="dxa" w:w="794"/>
            <w:shd w:fill="0B1F3A"/>
            <w:tcBorders>
              <w:top w:val="single" w:sz="6" w:color="0B1F3A"/>
              <w:left w:val="single" w:sz="6" w:color="0B1F3A"/>
              <w:bottom w:val="single" w:sz="6" w:color="0B1F3A"/>
              <w:right w:val="single" w:sz="6" w:color="0B1F3A"/>
            </w:tcBorders>
            <w:tcMar>
              <w:top w:w="90" w:type="dxa"/>
              <w:start w:w="90" w:type="dxa"/>
              <w:bottom w:w="90" w:type="dxa"/>
              <w:end w:w="90" w:type="dxa"/>
            </w:tcMar>
            <w:vAlign w:val="center"/>
          </w:tcPr>
          <w:p>
            <w:pPr>
              <w:jc w:val="center"/>
            </w:pPr>
            <w:r>
              <w:rPr>
                <w:rFonts w:ascii="Noto Sans CJK SC" w:hAnsi="Noto Sans CJK SC" w:eastAsia="Noto Sans CJK SC"/>
                <w:b/>
                <w:color w:val="FFFFFF"/>
                <w:sz w:val="18"/>
              </w:rPr>
              <w:t>编号</w:t>
            </w:r>
          </w:p>
        </w:tc>
        <w:tc>
          <w:tcPr>
            <w:tcW w:type="dxa" w:w="1701"/>
            <w:shd w:fill="0B1F3A"/>
            <w:tcBorders>
              <w:top w:val="single" w:sz="6" w:color="0B1F3A"/>
              <w:left w:val="single" w:sz="6" w:color="0B1F3A"/>
              <w:bottom w:val="single" w:sz="6" w:color="0B1F3A"/>
              <w:right w:val="single" w:sz="6" w:color="0B1F3A"/>
            </w:tcBorders>
            <w:tcMar>
              <w:top w:w="90" w:type="dxa"/>
              <w:start w:w="90" w:type="dxa"/>
              <w:bottom w:w="90" w:type="dxa"/>
              <w:end w:w="90" w:type="dxa"/>
            </w:tcMar>
            <w:vAlign w:val="center"/>
          </w:tcPr>
          <w:p>
            <w:pPr>
              <w:jc w:val="center"/>
            </w:pPr>
            <w:r>
              <w:rPr>
                <w:rFonts w:ascii="Noto Sans CJK SC" w:hAnsi="Noto Sans CJK SC" w:eastAsia="Noto Sans CJK SC"/>
                <w:b/>
                <w:color w:val="FFFFFF"/>
                <w:sz w:val="18"/>
              </w:rPr>
              <w:t>事项</w:t>
            </w:r>
          </w:p>
        </w:tc>
        <w:tc>
          <w:tcPr>
            <w:tcW w:type="dxa" w:w="3572"/>
            <w:shd w:fill="0B1F3A"/>
            <w:tcBorders>
              <w:top w:val="single" w:sz="6" w:color="0B1F3A"/>
              <w:left w:val="single" w:sz="6" w:color="0B1F3A"/>
              <w:bottom w:val="single" w:sz="6" w:color="0B1F3A"/>
              <w:right w:val="single" w:sz="6" w:color="0B1F3A"/>
            </w:tcBorders>
            <w:tcMar>
              <w:top w:w="90" w:type="dxa"/>
              <w:start w:w="90" w:type="dxa"/>
              <w:bottom w:w="90" w:type="dxa"/>
              <w:end w:w="90" w:type="dxa"/>
            </w:tcMar>
            <w:vAlign w:val="center"/>
          </w:tcPr>
          <w:p>
            <w:pPr>
              <w:jc w:val="center"/>
            </w:pPr>
            <w:r>
              <w:rPr>
                <w:rFonts w:ascii="Noto Sans CJK SC" w:hAnsi="Noto Sans CJK SC" w:eastAsia="Noto Sans CJK SC"/>
                <w:b/>
                <w:color w:val="FFFFFF"/>
                <w:sz w:val="18"/>
              </w:rPr>
              <w:t>交付物</w:t>
            </w:r>
          </w:p>
        </w:tc>
        <w:tc>
          <w:tcPr>
            <w:tcW w:type="dxa" w:w="2098"/>
            <w:shd w:fill="0B1F3A"/>
            <w:tcBorders>
              <w:top w:val="single" w:sz="6" w:color="0B1F3A"/>
              <w:left w:val="single" w:sz="6" w:color="0B1F3A"/>
              <w:bottom w:val="single" w:sz="6" w:color="0B1F3A"/>
              <w:right w:val="single" w:sz="6" w:color="0B1F3A"/>
            </w:tcBorders>
            <w:tcMar>
              <w:top w:w="90" w:type="dxa"/>
              <w:start w:w="90" w:type="dxa"/>
              <w:bottom w:w="90" w:type="dxa"/>
              <w:end w:w="90" w:type="dxa"/>
            </w:tcMar>
            <w:vAlign w:val="center"/>
          </w:tcPr>
          <w:p>
            <w:pPr>
              <w:jc w:val="center"/>
            </w:pPr>
            <w:r>
              <w:rPr>
                <w:rFonts w:ascii="Noto Sans CJK SC" w:hAnsi="Noto Sans CJK SC" w:eastAsia="Noto Sans CJK SC"/>
                <w:b/>
                <w:color w:val="FFFFFF"/>
                <w:sz w:val="18"/>
              </w:rPr>
              <w:t>责任角色</w:t>
            </w:r>
          </w:p>
        </w:tc>
        <w:tc>
          <w:tcPr>
            <w:tcW w:type="dxa" w:w="1134"/>
            <w:shd w:fill="0B1F3A"/>
            <w:tcBorders>
              <w:top w:val="single" w:sz="6" w:color="0B1F3A"/>
              <w:left w:val="single" w:sz="6" w:color="0B1F3A"/>
              <w:bottom w:val="single" w:sz="6" w:color="0B1F3A"/>
              <w:right w:val="single" w:sz="6" w:color="0B1F3A"/>
            </w:tcBorders>
            <w:tcMar>
              <w:top w:w="90" w:type="dxa"/>
              <w:start w:w="90" w:type="dxa"/>
              <w:bottom w:w="90" w:type="dxa"/>
              <w:end w:w="90" w:type="dxa"/>
            </w:tcMar>
            <w:vAlign w:val="center"/>
          </w:tcPr>
          <w:p>
            <w:pPr>
              <w:jc w:val="center"/>
            </w:pPr>
            <w:r>
              <w:rPr>
                <w:rFonts w:ascii="Noto Sans CJK SC" w:hAnsi="Noto Sans CJK SC" w:eastAsia="Noto Sans CJK SC"/>
                <w:b/>
                <w:color w:val="FFFFFF"/>
                <w:sz w:val="18"/>
              </w:rPr>
              <w:t>时点</w:t>
            </w:r>
          </w:p>
        </w:tc>
      </w:tr>
      <w:tr>
        <w:tc>
          <w:tcPr>
            <w:tcW w:type="dxa" w:w="794"/>
            <w:shd w:fill="FFFFFF"/>
            <w:tcBorders>
              <w:top w:val="single" w:sz="6" w:color="E2E8F0"/>
              <w:left w:val="single" w:sz="6" w:color="E2E8F0"/>
              <w:bottom w:val="single" w:sz="6" w:color="E2E8F0"/>
              <w:right w:val="single" w:sz="6" w:color="E2E8F0"/>
            </w:tcBorders>
            <w:tcMar>
              <w:top w:w="80" w:type="dxa"/>
              <w:start w:w="90" w:type="dxa"/>
              <w:bottom w:w="80" w:type="dxa"/>
              <w:end w:w="90" w:type="dxa"/>
            </w:tcMar>
            <w:vAlign w:val="center"/>
          </w:tcPr>
          <w:p>
            <w:pPr>
              <w:spacing w:after="0"/>
              <w:jc w:val="center"/>
            </w:pPr>
            <w:r>
              <w:rPr>
                <w:rFonts w:ascii="Noto Sans CJK SC" w:hAnsi="Noto Sans CJK SC" w:eastAsia="Noto Sans CJK SC"/>
                <w:b/>
                <w:color w:val="2563EB"/>
                <w:sz w:val="18"/>
              </w:rPr>
              <w:t>A1</w:t>
            </w:r>
          </w:p>
        </w:tc>
        <w:tc>
          <w:tcPr>
            <w:tcW w:type="dxa" w:w="1701"/>
            <w:shd w:fill="FFFFFF"/>
            <w:tcBorders>
              <w:top w:val="single" w:sz="6" w:color="E2E8F0"/>
              <w:left w:val="single" w:sz="6" w:color="E2E8F0"/>
              <w:bottom w:val="single" w:sz="6" w:color="E2E8F0"/>
              <w:right w:val="single" w:sz="6" w:color="E2E8F0"/>
            </w:tcBorders>
            <w:tcMar>
              <w:top w:w="80" w:type="dxa"/>
              <w:start w:w="90" w:type="dxa"/>
              <w:bottom w:w="80" w:type="dxa"/>
              <w:end w:w="90" w:type="dxa"/>
            </w:tcMar>
            <w:vAlign w:val="center"/>
          </w:tcPr>
          <w:p>
            <w:pPr>
              <w:spacing w:after="0"/>
            </w:pPr>
            <w:r>
              <w:rPr>
                <w:rFonts w:ascii="Noto Sans CJK SC" w:hAnsi="Noto Sans CJK SC" w:eastAsia="Noto Sans CJK SC"/>
                <w:b w:val="0"/>
                <w:color w:val="1E293B"/>
                <w:sz w:val="18"/>
              </w:rPr>
              <w:t>召开下周协同沟通会</w:t>
            </w:r>
          </w:p>
        </w:tc>
        <w:tc>
          <w:tcPr>
            <w:tcW w:type="dxa" w:w="3572"/>
            <w:shd w:fill="FFFFFF"/>
            <w:tcBorders>
              <w:top w:val="single" w:sz="6" w:color="E2E8F0"/>
              <w:left w:val="single" w:sz="6" w:color="E2E8F0"/>
              <w:bottom w:val="single" w:sz="6" w:color="E2E8F0"/>
              <w:right w:val="single" w:sz="6" w:color="E2E8F0"/>
            </w:tcBorders>
            <w:tcMar>
              <w:top w:w="80" w:type="dxa"/>
              <w:start w:w="90" w:type="dxa"/>
              <w:bottom w:w="80" w:type="dxa"/>
              <w:end w:w="90" w:type="dxa"/>
            </w:tcMar>
            <w:vAlign w:val="center"/>
          </w:tcPr>
          <w:p>
            <w:pPr>
              <w:spacing w:after="0"/>
            </w:pPr>
            <w:r>
              <w:rPr>
                <w:rFonts w:ascii="Noto Sans CJK SC" w:hAnsi="Noto Sans CJK SC" w:eastAsia="Noto Sans CJK SC"/>
                <w:b w:val="0"/>
                <w:color w:val="1E293B"/>
                <w:sz w:val="18"/>
              </w:rPr>
              <w:t>统一云效 + Codex工作方式与试点范围</w:t>
            </w:r>
          </w:p>
        </w:tc>
        <w:tc>
          <w:tcPr>
            <w:tcW w:type="dxa" w:w="2098"/>
            <w:shd w:fill="FFFFFF"/>
            <w:tcBorders>
              <w:top w:val="single" w:sz="6" w:color="E2E8F0"/>
              <w:left w:val="single" w:sz="6" w:color="E2E8F0"/>
              <w:bottom w:val="single" w:sz="6" w:color="E2E8F0"/>
              <w:right w:val="single" w:sz="6" w:color="E2E8F0"/>
            </w:tcBorders>
            <w:tcMar>
              <w:top w:w="80" w:type="dxa"/>
              <w:start w:w="90" w:type="dxa"/>
              <w:bottom w:w="80" w:type="dxa"/>
              <w:end w:w="90" w:type="dxa"/>
            </w:tcMar>
            <w:vAlign w:val="center"/>
          </w:tcPr>
          <w:p>
            <w:pPr>
              <w:spacing w:after="0"/>
            </w:pPr>
            <w:r>
              <w:rPr>
                <w:rFonts w:ascii="Noto Sans CJK SC" w:hAnsi="Noto Sans CJK SC" w:eastAsia="Noto Sans CJK SC"/>
                <w:b w:val="0"/>
                <w:color w:val="1E293B"/>
                <w:sz w:val="18"/>
              </w:rPr>
              <w:t>技术牵头 / 产品 / 研发</w:t>
            </w:r>
          </w:p>
        </w:tc>
        <w:tc>
          <w:tcPr>
            <w:tcW w:type="dxa" w:w="1134"/>
            <w:shd w:fill="FFFFFF"/>
            <w:tcBorders>
              <w:top w:val="single" w:sz="6" w:color="E2E8F0"/>
              <w:left w:val="single" w:sz="6" w:color="E2E8F0"/>
              <w:bottom w:val="single" w:sz="6" w:color="E2E8F0"/>
              <w:right w:val="single" w:sz="6" w:color="E2E8F0"/>
            </w:tcBorders>
            <w:tcMar>
              <w:top w:w="80" w:type="dxa"/>
              <w:start w:w="90" w:type="dxa"/>
              <w:bottom w:w="80" w:type="dxa"/>
              <w:end w:w="90" w:type="dxa"/>
            </w:tcMar>
            <w:vAlign w:val="center"/>
          </w:tcPr>
          <w:p>
            <w:pPr>
              <w:spacing w:after="0"/>
              <w:jc w:val="center"/>
            </w:pPr>
            <w:r>
              <w:rPr>
                <w:rFonts w:ascii="Noto Sans CJK SC" w:hAnsi="Noto Sans CJK SC" w:eastAsia="Noto Sans CJK SC"/>
                <w:b w:val="0"/>
                <w:color w:val="1E293B"/>
                <w:sz w:val="18"/>
              </w:rPr>
              <w:t>下周</w:t>
            </w:r>
          </w:p>
        </w:tc>
      </w:tr>
      <w:tr>
        <w:tc>
          <w:tcPr>
            <w:tcW w:type="dxa" w:w="794"/>
            <w:shd w:fill="F8FAFC"/>
            <w:tcBorders>
              <w:top w:val="single" w:sz="6" w:color="E2E8F0"/>
              <w:left w:val="single" w:sz="6" w:color="E2E8F0"/>
              <w:bottom w:val="single" w:sz="6" w:color="E2E8F0"/>
              <w:right w:val="single" w:sz="6" w:color="E2E8F0"/>
            </w:tcBorders>
            <w:tcMar>
              <w:top w:w="80" w:type="dxa"/>
              <w:start w:w="90" w:type="dxa"/>
              <w:bottom w:w="80" w:type="dxa"/>
              <w:end w:w="90" w:type="dxa"/>
            </w:tcMar>
            <w:vAlign w:val="center"/>
          </w:tcPr>
          <w:p>
            <w:pPr>
              <w:spacing w:after="0"/>
              <w:jc w:val="center"/>
            </w:pPr>
            <w:r>
              <w:rPr>
                <w:rFonts w:ascii="Noto Sans CJK SC" w:hAnsi="Noto Sans CJK SC" w:eastAsia="Noto Sans CJK SC"/>
                <w:b/>
                <w:color w:val="2563EB"/>
                <w:sz w:val="18"/>
              </w:rPr>
              <w:t>A2</w:t>
            </w:r>
          </w:p>
        </w:tc>
        <w:tc>
          <w:tcPr>
            <w:tcW w:type="dxa" w:w="1701"/>
            <w:shd w:fill="F8FAFC"/>
            <w:tcBorders>
              <w:top w:val="single" w:sz="6" w:color="E2E8F0"/>
              <w:left w:val="single" w:sz="6" w:color="E2E8F0"/>
              <w:bottom w:val="single" w:sz="6" w:color="E2E8F0"/>
              <w:right w:val="single" w:sz="6" w:color="E2E8F0"/>
            </w:tcBorders>
            <w:tcMar>
              <w:top w:w="80" w:type="dxa"/>
              <w:start w:w="90" w:type="dxa"/>
              <w:bottom w:w="80" w:type="dxa"/>
              <w:end w:w="90" w:type="dxa"/>
            </w:tcMar>
            <w:vAlign w:val="center"/>
          </w:tcPr>
          <w:p>
            <w:pPr>
              <w:spacing w:after="0"/>
            </w:pPr>
            <w:r>
              <w:rPr>
                <w:rFonts w:ascii="Noto Sans CJK SC" w:hAnsi="Noto Sans CJK SC" w:eastAsia="Noto Sans CJK SC"/>
                <w:b w:val="0"/>
                <w:color w:val="1E293B"/>
                <w:sz w:val="18"/>
              </w:rPr>
              <w:t>固定操作模板</w:t>
            </w:r>
          </w:p>
        </w:tc>
        <w:tc>
          <w:tcPr>
            <w:tcW w:type="dxa" w:w="3572"/>
            <w:shd w:fill="F8FAFC"/>
            <w:tcBorders>
              <w:top w:val="single" w:sz="6" w:color="E2E8F0"/>
              <w:left w:val="single" w:sz="6" w:color="E2E8F0"/>
              <w:bottom w:val="single" w:sz="6" w:color="E2E8F0"/>
              <w:right w:val="single" w:sz="6" w:color="E2E8F0"/>
            </w:tcBorders>
            <w:tcMar>
              <w:top w:w="80" w:type="dxa"/>
              <w:start w:w="90" w:type="dxa"/>
              <w:bottom w:w="80" w:type="dxa"/>
              <w:end w:w="90" w:type="dxa"/>
            </w:tcMar>
            <w:vAlign w:val="center"/>
          </w:tcPr>
          <w:p>
            <w:pPr>
              <w:spacing w:after="0"/>
            </w:pPr>
            <w:r>
              <w:rPr>
                <w:rFonts w:ascii="Noto Sans CJK SC" w:hAnsi="Noto Sans CJK SC" w:eastAsia="Noto Sans CJK SC"/>
                <w:b w:val="0"/>
                <w:color w:val="1E293B"/>
                <w:sz w:val="18"/>
              </w:rPr>
              <w:t>云效链接执行、需求归档、状态回写、工时记录</w:t>
            </w:r>
          </w:p>
        </w:tc>
        <w:tc>
          <w:tcPr>
            <w:tcW w:type="dxa" w:w="2098"/>
            <w:shd w:fill="F8FAFC"/>
            <w:tcBorders>
              <w:top w:val="single" w:sz="6" w:color="E2E8F0"/>
              <w:left w:val="single" w:sz="6" w:color="E2E8F0"/>
              <w:bottom w:val="single" w:sz="6" w:color="E2E8F0"/>
              <w:right w:val="single" w:sz="6" w:color="E2E8F0"/>
            </w:tcBorders>
            <w:tcMar>
              <w:top w:w="80" w:type="dxa"/>
              <w:start w:w="90" w:type="dxa"/>
              <w:bottom w:w="80" w:type="dxa"/>
              <w:end w:w="90" w:type="dxa"/>
            </w:tcMar>
            <w:vAlign w:val="center"/>
          </w:tcPr>
          <w:p>
            <w:pPr>
              <w:spacing w:after="0"/>
            </w:pPr>
            <w:r>
              <w:rPr>
                <w:rFonts w:ascii="Noto Sans CJK SC" w:hAnsi="Noto Sans CJK SC" w:eastAsia="Noto Sans CJK SC"/>
                <w:b w:val="0"/>
                <w:color w:val="1E293B"/>
                <w:sz w:val="18"/>
              </w:rPr>
              <w:t>技术牵头</w:t>
            </w:r>
          </w:p>
        </w:tc>
        <w:tc>
          <w:tcPr>
            <w:tcW w:type="dxa" w:w="1134"/>
            <w:shd w:fill="F8FAFC"/>
            <w:tcBorders>
              <w:top w:val="single" w:sz="6" w:color="E2E8F0"/>
              <w:left w:val="single" w:sz="6" w:color="E2E8F0"/>
              <w:bottom w:val="single" w:sz="6" w:color="E2E8F0"/>
              <w:right w:val="single" w:sz="6" w:color="E2E8F0"/>
            </w:tcBorders>
            <w:tcMar>
              <w:top w:w="80" w:type="dxa"/>
              <w:start w:w="90" w:type="dxa"/>
              <w:bottom w:w="80" w:type="dxa"/>
              <w:end w:w="90" w:type="dxa"/>
            </w:tcMar>
            <w:vAlign w:val="center"/>
          </w:tcPr>
          <w:p>
            <w:pPr>
              <w:spacing w:after="0"/>
              <w:jc w:val="center"/>
            </w:pPr>
            <w:r>
              <w:rPr>
                <w:rFonts w:ascii="Noto Sans CJK SC" w:hAnsi="Noto Sans CJK SC" w:eastAsia="Noto Sans CJK SC"/>
                <w:b w:val="0"/>
                <w:color w:val="1E293B"/>
                <w:sz w:val="18"/>
              </w:rPr>
              <w:t>下周</w:t>
            </w:r>
          </w:p>
        </w:tc>
      </w:tr>
      <w:tr>
        <w:tc>
          <w:tcPr>
            <w:tcW w:type="dxa" w:w="794"/>
            <w:shd w:fill="FFFFFF"/>
            <w:tcBorders>
              <w:top w:val="single" w:sz="6" w:color="E2E8F0"/>
              <w:left w:val="single" w:sz="6" w:color="E2E8F0"/>
              <w:bottom w:val="single" w:sz="6" w:color="E2E8F0"/>
              <w:right w:val="single" w:sz="6" w:color="E2E8F0"/>
            </w:tcBorders>
            <w:tcMar>
              <w:top w:w="80" w:type="dxa"/>
              <w:start w:w="90" w:type="dxa"/>
              <w:bottom w:w="80" w:type="dxa"/>
              <w:end w:w="90" w:type="dxa"/>
            </w:tcMar>
            <w:vAlign w:val="center"/>
          </w:tcPr>
          <w:p>
            <w:pPr>
              <w:spacing w:after="0"/>
              <w:jc w:val="center"/>
            </w:pPr>
            <w:r>
              <w:rPr>
                <w:rFonts w:ascii="Noto Sans CJK SC" w:hAnsi="Noto Sans CJK SC" w:eastAsia="Noto Sans CJK SC"/>
                <w:b/>
                <w:color w:val="2563EB"/>
                <w:sz w:val="18"/>
              </w:rPr>
              <w:t>A3</w:t>
            </w:r>
          </w:p>
        </w:tc>
        <w:tc>
          <w:tcPr>
            <w:tcW w:type="dxa" w:w="1701"/>
            <w:shd w:fill="FFFFFF"/>
            <w:tcBorders>
              <w:top w:val="single" w:sz="6" w:color="E2E8F0"/>
              <w:left w:val="single" w:sz="6" w:color="E2E8F0"/>
              <w:bottom w:val="single" w:sz="6" w:color="E2E8F0"/>
              <w:right w:val="single" w:sz="6" w:color="E2E8F0"/>
            </w:tcBorders>
            <w:tcMar>
              <w:top w:w="80" w:type="dxa"/>
              <w:start w:w="90" w:type="dxa"/>
              <w:bottom w:w="80" w:type="dxa"/>
              <w:end w:w="90" w:type="dxa"/>
            </w:tcMar>
            <w:vAlign w:val="center"/>
          </w:tcPr>
          <w:p>
            <w:pPr>
              <w:spacing w:after="0"/>
            </w:pPr>
            <w:r>
              <w:rPr>
                <w:rFonts w:ascii="Noto Sans CJK SC" w:hAnsi="Noto Sans CJK SC" w:eastAsia="Noto Sans CJK SC"/>
                <w:b w:val="0"/>
                <w:color w:val="1E293B"/>
                <w:sz w:val="18"/>
              </w:rPr>
              <w:t>沉淀自动化规范</w:t>
            </w:r>
          </w:p>
        </w:tc>
        <w:tc>
          <w:tcPr>
            <w:tcW w:type="dxa" w:w="3572"/>
            <w:shd w:fill="FFFFFF"/>
            <w:tcBorders>
              <w:top w:val="single" w:sz="6" w:color="E2E8F0"/>
              <w:left w:val="single" w:sz="6" w:color="E2E8F0"/>
              <w:bottom w:val="single" w:sz="6" w:color="E2E8F0"/>
              <w:right w:val="single" w:sz="6" w:color="E2E8F0"/>
            </w:tcBorders>
            <w:tcMar>
              <w:top w:w="80" w:type="dxa"/>
              <w:start w:w="90" w:type="dxa"/>
              <w:bottom w:w="80" w:type="dxa"/>
              <w:end w:w="90" w:type="dxa"/>
            </w:tcMar>
            <w:vAlign w:val="center"/>
          </w:tcPr>
          <w:p>
            <w:pPr>
              <w:spacing w:after="0"/>
            </w:pPr>
            <w:r>
              <w:rPr>
                <w:rFonts w:ascii="Noto Sans CJK SC" w:hAnsi="Noto Sans CJK SC" w:eastAsia="Noto Sans CJK SC"/>
                <w:b w:val="0"/>
                <w:color w:val="1E293B"/>
                <w:sz w:val="18"/>
              </w:rPr>
              <w:t>Inbox、Feature、API、DB、QA、Test、Skill目录与脚本</w:t>
            </w:r>
          </w:p>
        </w:tc>
        <w:tc>
          <w:tcPr>
            <w:tcW w:type="dxa" w:w="2098"/>
            <w:shd w:fill="FFFFFF"/>
            <w:tcBorders>
              <w:top w:val="single" w:sz="6" w:color="E2E8F0"/>
              <w:left w:val="single" w:sz="6" w:color="E2E8F0"/>
              <w:bottom w:val="single" w:sz="6" w:color="E2E8F0"/>
              <w:right w:val="single" w:sz="6" w:color="E2E8F0"/>
            </w:tcBorders>
            <w:tcMar>
              <w:top w:w="80" w:type="dxa"/>
              <w:start w:w="90" w:type="dxa"/>
              <w:bottom w:w="80" w:type="dxa"/>
              <w:end w:w="90" w:type="dxa"/>
            </w:tcMar>
            <w:vAlign w:val="center"/>
          </w:tcPr>
          <w:p>
            <w:pPr>
              <w:spacing w:after="0"/>
            </w:pPr>
            <w:r>
              <w:rPr>
                <w:rFonts w:ascii="Noto Sans CJK SC" w:hAnsi="Noto Sans CJK SC" w:eastAsia="Noto Sans CJK SC"/>
                <w:b w:val="0"/>
                <w:color w:val="1E293B"/>
                <w:sz w:val="18"/>
              </w:rPr>
              <w:t>技术牵头 / 研发</w:t>
            </w:r>
          </w:p>
        </w:tc>
        <w:tc>
          <w:tcPr>
            <w:tcW w:type="dxa" w:w="1134"/>
            <w:shd w:fill="FFFFFF"/>
            <w:tcBorders>
              <w:top w:val="single" w:sz="6" w:color="E2E8F0"/>
              <w:left w:val="single" w:sz="6" w:color="E2E8F0"/>
              <w:bottom w:val="single" w:sz="6" w:color="E2E8F0"/>
              <w:right w:val="single" w:sz="6" w:color="E2E8F0"/>
            </w:tcBorders>
            <w:tcMar>
              <w:top w:w="80" w:type="dxa"/>
              <w:start w:w="90" w:type="dxa"/>
              <w:bottom w:w="80" w:type="dxa"/>
              <w:end w:w="90" w:type="dxa"/>
            </w:tcMar>
            <w:vAlign w:val="center"/>
          </w:tcPr>
          <w:p>
            <w:pPr>
              <w:spacing w:after="0"/>
              <w:jc w:val="center"/>
            </w:pPr>
            <w:r>
              <w:rPr>
                <w:rFonts w:ascii="Noto Sans CJK SC" w:hAnsi="Noto Sans CJK SC" w:eastAsia="Noto Sans CJK SC"/>
                <w:b w:val="0"/>
                <w:color w:val="1E293B"/>
                <w:sz w:val="18"/>
              </w:rPr>
              <w:t>本周启动</w:t>
            </w:r>
          </w:p>
        </w:tc>
      </w:tr>
      <w:tr>
        <w:tc>
          <w:tcPr>
            <w:tcW w:type="dxa" w:w="794"/>
            <w:shd w:fill="F8FAFC"/>
            <w:tcBorders>
              <w:top w:val="single" w:sz="6" w:color="E2E8F0"/>
              <w:left w:val="single" w:sz="6" w:color="E2E8F0"/>
              <w:bottom w:val="single" w:sz="6" w:color="E2E8F0"/>
              <w:right w:val="single" w:sz="6" w:color="E2E8F0"/>
            </w:tcBorders>
            <w:tcMar>
              <w:top w:w="80" w:type="dxa"/>
              <w:start w:w="90" w:type="dxa"/>
              <w:bottom w:w="80" w:type="dxa"/>
              <w:end w:w="90" w:type="dxa"/>
            </w:tcMar>
            <w:vAlign w:val="center"/>
          </w:tcPr>
          <w:p>
            <w:pPr>
              <w:spacing w:after="0"/>
              <w:jc w:val="center"/>
            </w:pPr>
            <w:r>
              <w:rPr>
                <w:rFonts w:ascii="Noto Sans CJK SC" w:hAnsi="Noto Sans CJK SC" w:eastAsia="Noto Sans CJK SC"/>
                <w:b/>
                <w:color w:val="2563EB"/>
                <w:sz w:val="18"/>
              </w:rPr>
              <w:t>A4</w:t>
            </w:r>
          </w:p>
        </w:tc>
        <w:tc>
          <w:tcPr>
            <w:tcW w:type="dxa" w:w="1701"/>
            <w:shd w:fill="F8FAFC"/>
            <w:tcBorders>
              <w:top w:val="single" w:sz="6" w:color="E2E8F0"/>
              <w:left w:val="single" w:sz="6" w:color="E2E8F0"/>
              <w:bottom w:val="single" w:sz="6" w:color="E2E8F0"/>
              <w:right w:val="single" w:sz="6" w:color="E2E8F0"/>
            </w:tcBorders>
            <w:tcMar>
              <w:top w:w="80" w:type="dxa"/>
              <w:start w:w="90" w:type="dxa"/>
              <w:bottom w:w="80" w:type="dxa"/>
              <w:end w:w="90" w:type="dxa"/>
            </w:tcMar>
            <w:vAlign w:val="center"/>
          </w:tcPr>
          <w:p>
            <w:pPr>
              <w:spacing w:after="0"/>
            </w:pPr>
            <w:r>
              <w:rPr>
                <w:rFonts w:ascii="Noto Sans CJK SC" w:hAnsi="Noto Sans CJK SC" w:eastAsia="Noto Sans CJK SC"/>
                <w:b w:val="0"/>
                <w:color w:val="1E293B"/>
                <w:sz w:val="18"/>
              </w:rPr>
              <w:t>选择项目试点</w:t>
            </w:r>
          </w:p>
        </w:tc>
        <w:tc>
          <w:tcPr>
            <w:tcW w:type="dxa" w:w="3572"/>
            <w:shd w:fill="F8FAFC"/>
            <w:tcBorders>
              <w:top w:val="single" w:sz="6" w:color="E2E8F0"/>
              <w:left w:val="single" w:sz="6" w:color="E2E8F0"/>
              <w:bottom w:val="single" w:sz="6" w:color="E2E8F0"/>
              <w:right w:val="single" w:sz="6" w:color="E2E8F0"/>
            </w:tcBorders>
            <w:tcMar>
              <w:top w:w="80" w:type="dxa"/>
              <w:start w:w="90" w:type="dxa"/>
              <w:bottom w:w="80" w:type="dxa"/>
              <w:end w:w="90" w:type="dxa"/>
            </w:tcMar>
            <w:vAlign w:val="center"/>
          </w:tcPr>
          <w:p>
            <w:pPr>
              <w:spacing w:after="0"/>
            </w:pPr>
            <w:r>
              <w:rPr>
                <w:rFonts w:ascii="Noto Sans CJK SC" w:hAnsi="Noto Sans CJK SC" w:eastAsia="Noto Sans CJK SC"/>
                <w:b w:val="0"/>
                <w:color w:val="1E293B"/>
                <w:sz w:val="18"/>
              </w:rPr>
              <w:t>以智慧餐厅/现有云效项目跑通需求到验收闭环</w:t>
            </w:r>
          </w:p>
        </w:tc>
        <w:tc>
          <w:tcPr>
            <w:tcW w:type="dxa" w:w="2098"/>
            <w:shd w:fill="F8FAFC"/>
            <w:tcBorders>
              <w:top w:val="single" w:sz="6" w:color="E2E8F0"/>
              <w:left w:val="single" w:sz="6" w:color="E2E8F0"/>
              <w:bottom w:val="single" w:sz="6" w:color="E2E8F0"/>
              <w:right w:val="single" w:sz="6" w:color="E2E8F0"/>
            </w:tcBorders>
            <w:tcMar>
              <w:top w:w="80" w:type="dxa"/>
              <w:start w:w="90" w:type="dxa"/>
              <w:bottom w:w="80" w:type="dxa"/>
              <w:end w:w="90" w:type="dxa"/>
            </w:tcMar>
            <w:vAlign w:val="center"/>
          </w:tcPr>
          <w:p>
            <w:pPr>
              <w:spacing w:after="0"/>
            </w:pPr>
            <w:r>
              <w:rPr>
                <w:rFonts w:ascii="Noto Sans CJK SC" w:hAnsi="Noto Sans CJK SC" w:eastAsia="Noto Sans CJK SC"/>
                <w:b w:val="0"/>
                <w:color w:val="1E293B"/>
                <w:sz w:val="18"/>
              </w:rPr>
              <w:t>产品 / 研发</w:t>
            </w:r>
          </w:p>
        </w:tc>
        <w:tc>
          <w:tcPr>
            <w:tcW w:type="dxa" w:w="1134"/>
            <w:shd w:fill="F8FAFC"/>
            <w:tcBorders>
              <w:top w:val="single" w:sz="6" w:color="E2E8F0"/>
              <w:left w:val="single" w:sz="6" w:color="E2E8F0"/>
              <w:bottom w:val="single" w:sz="6" w:color="E2E8F0"/>
              <w:right w:val="single" w:sz="6" w:color="E2E8F0"/>
            </w:tcBorders>
            <w:tcMar>
              <w:top w:w="80" w:type="dxa"/>
              <w:start w:w="90" w:type="dxa"/>
              <w:bottom w:w="80" w:type="dxa"/>
              <w:end w:w="90" w:type="dxa"/>
            </w:tcMar>
            <w:vAlign w:val="center"/>
          </w:tcPr>
          <w:p>
            <w:pPr>
              <w:spacing w:after="0"/>
              <w:jc w:val="center"/>
            </w:pPr>
            <w:r>
              <w:rPr>
                <w:rFonts w:ascii="Noto Sans CJK SC" w:hAnsi="Noto Sans CJK SC" w:eastAsia="Noto Sans CJK SC"/>
                <w:b w:val="0"/>
                <w:color w:val="1E293B"/>
                <w:sz w:val="18"/>
              </w:rPr>
              <w:t>近期</w:t>
            </w:r>
          </w:p>
        </w:tc>
      </w:tr>
      <w:tr>
        <w:tc>
          <w:tcPr>
            <w:tcW w:type="dxa" w:w="794"/>
            <w:shd w:fill="FFFFFF"/>
            <w:tcBorders>
              <w:top w:val="single" w:sz="6" w:color="E2E8F0"/>
              <w:left w:val="single" w:sz="6" w:color="E2E8F0"/>
              <w:bottom w:val="single" w:sz="6" w:color="E2E8F0"/>
              <w:right w:val="single" w:sz="6" w:color="E2E8F0"/>
            </w:tcBorders>
            <w:tcMar>
              <w:top w:w="80" w:type="dxa"/>
              <w:start w:w="90" w:type="dxa"/>
              <w:bottom w:w="80" w:type="dxa"/>
              <w:end w:w="90" w:type="dxa"/>
            </w:tcMar>
            <w:vAlign w:val="center"/>
          </w:tcPr>
          <w:p>
            <w:pPr>
              <w:spacing w:after="0"/>
              <w:jc w:val="center"/>
            </w:pPr>
            <w:r>
              <w:rPr>
                <w:rFonts w:ascii="Noto Sans CJK SC" w:hAnsi="Noto Sans CJK SC" w:eastAsia="Noto Sans CJK SC"/>
                <w:b/>
                <w:color w:val="2563EB"/>
                <w:sz w:val="18"/>
              </w:rPr>
              <w:t>A5</w:t>
            </w:r>
          </w:p>
        </w:tc>
        <w:tc>
          <w:tcPr>
            <w:tcW w:type="dxa" w:w="1701"/>
            <w:shd w:fill="FFFFFF"/>
            <w:tcBorders>
              <w:top w:val="single" w:sz="6" w:color="E2E8F0"/>
              <w:left w:val="single" w:sz="6" w:color="E2E8F0"/>
              <w:bottom w:val="single" w:sz="6" w:color="E2E8F0"/>
              <w:right w:val="single" w:sz="6" w:color="E2E8F0"/>
            </w:tcBorders>
            <w:tcMar>
              <w:top w:w="80" w:type="dxa"/>
              <w:start w:w="90" w:type="dxa"/>
              <w:bottom w:w="80" w:type="dxa"/>
              <w:end w:w="90" w:type="dxa"/>
            </w:tcMar>
            <w:vAlign w:val="center"/>
          </w:tcPr>
          <w:p>
            <w:pPr>
              <w:spacing w:after="0"/>
            </w:pPr>
            <w:r>
              <w:rPr>
                <w:rFonts w:ascii="Noto Sans CJK SC" w:hAnsi="Noto Sans CJK SC" w:eastAsia="Noto Sans CJK SC"/>
                <w:b w:val="0"/>
                <w:color w:val="1E293B"/>
                <w:sz w:val="18"/>
              </w:rPr>
              <w:t>建立治理边界</w:t>
            </w:r>
          </w:p>
        </w:tc>
        <w:tc>
          <w:tcPr>
            <w:tcW w:type="dxa" w:w="3572"/>
            <w:shd w:fill="FFFFFF"/>
            <w:tcBorders>
              <w:top w:val="single" w:sz="6" w:color="E2E8F0"/>
              <w:left w:val="single" w:sz="6" w:color="E2E8F0"/>
              <w:bottom w:val="single" w:sz="6" w:color="E2E8F0"/>
              <w:right w:val="single" w:sz="6" w:color="E2E8F0"/>
            </w:tcBorders>
            <w:tcMar>
              <w:top w:w="80" w:type="dxa"/>
              <w:start w:w="90" w:type="dxa"/>
              <w:bottom w:w="80" w:type="dxa"/>
              <w:end w:w="90" w:type="dxa"/>
            </w:tcMar>
            <w:vAlign w:val="center"/>
          </w:tcPr>
          <w:p>
            <w:pPr>
              <w:spacing w:after="0"/>
            </w:pPr>
            <w:r>
              <w:rPr>
                <w:rFonts w:ascii="Noto Sans CJK SC" w:hAnsi="Noto Sans CJK SC" w:eastAsia="Noto Sans CJK SC"/>
                <w:b w:val="0"/>
                <w:color w:val="1E293B"/>
                <w:sz w:val="18"/>
              </w:rPr>
              <w:t>PAT最小权限、工作空间与代码仓库分层、数据脱敏规则</w:t>
            </w:r>
          </w:p>
        </w:tc>
        <w:tc>
          <w:tcPr>
            <w:tcW w:type="dxa" w:w="2098"/>
            <w:shd w:fill="FFFFFF"/>
            <w:tcBorders>
              <w:top w:val="single" w:sz="6" w:color="E2E8F0"/>
              <w:left w:val="single" w:sz="6" w:color="E2E8F0"/>
              <w:bottom w:val="single" w:sz="6" w:color="E2E8F0"/>
              <w:right w:val="single" w:sz="6" w:color="E2E8F0"/>
            </w:tcBorders>
            <w:tcMar>
              <w:top w:w="80" w:type="dxa"/>
              <w:start w:w="90" w:type="dxa"/>
              <w:bottom w:w="80" w:type="dxa"/>
              <w:end w:w="90" w:type="dxa"/>
            </w:tcMar>
            <w:vAlign w:val="center"/>
          </w:tcPr>
          <w:p>
            <w:pPr>
              <w:spacing w:after="0"/>
            </w:pPr>
            <w:r>
              <w:rPr>
                <w:rFonts w:ascii="Noto Sans CJK SC" w:hAnsi="Noto Sans CJK SC" w:eastAsia="Noto Sans CJK SC"/>
                <w:b w:val="0"/>
                <w:color w:val="1E293B"/>
                <w:sz w:val="18"/>
              </w:rPr>
              <w:t>技术牵头</w:t>
            </w:r>
          </w:p>
        </w:tc>
        <w:tc>
          <w:tcPr>
            <w:tcW w:type="dxa" w:w="1134"/>
            <w:shd w:fill="FFFFFF"/>
            <w:tcBorders>
              <w:top w:val="single" w:sz="6" w:color="E2E8F0"/>
              <w:left w:val="single" w:sz="6" w:color="E2E8F0"/>
              <w:bottom w:val="single" w:sz="6" w:color="E2E8F0"/>
              <w:right w:val="single" w:sz="6" w:color="E2E8F0"/>
            </w:tcBorders>
            <w:tcMar>
              <w:top w:w="80" w:type="dxa"/>
              <w:start w:w="90" w:type="dxa"/>
              <w:bottom w:w="80" w:type="dxa"/>
              <w:end w:w="90" w:type="dxa"/>
            </w:tcMar>
            <w:vAlign w:val="center"/>
          </w:tcPr>
          <w:p>
            <w:pPr>
              <w:spacing w:after="0"/>
              <w:jc w:val="center"/>
            </w:pPr>
            <w:r>
              <w:rPr>
                <w:rFonts w:ascii="Noto Sans CJK SC" w:hAnsi="Noto Sans CJK SC" w:eastAsia="Noto Sans CJK SC"/>
                <w:b w:val="0"/>
                <w:color w:val="1E293B"/>
                <w:sz w:val="18"/>
              </w:rPr>
              <w:t>启动前</w:t>
            </w:r>
          </w:p>
        </w:tc>
      </w:tr>
    </w:tbl>
    <w:p>
      <w:pPr>
        <w:spacing w:before="200" w:after="80"/>
      </w:pPr>
      <w:r>
        <w:rPr>
          <w:rFonts w:ascii="Noto Sans CJK SC" w:hAnsi="Noto Sans CJK SC" w:eastAsia="Noto Sans CJK SC"/>
          <w:b/>
          <w:color w:val="0B1F3A"/>
          <w:sz w:val="36"/>
        </w:rPr>
        <w:t>四、最终口径</w:t>
      </w:r>
    </w:p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10318"/>
      </w:tblGrid>
      <w:tr>
        <w:tc>
          <w:tcPr>
            <w:tcW w:type="dxa" w:w="10318"/>
            <w:shd w:fill="F8FAFC"/>
            <w:tcBorders>
              <w:top w:val="single" w:sz="6" w:color="E2E8F0"/>
              <w:left w:val="single" w:sz="6" w:color="E2E8F0"/>
              <w:bottom w:val="single" w:sz="6" w:color="E2E8F0"/>
              <w:right w:val="single" w:sz="6" w:color="E2E8F0"/>
            </w:tcBorders>
            <w:tcMar>
              <w:top w:w="120" w:type="dxa"/>
              <w:start w:w="160" w:type="dxa"/>
              <w:bottom w:w="120" w:type="dxa"/>
              <w:end w:w="160" w:type="dxa"/>
            </w:tcMar>
          </w:tcPr>
          <w:p>
            <w:r>
              <w:rPr>
                <w:rFonts w:ascii="Noto Sans CJK SC" w:hAnsi="Noto Sans CJK SC" w:eastAsia="Noto Sans CJK SC"/>
                <w:b/>
                <w:color w:val="0B1F3A"/>
                <w:sz w:val="21"/>
              </w:rPr>
              <w:t>对内统一表达：</w:t>
            </w:r>
            <w:r>
              <w:rPr>
                <w:rFonts w:ascii="Noto Sans CJK SC" w:hAnsi="Noto Sans CJK SC" w:eastAsia="Noto Sans CJK SC"/>
                <w:b w:val="0"/>
                <w:color w:val="334155"/>
                <w:sz w:val="20"/>
              </w:rPr>
              <w:t>我们不是换一个项目管理工具，而是在云效现有体系上接入AI协同能力，让产品、研发、测试和验收形成可追踪、可复用、可复制的闭环。</w:t>
            </w:r>
          </w:p>
        </w:tc>
      </w:tr>
    </w:tbl>
    <w:p>
      <w:pPr>
        <w:sectPr>
          <w:footerReference w:type="default" r:id="rId12"/>
          <w:pgSz w:w="11906" w:h="16838"/>
          <w:pgMar w:top="709" w:right="794" w:bottom="652" w:left="794" w:header="720" w:footer="720" w:gutter="0"/>
          <w:cols w:space="720"/>
          <w:docGrid w:linePitch="360"/>
        </w:sectPr>
      </w:pPr>
    </w:p>
    <w:p>
      <w:pPr>
        <w:spacing w:after="80"/>
        <w:jc w:val="left"/>
      </w:pPr>
      <w:r>
        <w:rPr>
          <w:rFonts w:ascii="Noto Sans CJK SC" w:hAnsi="Noto Sans CJK SC" w:eastAsia="Noto Sans CJK SC"/>
          <w:b/>
          <w:color w:val="0B1F3A"/>
          <w:sz w:val="24"/>
        </w:rPr>
        <w:t>附件一：云效 × Codex AI产研协同闭环</w:t>
      </w:r>
    </w:p>
    <w:p>
      <w:r>
        <w:drawing>
          <wp:inline xmlns:a="http://schemas.openxmlformats.org/drawingml/2006/main" xmlns:pic="http://schemas.openxmlformats.org/drawingml/2006/picture">
            <wp:extent cx="9972000" cy="560925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JY-20260427-AI协同云效闭环-流程图-精美终版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72000" cy="56092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pgSz w:w="16838" w:h="11906" w:orient="landscape"/>
          <w:pgMar w:top="454" w:right="454" w:bottom="340" w:left="454" w:header="720" w:footer="720" w:gutter="0"/>
          <w:cols w:space="720"/>
          <w:docGrid w:linePitch="360"/>
        </w:sectPr>
      </w:pPr>
    </w:p>
    <w:p>
      <w:pPr>
        <w:spacing w:after="80"/>
        <w:jc w:val="left"/>
      </w:pPr>
      <w:r>
        <w:rPr>
          <w:rFonts w:ascii="Noto Sans CJK SC" w:hAnsi="Noto Sans CJK SC" w:eastAsia="Noto Sans CJK SC"/>
          <w:b/>
          <w:color w:val="0B1F3A"/>
          <w:sz w:val="24"/>
        </w:rPr>
        <w:t>附件二：为什么最终选择云效 - 决策证据链</w:t>
      </w:r>
    </w:p>
    <w:p>
      <w:r>
        <w:drawing>
          <wp:inline xmlns:a="http://schemas.openxmlformats.org/drawingml/2006/main" xmlns:pic="http://schemas.openxmlformats.org/drawingml/2006/picture">
            <wp:extent cx="9972000" cy="560925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JY-20260427-AI协同云效落地-证据链图-精美终版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72000" cy="56092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pgSz w:w="16838" w:h="11906" w:orient="landscape"/>
          <w:pgMar w:top="454" w:right="454" w:bottom="340" w:left="454" w:header="720" w:footer="720" w:gutter="0"/>
          <w:cols w:space="720"/>
          <w:docGrid w:linePitch="360"/>
        </w:sectPr>
      </w:pPr>
    </w:p>
    <w:p>
      <w:pPr>
        <w:spacing w:after="80"/>
        <w:jc w:val="left"/>
      </w:pPr>
      <w:r>
        <w:rPr>
          <w:rFonts w:ascii="Noto Sans CJK SC" w:hAnsi="Noto Sans CJK SC" w:eastAsia="Noto Sans CJK SC"/>
          <w:b/>
          <w:color w:val="0B1F3A"/>
          <w:sz w:val="24"/>
        </w:rPr>
        <w:t>附件三：AI协同云效落地方案信息图</w:t>
      </w:r>
    </w:p>
    <w:p>
      <w:r>
        <w:drawing>
          <wp:inline xmlns:a="http://schemas.openxmlformats.org/drawingml/2006/main" xmlns:pic="http://schemas.openxmlformats.org/drawingml/2006/picture">
            <wp:extent cx="9972000" cy="560925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JY-20260427-AI协同云效落地-主信息图-精美终版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72000" cy="5609250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6838" w:h="11906" w:orient="landscape"/>
      <w:pgMar w:top="454" w:right="454" w:bottom="340" w:left="45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  <w:jc w:val="center"/>
    </w:pPr>
    <w:r>
      <w:rPr>
        <w:rFonts w:ascii="Noto Sans CJK SC" w:hAnsi="Noto Sans CJK SC" w:eastAsia="Noto Sans CJK SC"/>
        <w:color w:val="94A3B8"/>
        <w:sz w:val="16"/>
      </w:rPr>
      <w:t>内部资料｜AI协同云效落地会议纪要｜精简终版</w:t>
    </w:r>
  </w:p>
</w:ft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Noto Sans CJK SC" w:hAnsi="Noto Sans CJK SC" w:eastAsia="Noto Sans CJK SC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  <w:rPr>
      <w:rFonts w:ascii="Noto Sans CJK SC" w:hAnsi="Noto Sans CJK SC" w:eastAsia="Noto Sans CJK SC"/>
      <w:sz w:val="21"/>
    </w:r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rPr>
      <w:rFonts w:ascii="Noto Sans CJK SC" w:hAnsi="Noto Sans CJK SC" w:eastAsia="Noto Sans CJK SC"/>
      <w:sz w:val="2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