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Microsoft YaHei"/>
          <w:b/>
          <w:color w:val="1F4E79"/>
          <w:sz w:val="36"/>
        </w:rPr>
        <w:t>团餐业务中心 5 月月度经营与项目汇报（完善版）</w:t>
      </w:r>
    </w:p>
    <w:p>
      <w:pPr>
        <w:jc w:val="center"/>
      </w:pPr>
      <w:r>
        <w:rPr>
          <w:sz w:val="18"/>
        </w:rPr>
        <w:t>汇报部门：团餐业务中心    汇报人：边磊    版本：2026-05-25 改稿</w:t>
      </w:r>
    </w:p>
    <w:p>
      <w:r>
        <w:rPr>
          <w:rFonts w:ascii="Microsoft YaHei" w:hAnsi="Microsoft YaHei" w:eastAsia="Microsoft YaHei"/>
        </w:rPr>
        <w:t>本版将原稿从“项目流水汇总”调整为“经营结果、项目池质量、渠道打法、产品控标能力、6月冲刺动作”五条线。所有金额沿用原稿；利润、毛利率、同期数据和回款状态没有来源时统一标为待财务确认，不做推测。</w:t>
      </w:r>
    </w:p>
    <w:p>
      <w:pPr>
        <w:pStyle w:val="Heading1"/>
      </w:pPr>
      <w:r>
        <w:t>一、5 月经营结论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73"/>
        <w:gridCol w:w="1473"/>
        <w:gridCol w:w="1473"/>
        <w:gridCol w:w="1473"/>
        <w:gridCol w:w="1473"/>
        <w:gridCol w:w="1473"/>
        <w:gridCol w:w="1473"/>
      </w:tblGrid>
      <w:tr>
        <w:tc>
          <w:tcPr>
            <w:tcW w:type="dxa" w:w="1304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指标</w:t>
            </w:r>
          </w:p>
        </w:tc>
        <w:tc>
          <w:tcPr>
            <w:tcW w:type="dxa" w:w="1134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5月目标</w:t>
            </w:r>
          </w:p>
        </w:tc>
        <w:tc>
          <w:tcPr>
            <w:tcW w:type="dxa" w:w="1247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5月预计达成</w:t>
            </w:r>
          </w:p>
        </w:tc>
        <w:tc>
          <w:tcPr>
            <w:tcW w:type="dxa" w:w="1020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达成率</w:t>
            </w:r>
          </w:p>
        </w:tc>
        <w:tc>
          <w:tcPr>
            <w:tcW w:type="dxa" w:w="1134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年度目标</w:t>
            </w:r>
          </w:p>
        </w:tc>
        <w:tc>
          <w:tcPr>
            <w:tcW w:type="dxa" w:w="1134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年度累计</w:t>
            </w:r>
          </w:p>
        </w:tc>
        <w:tc>
          <w:tcPr>
            <w:tcW w:type="dxa" w:w="1134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累计达成率</w:t>
            </w:r>
          </w:p>
        </w:tc>
      </w:tr>
      <w:tr>
        <w:tc>
          <w:tcPr>
            <w:tcW w:type="dxa" w:w="130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确收（万元）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96</w:t>
            </w:r>
          </w:p>
        </w:tc>
        <w:tc>
          <w:tcPr>
            <w:tcW w:type="dxa" w:w="1247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54</w:t>
            </w:r>
          </w:p>
        </w:tc>
        <w:tc>
          <w:tcPr>
            <w:tcW w:type="dxa" w:w="1020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56%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1200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167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14%</w:t>
            </w:r>
          </w:p>
        </w:tc>
      </w:tr>
    </w:tbl>
    <w:p/>
    <w:p>
      <w:pPr>
        <w:pStyle w:val="ListBullet"/>
      </w:pPr>
      <w:r>
        <w:rPr>
          <w:rFonts w:ascii="Microsoft YaHei" w:hAnsi="Microsoft YaHei" w:eastAsia="Microsoft YaHei"/>
          <w:sz w:val="20"/>
        </w:rPr>
        <w:t>结果判断：5 月确收未达成，短板不是单一项目执行问题，而是项目池厚度、渠道转化和确收节奏尚未形成稳定滚动。</w:t>
      </w:r>
    </w:p>
    <w:p>
      <w:pPr>
        <w:pStyle w:val="ListBullet"/>
      </w:pPr>
      <w:r>
        <w:rPr>
          <w:rFonts w:ascii="Microsoft YaHei" w:hAnsi="Microsoft YaHei" w:eastAsia="Microsoft YaHei"/>
          <w:sz w:val="20"/>
        </w:rPr>
        <w:t>积极变化：本月完成签约项目 8 个，签约金额 141.5 万元；预计确收项目 7 个，确收 54 万元；新增北京区 8 个、江苏区 6 个客户线索。</w:t>
      </w:r>
    </w:p>
    <w:p>
      <w:pPr>
        <w:pStyle w:val="ListBullet"/>
      </w:pPr>
      <w:r>
        <w:rPr>
          <w:rFonts w:ascii="Microsoft YaHei" w:hAnsi="Microsoft YaHei" w:eastAsia="Microsoft YaHei"/>
          <w:sz w:val="20"/>
        </w:rPr>
        <w:t>经营含义：6 月不能只追单点签约，需要把高优先级项目、核心渠道、控标参数和验收回款放到同一张经营表里滚动管理。</w:t>
      </w:r>
    </w:p>
    <w:p>
      <w:pPr>
        <w:pStyle w:val="Heading1"/>
      </w:pPr>
      <w:r>
        <w:t>二、5 月核心业务进展</w:t>
      </w:r>
    </w:p>
    <w:p>
      <w:pPr>
        <w:pStyle w:val="Heading2"/>
      </w:pPr>
      <w:r>
        <w:t>2.1 签约项目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c>
          <w:tcPr>
            <w:tcW w:type="dxa" w:w="2324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项目名称</w:t>
            </w:r>
          </w:p>
        </w:tc>
        <w:tc>
          <w:tcPr>
            <w:tcW w:type="dxa" w:w="1701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合作类型</w:t>
            </w:r>
          </w:p>
        </w:tc>
        <w:tc>
          <w:tcPr>
            <w:tcW w:type="dxa" w:w="3515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产品配置</w:t>
            </w:r>
          </w:p>
        </w:tc>
        <w:tc>
          <w:tcPr>
            <w:tcW w:type="dxa" w:w="1134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金额（万元）</w:t>
            </w:r>
          </w:p>
        </w:tc>
      </w:tr>
      <w:tr>
        <w:tc>
          <w:tcPr>
            <w:tcW w:type="dxa" w:w="232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副中心项目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直营项目</w:t>
            </w:r>
          </w:p>
        </w:tc>
        <w:tc>
          <w:tcPr>
            <w:tcW w:type="dxa" w:w="351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营养管理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72.5</w:t>
            </w:r>
          </w:p>
        </w:tc>
      </w:tr>
      <w:tr>
        <w:tc>
          <w:tcPr>
            <w:tcW w:type="dxa" w:w="232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重庆环卫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系统集成渠道</w:t>
            </w:r>
          </w:p>
        </w:tc>
        <w:tc>
          <w:tcPr>
            <w:tcW w:type="dxa" w:w="351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营养结算 + 食安监管 + 进销存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25</w:t>
            </w:r>
          </w:p>
        </w:tc>
      </w:tr>
      <w:tr>
        <w:tc>
          <w:tcPr>
            <w:tcW w:type="dxa" w:w="232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河北石家庄园区项目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厨具渠道</w:t>
            </w:r>
          </w:p>
        </w:tc>
        <w:tc>
          <w:tcPr>
            <w:tcW w:type="dxa" w:w="351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AI营养结算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3</w:t>
            </w:r>
          </w:p>
        </w:tc>
      </w:tr>
      <w:tr>
        <w:tc>
          <w:tcPr>
            <w:tcW w:type="dxa" w:w="232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建林中学项目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系统集成渠道</w:t>
            </w:r>
          </w:p>
        </w:tc>
        <w:tc>
          <w:tcPr>
            <w:tcW w:type="dxa" w:w="351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基础结算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0.5</w:t>
            </w:r>
          </w:p>
        </w:tc>
      </w:tr>
      <w:tr>
        <w:tc>
          <w:tcPr>
            <w:tcW w:type="dxa" w:w="232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首都机场增订项目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系统集成渠道</w:t>
            </w:r>
          </w:p>
        </w:tc>
        <w:tc>
          <w:tcPr>
            <w:tcW w:type="dxa" w:w="351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基础结算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3</w:t>
            </w:r>
          </w:p>
        </w:tc>
      </w:tr>
      <w:tr>
        <w:tc>
          <w:tcPr>
            <w:tcW w:type="dxa" w:w="232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荣海中学项目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系统集成渠道</w:t>
            </w:r>
          </w:p>
        </w:tc>
        <w:tc>
          <w:tcPr>
            <w:tcW w:type="dxa" w:w="351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基础结算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2.5</w:t>
            </w:r>
          </w:p>
        </w:tc>
      </w:tr>
      <w:tr>
        <w:tc>
          <w:tcPr>
            <w:tcW w:type="dxa" w:w="232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人大附中项目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直营项目</w:t>
            </w:r>
          </w:p>
        </w:tc>
        <w:tc>
          <w:tcPr>
            <w:tcW w:type="dxa" w:w="351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电子菜单系统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5</w:t>
            </w:r>
          </w:p>
        </w:tc>
      </w:tr>
      <w:tr>
        <w:tc>
          <w:tcPr>
            <w:tcW w:type="dxa" w:w="232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三全项目（软件）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系统集成渠道</w:t>
            </w:r>
          </w:p>
        </w:tc>
        <w:tc>
          <w:tcPr>
            <w:tcW w:type="dxa" w:w="351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营养结算 + 食安监管 + 进销存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30</w:t>
            </w:r>
          </w:p>
        </w:tc>
      </w:tr>
      <w:tr>
        <w:tc>
          <w:tcPr>
            <w:tcW w:type="dxa" w:w="232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合计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</w:r>
          </w:p>
        </w:tc>
        <w:tc>
          <w:tcPr>
            <w:tcW w:type="dxa" w:w="351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141.5</w:t>
            </w:r>
          </w:p>
        </w:tc>
      </w:tr>
    </w:tbl>
    <w:p/>
    <w:p>
      <w:pPr>
        <w:pStyle w:val="Heading2"/>
      </w:pPr>
      <w:r>
        <w:t>2.2 确收项目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c>
          <w:tcPr>
            <w:tcW w:type="dxa" w:w="2324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项目名称</w:t>
            </w:r>
          </w:p>
        </w:tc>
        <w:tc>
          <w:tcPr>
            <w:tcW w:type="dxa" w:w="1701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合作类型</w:t>
            </w:r>
          </w:p>
        </w:tc>
        <w:tc>
          <w:tcPr>
            <w:tcW w:type="dxa" w:w="3515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产品配置</w:t>
            </w:r>
          </w:p>
        </w:tc>
        <w:tc>
          <w:tcPr>
            <w:tcW w:type="dxa" w:w="1134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确收金额（万元）</w:t>
            </w:r>
          </w:p>
        </w:tc>
      </w:tr>
      <w:tr>
        <w:tc>
          <w:tcPr>
            <w:tcW w:type="dxa" w:w="232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重庆环卫项目（软件）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系统集成渠道</w:t>
            </w:r>
          </w:p>
        </w:tc>
        <w:tc>
          <w:tcPr>
            <w:tcW w:type="dxa" w:w="351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营养结算 + 食安监管 + 进销存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10</w:t>
            </w:r>
          </w:p>
        </w:tc>
      </w:tr>
      <w:tr>
        <w:tc>
          <w:tcPr>
            <w:tcW w:type="dxa" w:w="232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河北石家庄园区项目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厨具渠道</w:t>
            </w:r>
          </w:p>
        </w:tc>
        <w:tc>
          <w:tcPr>
            <w:tcW w:type="dxa" w:w="351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AI营养结算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3</w:t>
            </w:r>
          </w:p>
        </w:tc>
      </w:tr>
      <w:tr>
        <w:tc>
          <w:tcPr>
            <w:tcW w:type="dxa" w:w="232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建林中学项目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系统集成渠道</w:t>
            </w:r>
          </w:p>
        </w:tc>
        <w:tc>
          <w:tcPr>
            <w:tcW w:type="dxa" w:w="351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基础结算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0.5</w:t>
            </w:r>
          </w:p>
        </w:tc>
      </w:tr>
      <w:tr>
        <w:tc>
          <w:tcPr>
            <w:tcW w:type="dxa" w:w="232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首都机场增订项目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系统集成渠道</w:t>
            </w:r>
          </w:p>
        </w:tc>
        <w:tc>
          <w:tcPr>
            <w:tcW w:type="dxa" w:w="351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基础结算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3</w:t>
            </w:r>
          </w:p>
        </w:tc>
      </w:tr>
      <w:tr>
        <w:tc>
          <w:tcPr>
            <w:tcW w:type="dxa" w:w="232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荣海中学项目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系统集成渠道</w:t>
            </w:r>
          </w:p>
        </w:tc>
        <w:tc>
          <w:tcPr>
            <w:tcW w:type="dxa" w:w="351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基础结算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2.5</w:t>
            </w:r>
          </w:p>
        </w:tc>
      </w:tr>
      <w:tr>
        <w:tc>
          <w:tcPr>
            <w:tcW w:type="dxa" w:w="232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人大附中项目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直营项目</w:t>
            </w:r>
          </w:p>
        </w:tc>
        <w:tc>
          <w:tcPr>
            <w:tcW w:type="dxa" w:w="351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电子菜单系统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5</w:t>
            </w:r>
          </w:p>
        </w:tc>
      </w:tr>
      <w:tr>
        <w:tc>
          <w:tcPr>
            <w:tcW w:type="dxa" w:w="232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三全项目（软件）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系统集成渠道</w:t>
            </w:r>
          </w:p>
        </w:tc>
        <w:tc>
          <w:tcPr>
            <w:tcW w:type="dxa" w:w="351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营养结算 + 食安监管 + 进销存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30</w:t>
            </w:r>
          </w:p>
        </w:tc>
      </w:tr>
      <w:tr>
        <w:tc>
          <w:tcPr>
            <w:tcW w:type="dxa" w:w="232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合计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</w:r>
          </w:p>
        </w:tc>
        <w:tc>
          <w:tcPr>
            <w:tcW w:type="dxa" w:w="351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54</w:t>
            </w:r>
          </w:p>
        </w:tc>
      </w:tr>
    </w:tbl>
    <w:p/>
    <w:p>
      <w:pPr>
        <w:pStyle w:val="Heading1"/>
      </w:pPr>
      <w:r>
        <w:t>三、项目池与渠道判断</w:t>
      </w:r>
    </w:p>
    <w:p>
      <w:r>
        <w:rPr>
          <w:rFonts w:ascii="Microsoft YaHei" w:hAnsi="Microsoft YaHei" w:eastAsia="Microsoft YaHei"/>
        </w:rPr>
        <w:t>5 月新增储备项目已经能支撑 6 月冲刺，但项目池质量仍需分层管理：高优先级项目抓签约和确收，中优先级项目抓决策链、预算阶段和下一次客户动作。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62"/>
        <w:gridCol w:w="2062"/>
        <w:gridCol w:w="2062"/>
        <w:gridCol w:w="2062"/>
        <w:gridCol w:w="2062"/>
      </w:tblGrid>
      <w:tr>
        <w:tc>
          <w:tcPr>
            <w:tcW w:type="dxa" w:w="737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优先级</w:t>
            </w:r>
          </w:p>
        </w:tc>
        <w:tc>
          <w:tcPr>
            <w:tcW w:type="dxa" w:w="1814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项目</w:t>
            </w:r>
          </w:p>
        </w:tc>
        <w:tc>
          <w:tcPr>
            <w:tcW w:type="dxa" w:w="3061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当前进展</w:t>
            </w:r>
          </w:p>
        </w:tc>
        <w:tc>
          <w:tcPr>
            <w:tcW w:type="dxa" w:w="850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成交概率</w:t>
            </w:r>
          </w:p>
        </w:tc>
        <w:tc>
          <w:tcPr>
            <w:tcW w:type="dxa" w:w="2948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6月管理动作</w:t>
            </w:r>
          </w:p>
        </w:tc>
      </w:tr>
      <w:tr>
        <w:tc>
          <w:tcPr>
            <w:tcW w:type="dxa" w:w="737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高</w:t>
            </w:r>
          </w:p>
        </w:tc>
        <w:tc>
          <w:tcPr>
            <w:tcW w:type="dxa" w:w="181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大兴区政府</w:t>
            </w:r>
          </w:p>
        </w:tc>
        <w:tc>
          <w:tcPr>
            <w:tcW w:type="dxa" w:w="306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客户启动立项申请，配合渠道提供资料</w:t>
            </w:r>
          </w:p>
        </w:tc>
        <w:tc>
          <w:tcPr>
            <w:tcW w:type="dxa" w:w="850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70%</w:t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锁定预算、决策链、采购路径和确收节点</w:t>
            </w:r>
          </w:p>
        </w:tc>
      </w:tr>
      <w:tr>
        <w:tc>
          <w:tcPr>
            <w:tcW w:type="dxa" w:w="737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高</w:t>
            </w:r>
          </w:p>
        </w:tc>
        <w:tc>
          <w:tcPr>
            <w:tcW w:type="dxa" w:w="181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国康医院</w:t>
            </w:r>
          </w:p>
        </w:tc>
        <w:tc>
          <w:tcPr>
            <w:tcW w:type="dxa" w:w="306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已完成调价洽谈，力争 6 月签约</w:t>
            </w:r>
          </w:p>
        </w:tc>
        <w:tc>
          <w:tcPr>
            <w:tcW w:type="dxa" w:w="850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60%</w:t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明确合同版本、产品配置和验收口径</w:t>
            </w:r>
          </w:p>
        </w:tc>
      </w:tr>
      <w:tr>
        <w:tc>
          <w:tcPr>
            <w:tcW w:type="dxa" w:w="737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高</w:t>
            </w:r>
          </w:p>
        </w:tc>
        <w:tc>
          <w:tcPr>
            <w:tcW w:type="dxa" w:w="181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内蒙古保康中学</w:t>
            </w:r>
          </w:p>
        </w:tc>
        <w:tc>
          <w:tcPr>
            <w:tcW w:type="dxa" w:w="306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深度跟进，核心需求明确</w:t>
            </w:r>
          </w:p>
        </w:tc>
        <w:tc>
          <w:tcPr>
            <w:tcW w:type="dxa" w:w="850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60%</w:t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补齐食安/进销存/营养结算方案和报价边界</w:t>
            </w:r>
          </w:p>
        </w:tc>
      </w:tr>
      <w:tr>
        <w:tc>
          <w:tcPr>
            <w:tcW w:type="dxa" w:w="737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中</w:t>
            </w:r>
          </w:p>
        </w:tc>
        <w:tc>
          <w:tcPr>
            <w:tcW w:type="dxa" w:w="181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滨州健康科技职业学院</w:t>
            </w:r>
          </w:p>
        </w:tc>
        <w:tc>
          <w:tcPr>
            <w:tcW w:type="dxa" w:w="306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50 台称重设备需求明确，计划 8 月上线</w:t>
            </w:r>
          </w:p>
        </w:tc>
        <w:tc>
          <w:tcPr>
            <w:tcW w:type="dxa" w:w="850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50%</w:t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安排来司考察后的标准方案、控标参数和设备清单</w:t>
            </w:r>
          </w:p>
        </w:tc>
      </w:tr>
      <w:tr>
        <w:tc>
          <w:tcPr>
            <w:tcW w:type="dxa" w:w="737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中</w:t>
            </w:r>
          </w:p>
        </w:tc>
        <w:tc>
          <w:tcPr>
            <w:tcW w:type="dxa" w:w="181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淮北市委餐厅 / 机关事务局</w:t>
            </w:r>
          </w:p>
        </w:tc>
        <w:tc>
          <w:tcPr>
            <w:tcW w:type="dxa" w:w="306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完成前期对接</w:t>
            </w:r>
          </w:p>
        </w:tc>
        <w:tc>
          <w:tcPr>
            <w:tcW w:type="dxa" w:w="850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40%</w:t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推进方案汇报，确认采购时点</w:t>
            </w:r>
          </w:p>
        </w:tc>
      </w:tr>
      <w:tr>
        <w:tc>
          <w:tcPr>
            <w:tcW w:type="dxa" w:w="737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中</w:t>
            </w:r>
          </w:p>
        </w:tc>
        <w:tc>
          <w:tcPr>
            <w:tcW w:type="dxa" w:w="181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秦皇岛物业园区、张家口中煤等</w:t>
            </w:r>
          </w:p>
        </w:tc>
        <w:tc>
          <w:tcPr>
            <w:tcW w:type="dxa" w:w="306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完成方案沟通或现场需求沟通</w:t>
            </w:r>
          </w:p>
        </w:tc>
        <w:tc>
          <w:tcPr>
            <w:tcW w:type="dxa" w:w="850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30%</w:t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沉淀客户画像和下一步拜访计划</w:t>
            </w:r>
          </w:p>
        </w:tc>
      </w:tr>
    </w:tbl>
    <w:p/>
    <w:p>
      <w:pPr>
        <w:pStyle w:val="Heading1"/>
      </w:pPr>
      <w:r>
        <w:t>四、问题分析与改进策略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c>
          <w:tcPr>
            <w:tcW w:type="dxa" w:w="1928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问题</w:t>
            </w:r>
          </w:p>
        </w:tc>
        <w:tc>
          <w:tcPr>
            <w:tcW w:type="dxa" w:w="2268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对经营的影响</w:t>
            </w:r>
          </w:p>
        </w:tc>
        <w:tc>
          <w:tcPr>
            <w:tcW w:type="dxa" w:w="3175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6月改进策略</w:t>
            </w:r>
          </w:p>
        </w:tc>
        <w:tc>
          <w:tcPr>
            <w:tcW w:type="dxa" w:w="2268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验收口径</w:t>
            </w:r>
          </w:p>
        </w:tc>
      </w:tr>
      <w:tr>
        <w:tc>
          <w:tcPr>
            <w:tcW w:type="dxa" w:w="192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项目池底子薄，月度确收波动大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签约和验收无法形成滚动雪球，月度目标依赖少数项目</w:t>
            </w:r>
          </w:p>
        </w:tc>
        <w:tc>
          <w:tcPr>
            <w:tcW w:type="dxa" w:w="317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项目池不低于 30 个，按高/中/低概率滚动；每周复盘预算、决策链、阻塞和下一动作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每周更新项目池表，重点项目有责任人和下次客户动作</w:t>
            </w:r>
          </w:p>
        </w:tc>
      </w:tr>
      <w:tr>
        <w:tc>
          <w:tcPr>
            <w:tcW w:type="dxa" w:w="192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优质渠道开拓慢，存量渠道转化不足 5%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线索多但有效商机少，渠道投入产出不可判断</w:t>
            </w:r>
          </w:p>
        </w:tc>
        <w:tc>
          <w:tcPr>
            <w:tcW w:type="dxa" w:w="317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集中深耕 5-8 家核心渠道，低质渠道仅常规维护；厨具渠道作为 6 月攻坚方向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核心渠道清单、拜访记录、商机转化率、实际订单产出</w:t>
            </w:r>
          </w:p>
        </w:tc>
      </w:tr>
      <w:tr>
        <w:tc>
          <w:tcPr>
            <w:tcW w:type="dxa" w:w="192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销售自主拓新弱，过度依赖分配线索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新增客户来源不稳定，团队能力难复制</w:t>
            </w:r>
          </w:p>
        </w:tc>
        <w:tc>
          <w:tcPr>
            <w:tcW w:type="dxa" w:w="317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每人每周新增 2 家新渠道、20 个有效客户电话；把无效拜访从日报中剔除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有效客户定义、跟进记录、转商机数量</w:t>
            </w:r>
          </w:p>
        </w:tc>
      </w:tr>
      <w:tr>
        <w:tc>
          <w:tcPr>
            <w:tcW w:type="dxa" w:w="192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控标能力弱，营养健康优势没有转成招标门槛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产品差异无法进入评分项，容易被普通智慧食堂厂商同质化竞争</w:t>
            </w:r>
          </w:p>
        </w:tc>
        <w:tc>
          <w:tcPr>
            <w:tcW w:type="dxa" w:w="317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按企业资质、产品资质、软件功能、硬件设备四类补控标参数和证据链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重点项目投标前完成控标参数清单和证据附件</w:t>
            </w:r>
          </w:p>
        </w:tc>
      </w:tr>
    </w:tbl>
    <w:p/>
    <w:p>
      <w:pPr>
        <w:pStyle w:val="Heading1"/>
      </w:pPr>
      <w:r>
        <w:t>五、6 月经营规划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c>
          <w:tcPr>
            <w:tcW w:type="dxa" w:w="1701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目标类型</w:t>
            </w:r>
          </w:p>
        </w:tc>
        <w:tc>
          <w:tcPr>
            <w:tcW w:type="dxa" w:w="2381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目标值</w:t>
            </w:r>
          </w:p>
        </w:tc>
        <w:tc>
          <w:tcPr>
            <w:tcW w:type="dxa" w:w="4535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管理口径</w:t>
            </w:r>
          </w:p>
        </w:tc>
      </w:tr>
      <w:tr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签约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完成月度签约目标</w:t>
            </w:r>
          </w:p>
        </w:tc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重点落地三全集团、重庆环卫、国康医院、保康中学、大兴区政府等核心项目</w:t>
            </w:r>
          </w:p>
        </w:tc>
      </w:tr>
      <w:tr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确收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底线 147 万；冲刺 200 万；半年度确收 400 万</w:t>
            </w:r>
          </w:p>
        </w:tc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147 万来自明确预计确收清单；200 万属于冲刺目标，需补新增确收来源</w:t>
            </w:r>
          </w:p>
        </w:tc>
      </w:tr>
      <w:tr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渠道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新增 3-5 家优质核心渠道，渠道商机转化率提升至 10% 以上</w:t>
            </w:r>
          </w:p>
        </w:tc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聚焦系统集成、厨具和餐饮渠道，不再平均撒网</w:t>
            </w:r>
          </w:p>
        </w:tc>
      </w:tr>
      <w:tr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团队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至少 1 名新销售入职，2 次专项培训</w:t>
            </w:r>
          </w:p>
        </w:tc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以实战项目、客户反馈和控标材料使用情况判断人员能力</w:t>
            </w:r>
          </w:p>
        </w:tc>
      </w:tr>
      <w:tr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投标/产品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重点项目控标率提升至 80% 以上，投标响应零差错</w:t>
            </w:r>
          </w:p>
        </w:tc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投标前置介入，控标参数和证据链由产品/售前共同把关</w:t>
            </w:r>
          </w:p>
        </w:tc>
      </w:tr>
    </w:tbl>
    <w:p/>
    <w:p>
      <w:pPr>
        <w:pStyle w:val="Heading2"/>
      </w:pPr>
      <w:r>
        <w:t>6 月预计确收清单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c>
          <w:tcPr>
            <w:tcW w:type="dxa" w:w="2268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项目名称</w:t>
            </w:r>
          </w:p>
        </w:tc>
        <w:tc>
          <w:tcPr>
            <w:tcW w:type="dxa" w:w="1701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合作类型</w:t>
            </w:r>
          </w:p>
        </w:tc>
        <w:tc>
          <w:tcPr>
            <w:tcW w:type="dxa" w:w="3628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产品配置</w:t>
            </w:r>
          </w:p>
        </w:tc>
        <w:tc>
          <w:tcPr>
            <w:tcW w:type="dxa" w:w="1134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预计确收（万元）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大兴区政府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系统集成渠道</w:t>
            </w:r>
          </w:p>
        </w:tc>
        <w:tc>
          <w:tcPr>
            <w:tcW w:type="dxa" w:w="362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营养结算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50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保康中学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系统集成渠道</w:t>
            </w:r>
          </w:p>
        </w:tc>
        <w:tc>
          <w:tcPr>
            <w:tcW w:type="dxa" w:w="362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营养结算 + 食安监管 + 进销存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20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三全项目（硬件）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系统集成渠道</w:t>
            </w:r>
          </w:p>
        </w:tc>
        <w:tc>
          <w:tcPr>
            <w:tcW w:type="dxa" w:w="362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营养结算 + 食安监管 + 进销存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40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重庆环卫（硬件）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系统集成渠道</w:t>
            </w:r>
          </w:p>
        </w:tc>
        <w:tc>
          <w:tcPr>
            <w:tcW w:type="dxa" w:w="362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食安监管 + 进销存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15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金斯瑞新需求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餐饮渠道</w:t>
            </w:r>
          </w:p>
        </w:tc>
        <w:tc>
          <w:tcPr>
            <w:tcW w:type="dxa" w:w="362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开发需求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5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国康医院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直营项目</w:t>
            </w:r>
          </w:p>
        </w:tc>
        <w:tc>
          <w:tcPr>
            <w:tcW w:type="dxa" w:w="362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营养结算</w:t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17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合计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</w:r>
          </w:p>
        </w:tc>
        <w:tc>
          <w:tcPr>
            <w:tcW w:type="dxa" w:w="362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147</w:t>
            </w:r>
          </w:p>
        </w:tc>
      </w:tr>
    </w:tbl>
    <w:p/>
    <w:p>
      <w:pPr>
        <w:pStyle w:val="Heading1"/>
      </w:pPr>
      <w:r>
        <w:t>六、需要产品与交付协同的重点事项</w:t>
      </w:r>
    </w:p>
    <w:p>
      <w:pPr>
        <w:pStyle w:val="ListBullet"/>
      </w:pPr>
      <w:r>
        <w:rPr>
          <w:rFonts w:ascii="Microsoft YaHei" w:hAnsi="Microsoft YaHei" w:eastAsia="Microsoft YaHei"/>
          <w:sz w:val="20"/>
        </w:rPr>
        <w:t>产品控标：把营养健康、食安监管、进销存和智能硬件拆成可写入招标文件的具体参数，不再停留在“有营养师、有案例”的泛化表达。</w:t>
      </w:r>
    </w:p>
    <w:p>
      <w:pPr>
        <w:pStyle w:val="ListBullet"/>
      </w:pPr>
      <w:r>
        <w:rPr>
          <w:rFonts w:ascii="Microsoft YaHei" w:hAnsi="Microsoft YaHei" w:eastAsia="Microsoft YaHei"/>
          <w:sz w:val="20"/>
        </w:rPr>
        <w:t>售前工具：优先准备营养周报、带量食谱分析、电子菜牌演示、小程序试用、体脂秤/手环等轻量体验工具，用低成本试用推进客户进入商机。</w:t>
      </w:r>
    </w:p>
    <w:p>
      <w:pPr>
        <w:pStyle w:val="ListBullet"/>
      </w:pPr>
      <w:r>
        <w:rPr>
          <w:rFonts w:ascii="Microsoft YaHei" w:hAnsi="Microsoft YaHei" w:eastAsia="Microsoft YaHei"/>
          <w:sz w:val="20"/>
        </w:rPr>
        <w:t>交付证据：金斯瑞、江西 206、首都机场、人大附中等项目要补上线截图、验收确认、设备清单、售后边界和可复用模块，避免小单只形成一次性收入。</w:t>
      </w:r>
    </w:p>
    <w:p>
      <w:pPr>
        <w:pStyle w:val="ListBullet"/>
      </w:pPr>
      <w:r>
        <w:rPr>
          <w:rFonts w:ascii="Microsoft YaHei" w:hAnsi="Microsoft YaHei" w:eastAsia="Microsoft YaHei"/>
          <w:sz w:val="20"/>
        </w:rPr>
        <w:t>经营数据：利润、毛利率、同期数据、回款状态、交付工时和复用模块数仍缺口明显，建议 6 月纳入项目周表。</w:t>
      </w:r>
    </w:p>
    <w:p>
      <w:pPr>
        <w:pStyle w:val="Heading1"/>
      </w:pPr>
      <w:r>
        <w:t>七、需管理层确认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c>
          <w:tcPr>
            <w:tcW w:type="dxa" w:w="2268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确认事项</w:t>
            </w:r>
          </w:p>
        </w:tc>
        <w:tc>
          <w:tcPr>
            <w:tcW w:type="dxa" w:w="3061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为什么现在要确认</w:t>
            </w:r>
          </w:p>
        </w:tc>
        <w:tc>
          <w:tcPr>
            <w:tcW w:type="dxa" w:w="2835"/>
            <w:vAlign w:val="center"/>
            <w:shd w:fill="1F4E7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建议结论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6 月确收口径</w:t>
            </w:r>
          </w:p>
        </w:tc>
        <w:tc>
          <w:tcPr>
            <w:tcW w:type="dxa" w:w="306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当前明确清单为 147 万，原稿同时提出冲刺 200 万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对外/管理层汇报用“底线 147、冲刺 200”，并要求补 53 万来源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核心渠道资源投入</w:t>
            </w:r>
          </w:p>
        </w:tc>
        <w:tc>
          <w:tcPr>
            <w:tcW w:type="dxa" w:w="306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渠道拓展已从广撒网转向深耕核心渠道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确认 5-8 家核心渠道名单和每家月度目标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产品控标牵头机制</w:t>
            </w:r>
          </w:p>
        </w:tc>
        <w:tc>
          <w:tcPr>
            <w:tcW w:type="dxa" w:w="306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控标能力直接影响重点项目中标率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由产品/售前牵头四类参数库，销售提供客户与竞品输入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财务经营字段</w:t>
            </w:r>
          </w:p>
        </w:tc>
        <w:tc>
          <w:tcPr>
            <w:tcW w:type="dxa" w:w="306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利润、毛利、同期数据和回款影响管理层判断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财务补齐利润、毛利率、回款和同期对比口径</w:t>
            </w:r>
          </w:p>
        </w:tc>
      </w:tr>
    </w:tbl>
    <w:p/>
    <w:sectPr w:rsidR="00FC693F" w:rsidRPr="0006063C" w:rsidSect="00034616">
      <w:pgSz w:w="12240" w:h="15840"/>
      <w:pgMar w:top="907" w:right="964" w:bottom="90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83" w:lineRule="auto" w:after="80"/>
    </w:pPr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10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2F5597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