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F4E79"/>
          <w:sz w:val="36"/>
        </w:rPr>
        <w:t>团餐业务中心 5 月月度经营与项目汇报（完善版）</w:t>
      </w:r>
    </w:p>
    <w:p>
      <w:pPr>
        <w:jc w:val="center"/>
      </w:pPr>
      <w:r>
        <w:rPr>
          <w:sz w:val="18"/>
        </w:rPr>
        <w:t>汇报部门：团餐业务中心    汇报人：边磊    版本：2026-05-25 改稿</w:t>
      </w:r>
    </w:p>
    <w:p>
      <w:r>
        <w:rPr>
          <w:rFonts w:ascii="Microsoft YaHei" w:hAnsi="Microsoft YaHei" w:eastAsia="Microsoft YaHei"/>
        </w:rPr>
        <w:t>本版将原稿从“项目流水汇总”调整为“经营结果、项目池质量、渠道打法、产品控标能力、6月冲刺动作”五条线。所有金额沿用原稿；利润、毛利率、同期数据和回款状态没有来源时统一标为待财务确认，不做推测。</w:t>
      </w:r>
    </w:p>
    <w:p>
      <w:pPr>
        <w:pStyle w:val="Heading1"/>
      </w:pPr>
      <w:r>
        <w:t>一、5 月经营结论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73"/>
        <w:gridCol w:w="1473"/>
        <w:gridCol w:w="1473"/>
        <w:gridCol w:w="1473"/>
        <w:gridCol w:w="1473"/>
        <w:gridCol w:w="1473"/>
        <w:gridCol w:w="1473"/>
      </w:tblGrid>
      <w:tr>
        <w:tc>
          <w:tcPr>
            <w:tcW w:type="dxa" w:w="130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13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5月目标</w:t>
            </w:r>
          </w:p>
        </w:tc>
        <w:tc>
          <w:tcPr>
            <w:tcW w:type="dxa" w:w="1247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5月预计达成</w:t>
            </w:r>
          </w:p>
        </w:tc>
        <w:tc>
          <w:tcPr>
            <w:tcW w:type="dxa" w:w="1020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达成率</w:t>
            </w:r>
          </w:p>
        </w:tc>
        <w:tc>
          <w:tcPr>
            <w:tcW w:type="dxa" w:w="113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年度目标</w:t>
            </w:r>
          </w:p>
        </w:tc>
        <w:tc>
          <w:tcPr>
            <w:tcW w:type="dxa" w:w="113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年度累计</w:t>
            </w:r>
          </w:p>
        </w:tc>
        <w:tc>
          <w:tcPr>
            <w:tcW w:type="dxa" w:w="113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累计达成率</w:t>
            </w:r>
          </w:p>
        </w:tc>
      </w:tr>
      <w:tr>
        <w:tc>
          <w:tcPr>
            <w:tcW w:type="dxa" w:w="130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确收（万元）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96</w:t>
            </w:r>
          </w:p>
        </w:tc>
        <w:tc>
          <w:tcPr>
            <w:tcW w:type="dxa" w:w="124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54</w:t>
            </w:r>
          </w:p>
        </w:tc>
        <w:tc>
          <w:tcPr>
            <w:tcW w:type="dxa" w:w="102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56%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1200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167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14%</w:t>
            </w:r>
          </w:p>
        </w:tc>
      </w:tr>
    </w:tbl>
    <w:p/>
    <w:p>
      <w:pPr>
        <w:pStyle w:val="ListBullet"/>
      </w:pPr>
      <w:r>
        <w:rPr>
          <w:rFonts w:ascii="Microsoft YaHei" w:hAnsi="Microsoft YaHei" w:eastAsia="Microsoft YaHei"/>
          <w:sz w:val="20"/>
        </w:rPr>
        <w:t>结果判断：5 月确收未达成，短板不是单一项目执行问题，而是项目池厚度、渠道转化和确收节奏尚未形成稳定滚动。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积极变化：本月完成签约项目 8 个，签约金额 141.5 万元；预计确收项目 7 个，确收 54 万元；新增北京区 8 个、江苏区 6 个客户线索。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经营含义：6 月不能只追单点签约，需要把高优先级项目、核心渠道、控标参数和验收回款放到同一张经营表里滚动管理。</w:t>
      </w:r>
    </w:p>
    <w:p>
      <w:pPr>
        <w:pStyle w:val="Heading1"/>
      </w:pPr>
      <w:r>
        <w:t>二、5 月核心业务进展</w:t>
      </w:r>
    </w:p>
    <w:p>
      <w:pPr>
        <w:pStyle w:val="Heading2"/>
      </w:pPr>
      <w:r>
        <w:t>2.1 签约项目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c>
          <w:tcPr>
            <w:tcW w:type="dxa" w:w="232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项目名称</w:t>
            </w:r>
          </w:p>
        </w:tc>
        <w:tc>
          <w:tcPr>
            <w:tcW w:type="dxa" w:w="1701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合作类型</w:t>
            </w:r>
          </w:p>
        </w:tc>
        <w:tc>
          <w:tcPr>
            <w:tcW w:type="dxa" w:w="351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产品配置</w:t>
            </w:r>
          </w:p>
        </w:tc>
        <w:tc>
          <w:tcPr>
            <w:tcW w:type="dxa" w:w="113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金额（万元）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副中心项目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直营项目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营养管理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72.5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重庆环卫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营养结算 + 食安监管 + 进销存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25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河北石家庄园区项目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厨具渠道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AI营养结算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3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建林中学项目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基础结算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0.5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首都机场增订项目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基础结算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3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荣海中学项目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基础结算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2.5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人大附中项目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直营项目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电子菜单系统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5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三全项目（软件）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营养结算 + 食安监管 + 进销存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30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合计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141.5</w:t>
            </w:r>
          </w:p>
        </w:tc>
      </w:tr>
    </w:tbl>
    <w:p/>
    <w:p>
      <w:pPr>
        <w:pStyle w:val="Heading2"/>
      </w:pPr>
      <w:r>
        <w:t>2.2 确收项目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c>
          <w:tcPr>
            <w:tcW w:type="dxa" w:w="232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项目名称</w:t>
            </w:r>
          </w:p>
        </w:tc>
        <w:tc>
          <w:tcPr>
            <w:tcW w:type="dxa" w:w="1701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合作类型</w:t>
            </w:r>
          </w:p>
        </w:tc>
        <w:tc>
          <w:tcPr>
            <w:tcW w:type="dxa" w:w="351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产品配置</w:t>
            </w:r>
          </w:p>
        </w:tc>
        <w:tc>
          <w:tcPr>
            <w:tcW w:type="dxa" w:w="113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确收金额（万元）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重庆环卫项目（软件）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营养结算 + 食安监管 + 进销存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10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河北石家庄园区项目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厨具渠道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AI营养结算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3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建林中学项目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基础结算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0.5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首都机场增订项目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基础结算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3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荣海中学项目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基础结算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2.5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人大附中项目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直营项目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电子菜单系统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5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三全项目（软件）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营养结算 + 食安监管 + 进销存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30</w:t>
            </w:r>
          </w:p>
        </w:tc>
      </w:tr>
      <w:tr>
        <w:tc>
          <w:tcPr>
            <w:tcW w:type="dxa" w:w="232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合计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54</w:t>
            </w:r>
          </w:p>
        </w:tc>
      </w:tr>
    </w:tbl>
    <w:p/>
    <w:p>
      <w:pPr>
        <w:pStyle w:val="Heading1"/>
      </w:pPr>
      <w:r>
        <w:t>三、项目池与渠道判断</w:t>
      </w:r>
    </w:p>
    <w:p>
      <w:r>
        <w:rPr>
          <w:rFonts w:ascii="Microsoft YaHei" w:hAnsi="Microsoft YaHei" w:eastAsia="Microsoft YaHei"/>
        </w:rPr>
        <w:t>5 月新增储备项目已经能支撑 6 月冲刺，但项目池质量仍需分层管理：高优先级项目抓签约和确收，中优先级项目抓决策链、预算阶段和下一次客户动作。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62"/>
        <w:gridCol w:w="2062"/>
        <w:gridCol w:w="2062"/>
        <w:gridCol w:w="2062"/>
        <w:gridCol w:w="2062"/>
      </w:tblGrid>
      <w:tr>
        <w:tc>
          <w:tcPr>
            <w:tcW w:type="dxa" w:w="737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优先级</w:t>
            </w:r>
          </w:p>
        </w:tc>
        <w:tc>
          <w:tcPr>
            <w:tcW w:type="dxa" w:w="181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3061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当前进展</w:t>
            </w:r>
          </w:p>
        </w:tc>
        <w:tc>
          <w:tcPr>
            <w:tcW w:type="dxa" w:w="850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成交概率</w:t>
            </w:r>
          </w:p>
        </w:tc>
        <w:tc>
          <w:tcPr>
            <w:tcW w:type="dxa" w:w="2948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6月管理动作</w:t>
            </w:r>
          </w:p>
        </w:tc>
      </w:tr>
      <w:tr>
        <w:tc>
          <w:tcPr>
            <w:tcW w:type="dxa" w:w="73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高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大兴区政府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客户启动立项申请，配合渠道提供资料</w:t>
            </w:r>
          </w:p>
        </w:tc>
        <w:tc>
          <w:tcPr>
            <w:tcW w:type="dxa" w:w="85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70%</w:t>
            </w:r>
          </w:p>
        </w:tc>
        <w:tc>
          <w:tcPr>
            <w:tcW w:type="dxa" w:w="294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锁定预算、决策链、采购路径和确收节点</w:t>
            </w:r>
          </w:p>
        </w:tc>
      </w:tr>
      <w:tr>
        <w:tc>
          <w:tcPr>
            <w:tcW w:type="dxa" w:w="73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高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国康医院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已完成调价洽谈，力争 6 月签约</w:t>
            </w:r>
          </w:p>
        </w:tc>
        <w:tc>
          <w:tcPr>
            <w:tcW w:type="dxa" w:w="85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60%</w:t>
            </w:r>
          </w:p>
        </w:tc>
        <w:tc>
          <w:tcPr>
            <w:tcW w:type="dxa" w:w="294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明确合同版本、产品配置和验收口径</w:t>
            </w:r>
          </w:p>
        </w:tc>
      </w:tr>
      <w:tr>
        <w:tc>
          <w:tcPr>
            <w:tcW w:type="dxa" w:w="73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高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内蒙古保康中学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深度跟进，核心需求明确</w:t>
            </w:r>
          </w:p>
        </w:tc>
        <w:tc>
          <w:tcPr>
            <w:tcW w:type="dxa" w:w="85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60%</w:t>
            </w:r>
          </w:p>
        </w:tc>
        <w:tc>
          <w:tcPr>
            <w:tcW w:type="dxa" w:w="294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补齐食安/进销存/营养结算方案和报价边界</w:t>
            </w:r>
          </w:p>
        </w:tc>
      </w:tr>
      <w:tr>
        <w:tc>
          <w:tcPr>
            <w:tcW w:type="dxa" w:w="73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中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滨州健康科技职业学院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50 台称重设备需求明确，计划 8 月上线</w:t>
            </w:r>
          </w:p>
        </w:tc>
        <w:tc>
          <w:tcPr>
            <w:tcW w:type="dxa" w:w="85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50%</w:t>
            </w:r>
          </w:p>
        </w:tc>
        <w:tc>
          <w:tcPr>
            <w:tcW w:type="dxa" w:w="294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安排来司考察后的标准方案、控标参数和设备清单</w:t>
            </w:r>
          </w:p>
        </w:tc>
      </w:tr>
      <w:tr>
        <w:tc>
          <w:tcPr>
            <w:tcW w:type="dxa" w:w="73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中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淮北市委餐厅 / 机关事务局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完成前期对接</w:t>
            </w:r>
          </w:p>
        </w:tc>
        <w:tc>
          <w:tcPr>
            <w:tcW w:type="dxa" w:w="85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40%</w:t>
            </w:r>
          </w:p>
        </w:tc>
        <w:tc>
          <w:tcPr>
            <w:tcW w:type="dxa" w:w="294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推进方案汇报，确认采购时点</w:t>
            </w:r>
          </w:p>
        </w:tc>
      </w:tr>
      <w:tr>
        <w:tc>
          <w:tcPr>
            <w:tcW w:type="dxa" w:w="73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中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秦皇岛物业园区、张家口中煤等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完成方案沟通或现场需求沟通</w:t>
            </w:r>
          </w:p>
        </w:tc>
        <w:tc>
          <w:tcPr>
            <w:tcW w:type="dxa" w:w="850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30%</w:t>
            </w:r>
          </w:p>
        </w:tc>
        <w:tc>
          <w:tcPr>
            <w:tcW w:type="dxa" w:w="294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沉淀客户画像和下一步拜访计划</w:t>
            </w:r>
          </w:p>
        </w:tc>
      </w:tr>
    </w:tbl>
    <w:p/>
    <w:p>
      <w:pPr>
        <w:pStyle w:val="Heading1"/>
      </w:pPr>
      <w:r>
        <w:t>四、问题分析与改进策略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c>
          <w:tcPr>
            <w:tcW w:type="dxa" w:w="1928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问题</w:t>
            </w:r>
          </w:p>
        </w:tc>
        <w:tc>
          <w:tcPr>
            <w:tcW w:type="dxa" w:w="2268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对经营的影响</w:t>
            </w:r>
          </w:p>
        </w:tc>
        <w:tc>
          <w:tcPr>
            <w:tcW w:type="dxa" w:w="317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6月改进策略</w:t>
            </w:r>
          </w:p>
        </w:tc>
        <w:tc>
          <w:tcPr>
            <w:tcW w:type="dxa" w:w="2268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验收口径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项目池底子薄，月度确收波动大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签约和验收无法形成滚动雪球，月度目标依赖少数项目</w:t>
            </w:r>
          </w:p>
        </w:tc>
        <w:tc>
          <w:tcPr>
            <w:tcW w:type="dxa" w:w="317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项目池不低于 30 个，按高/中/低概率滚动；每周复盘预算、决策链、阻塞和下一动作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每周更新项目池表，重点项目有责任人和下次客户动作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优质渠道开拓慢，存量渠道转化不足 5%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线索多但有效商机少，渠道投入产出不可判断</w:t>
            </w:r>
          </w:p>
        </w:tc>
        <w:tc>
          <w:tcPr>
            <w:tcW w:type="dxa" w:w="317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集中深耕 5-8 家核心渠道，低质渠道仅常规维护；厨具渠道作为 6 月攻坚方向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核心渠道清单、拜访记录、商机转化率、实际订单产出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销售自主拓新弱，过度依赖分配线索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新增客户来源不稳定，团队能力难复制</w:t>
            </w:r>
          </w:p>
        </w:tc>
        <w:tc>
          <w:tcPr>
            <w:tcW w:type="dxa" w:w="317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每人每周新增 2 家新渠道、20 个有效客户电话；把无效拜访从日报中剔除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有效客户定义、跟进记录、转商机数量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控标能力弱，营养健康优势没有转成招标门槛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产品差异无法进入评分项，容易被普通智慧食堂厂商同质化竞争</w:t>
            </w:r>
          </w:p>
        </w:tc>
        <w:tc>
          <w:tcPr>
            <w:tcW w:type="dxa" w:w="317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按企业资质、产品资质、软件功能、硬件设备四类补控标参数和证据链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重点项目投标前完成控标参数清单和证据附件</w:t>
            </w:r>
          </w:p>
        </w:tc>
      </w:tr>
    </w:tbl>
    <w:p/>
    <w:p>
      <w:pPr>
        <w:pStyle w:val="Heading1"/>
      </w:pPr>
      <w:r>
        <w:t>五、6 月经营规划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1701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目标类型</w:t>
            </w:r>
          </w:p>
        </w:tc>
        <w:tc>
          <w:tcPr>
            <w:tcW w:type="dxa" w:w="2381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目标值</w:t>
            </w:r>
          </w:p>
        </w:tc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管理口径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签约</w:t>
            </w:r>
          </w:p>
        </w:tc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完成月度签约目标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重点落地三全集团、重庆环卫、国康医院、保康中学、大兴区政府等核心项目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确收</w:t>
            </w:r>
          </w:p>
        </w:tc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底线 147 万；冲刺 200 万；半年度确收 400 万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147 万来自明确预计确收清单；200 万属于冲刺目标，需补新增确收来源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渠道</w:t>
            </w:r>
          </w:p>
        </w:tc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新增 3-5 家优质核心渠道，渠道商机转化率提升至 10% 以上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聚焦系统集成、厨具和餐饮渠道，不再平均撒网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团队</w:t>
            </w:r>
          </w:p>
        </w:tc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至少 1 名新销售入职，2 次专项培训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以实战项目、客户反馈和控标材料使用情况判断人员能力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投标/产品</w:t>
            </w:r>
          </w:p>
        </w:tc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重点项目控标率提升至 80% 以上，投标响应零差错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投标前置介入，控标参数和证据链由产品/售前共同把关</w:t>
            </w:r>
          </w:p>
        </w:tc>
      </w:tr>
    </w:tbl>
    <w:p/>
    <w:p>
      <w:pPr>
        <w:pStyle w:val="Heading2"/>
      </w:pPr>
      <w:r>
        <w:t>6 月预计确收清单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c>
          <w:tcPr>
            <w:tcW w:type="dxa" w:w="2268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项目名称</w:t>
            </w:r>
          </w:p>
        </w:tc>
        <w:tc>
          <w:tcPr>
            <w:tcW w:type="dxa" w:w="1701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合作类型</w:t>
            </w:r>
          </w:p>
        </w:tc>
        <w:tc>
          <w:tcPr>
            <w:tcW w:type="dxa" w:w="3628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产品配置</w:t>
            </w:r>
          </w:p>
        </w:tc>
        <w:tc>
          <w:tcPr>
            <w:tcW w:type="dxa" w:w="1134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预计确收（万元）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大兴区政府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6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营养结算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50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保康中学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6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营养结算 + 食安监管 + 进销存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三全项目（硬件）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6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营养结算 + 食安监管 + 进销存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40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重庆环卫（硬件）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系统集成渠道</w:t>
            </w:r>
          </w:p>
        </w:tc>
        <w:tc>
          <w:tcPr>
            <w:tcW w:type="dxa" w:w="36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食安监管 + 进销存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15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金斯瑞新需求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餐饮渠道</w:t>
            </w:r>
          </w:p>
        </w:tc>
        <w:tc>
          <w:tcPr>
            <w:tcW w:type="dxa" w:w="36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开发需求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5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国康医院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直营项目</w:t>
            </w:r>
          </w:p>
        </w:tc>
        <w:tc>
          <w:tcPr>
            <w:tcW w:type="dxa" w:w="36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营养结算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17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合计</w:t>
            </w:r>
          </w:p>
        </w:tc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</w:r>
          </w:p>
        </w:tc>
        <w:tc>
          <w:tcPr>
            <w:tcW w:type="dxa" w:w="36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147</w:t>
            </w:r>
          </w:p>
        </w:tc>
      </w:tr>
    </w:tbl>
    <w:p/>
    <w:p>
      <w:pPr>
        <w:pStyle w:val="Heading1"/>
      </w:pPr>
      <w:r>
        <w:t>六、需要产品与交付协同的重点事项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产品控标：把营养健康、食安监管、进销存和智能硬件拆成可写入招标文件的具体参数，不再停留在“有营养师、有案例”的泛化表达。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售前工具：优先准备营养周报、带量食谱分析、电子菜牌演示、小程序试用、体脂秤/手环等轻量体验工具，用低成本试用推进客户进入商机。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交付证据：金斯瑞、江西 206、首都机场、人大附中等项目要补上线截图、验收确认、设备清单、售后边界和可复用模块，避免小单只形成一次性收入。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经营数据：利润、毛利率、同期数据、回款状态、交付工时和复用模块数仍缺口明显，建议 6 月纳入项目周表。</w:t>
      </w:r>
    </w:p>
    <w:p>
      <w:pPr>
        <w:pStyle w:val="Heading1"/>
      </w:pPr>
      <w:r>
        <w:t>七、需管理层确认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2268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确认事项</w:t>
            </w:r>
          </w:p>
        </w:tc>
        <w:tc>
          <w:tcPr>
            <w:tcW w:type="dxa" w:w="3061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为什么现在要确认</w:t>
            </w:r>
          </w:p>
        </w:tc>
        <w:tc>
          <w:tcPr>
            <w:tcW w:type="dxa" w:w="28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建议结论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6 月确收口径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当前明确清单为 147 万，原稿同时提出冲刺 200 万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对外/管理层汇报用“底线 147、冲刺 200”，并要求补 53 万来源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核心渠道资源投入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渠道拓展已从广撒网转向深耕核心渠道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确认 5-8 家核心渠道名单和每家月度目标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产品控标牵头机制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控标能力直接影响重点项目中标率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由产品/售前牵头四类参数库，销售提供客户与竞品输入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财务经营字段</w:t>
            </w:r>
          </w:p>
        </w:tc>
        <w:tc>
          <w:tcPr>
            <w:tcW w:type="dxa" w:w="306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利润、毛利、同期数据和回款影响管理层判断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财务补齐利润、毛利率、回款和同期对比口径</w:t>
            </w:r>
          </w:p>
        </w:tc>
      </w:tr>
    </w:tbl>
    <w:p/>
    <w:sectPr w:rsidR="00FC693F" w:rsidRPr="0006063C" w:rsidSect="00034616">
      <w:pgSz w:w="12240" w:h="15840"/>
      <w:pgMar w:top="907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83" w:lineRule="auto" w:after="8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80" w:after="10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2F559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