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0"/>
      </w:tblGrid>
      <w:tr w14:paraId="7EFA1BDA">
        <w:trPr>
          <w:jc w:val="center"/>
        </w:trPr>
        <w:tc>
          <w:tcPr>
            <w:tcW w:w="10200" w:type="dxa"/>
            <w:shd w:val="clear" w:color="auto" w:fill="1F4E79"/>
            <w:vAlign w:val="center"/>
          </w:tcPr>
          <w:p w14:paraId="0B076037">
            <w:pPr>
              <w:spacing w:after="0" w:line="264" w:lineRule="auto"/>
            </w:pPr>
          </w:p>
        </w:tc>
      </w:tr>
    </w:tbl>
    <w:p w14:paraId="5423F977">
      <w:pPr>
        <w:spacing w:after="500" w:line="300" w:lineRule="auto"/>
      </w:pPr>
    </w:p>
    <w:p w14:paraId="0775819A">
      <w:pPr>
        <w:spacing w:after="320" w:line="276" w:lineRule="auto"/>
        <w:jc w:val="center"/>
      </w:pPr>
      <w:r>
        <w:rPr>
          <w:rFonts w:ascii="Arial" w:hAnsi="Arial" w:eastAsia="Noto Sans CJK SC"/>
          <w:b/>
          <w:color w:val="1F4E79"/>
          <w:sz w:val="52"/>
        </w:rPr>
        <w:t>智慧食堂营养健康切入</w:t>
      </w:r>
      <w:r>
        <w:rPr>
          <w:rFonts w:ascii="Arial" w:hAnsi="Arial" w:eastAsia="Noto Sans CJK SC"/>
          <w:b/>
          <w:color w:val="1F4E79"/>
          <w:sz w:val="52"/>
        </w:rPr>
        <w:br w:type="textWrapping"/>
      </w:r>
      <w:r>
        <w:rPr>
          <w:rFonts w:ascii="Arial" w:hAnsi="Arial" w:eastAsia="Noto Sans CJK SC"/>
          <w:b/>
          <w:color w:val="1F4E79"/>
          <w:sz w:val="52"/>
        </w:rPr>
        <w:t>与市场覆盖打法汇报稿</w:t>
      </w:r>
    </w:p>
    <w:p w14:paraId="17D15F81">
      <w:pPr>
        <w:spacing w:after="440"/>
        <w:jc w:val="center"/>
      </w:pPr>
      <w:r>
        <w:rPr>
          <w:rFonts w:ascii="Arial" w:hAnsi="Arial" w:eastAsia="Noto Sans CJK SC"/>
          <w:b/>
          <w:color w:val="404040"/>
          <w:sz w:val="27"/>
        </w:rPr>
        <w:t>冲刺 2000 万营收：以营养健康为入口，快速覆盖 ToB 客户与终端就餐人群</w:t>
      </w:r>
    </w:p>
    <w:tbl>
      <w:tblPr>
        <w:tblStyle w:val="3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0"/>
      </w:tblGrid>
      <w:tr w14:paraId="69D3E625">
        <w:trPr>
          <w:jc w:val="center"/>
        </w:trPr>
        <w:tc>
          <w:tcPr>
            <w:tcW w:w="10200" w:type="dxa"/>
            <w:tcBorders>
              <w:top w:val="single" w:color="9ECAE1" w:sz="8" w:space="0"/>
              <w:left w:val="single" w:color="9ECAE1" w:sz="8" w:space="0"/>
              <w:bottom w:val="single" w:color="9ECAE1" w:sz="8" w:space="0"/>
              <w:right w:val="single" w:color="9ECAE1" w:sz="8" w:space="0"/>
            </w:tcBorders>
            <w:shd w:val="clear" w:color="auto" w:fill="D9EAF7"/>
          </w:tcPr>
          <w:p w14:paraId="78B337AC">
            <w:pPr>
              <w:jc w:val="center"/>
            </w:pPr>
            <w:r>
              <w:rPr>
                <w:rFonts w:ascii="Arial" w:hAnsi="Arial" w:eastAsia="Noto Sans CJK SC"/>
                <w:b/>
                <w:color w:val="2F5597"/>
                <w:sz w:val="21"/>
              </w:rPr>
              <w:t>适用场景：管理层汇报 / 销售战役启动 / 渠道合作沟通 / 融资叙事梳理</w:t>
            </w:r>
          </w:p>
          <w:p w14:paraId="6B9A6BD8">
            <w:pPr>
              <w:jc w:val="center"/>
            </w:pPr>
            <w:r>
              <w:rPr>
                <w:rFonts w:ascii="Arial" w:hAnsi="Arial" w:eastAsia="Noto Sans CJK SC"/>
                <w:color w:val="404040"/>
                <w:sz w:val="19"/>
              </w:rPr>
              <w:t>说明：文中【】为可替换数据口径，可按真实客户数、点位数、部署数和营收目标补齐。</w:t>
            </w:r>
          </w:p>
        </w:tc>
      </w:tr>
    </w:tbl>
    <w:p w14:paraId="7B8DBD77">
      <w:pPr>
        <w:spacing w:after="1200" w:line="300" w:lineRule="auto"/>
      </w:pPr>
    </w:p>
    <w:p w14:paraId="0CE44A32">
      <w:pPr>
        <w:jc w:val="center"/>
      </w:pPr>
      <w:r>
        <w:rPr>
          <w:rFonts w:ascii="Arial" w:hAnsi="Arial" w:eastAsia="Noto Sans CJK SC"/>
          <w:color w:val="666666"/>
          <w:sz w:val="19"/>
        </w:rPr>
        <w:t>版本日期：2026 年 5 月 18 日</w:t>
      </w:r>
    </w:p>
    <w:p w14:paraId="699D3078">
      <w:r>
        <w:br w:type="page"/>
      </w:r>
    </w:p>
    <w:p w14:paraId="34D19CA6">
      <w:pPr>
        <w:pStyle w:val="3"/>
        <w:spacing w:before="80" w:after="120"/>
      </w:pPr>
      <w:r>
        <w:rPr>
          <w:rFonts w:ascii="Arial" w:hAnsi="Arial" w:eastAsia="Noto Sans CJK SC"/>
          <w:b/>
          <w:color w:val="1F4E79"/>
          <w:sz w:val="32"/>
        </w:rPr>
        <w:t>01  核心结论</w:t>
      </w:r>
    </w:p>
    <w:p w14:paraId="24B02241">
      <w:pPr>
        <w:spacing w:after="160" w:line="300" w:lineRule="auto"/>
      </w:pPr>
      <w:r>
        <w:rPr>
          <w:rFonts w:ascii="Arial" w:hAnsi="Arial" w:eastAsia="Noto Sans CJK SC"/>
          <w:b w:val="0"/>
          <w:color w:val="666666"/>
          <w:sz w:val="20"/>
        </w:rPr>
        <w:t>先把汇报主线讲清楚，再展开产品、场景、渠道和指标。</w:t>
      </w:r>
    </w:p>
    <w:tbl>
      <w:tblPr>
        <w:tblStyle w:val="3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0"/>
      </w:tblGrid>
      <w:tr w14:paraId="0798FD50">
        <w:trPr>
          <w:jc w:val="center"/>
        </w:trPr>
        <w:tc>
          <w:tcPr>
            <w:tcW w:w="10200" w:type="dxa"/>
            <w:tcBorders>
              <w:top w:val="single" w:color="9ECAE1" w:sz="8" w:space="0"/>
              <w:left w:val="single" w:color="9ECAE1" w:sz="8" w:space="0"/>
              <w:bottom w:val="single" w:color="9ECAE1" w:sz="8" w:space="0"/>
              <w:right w:val="single" w:color="9ECAE1" w:sz="8" w:space="0"/>
            </w:tcBorders>
            <w:shd w:val="clear" w:color="auto" w:fill="D9EAF7"/>
          </w:tcPr>
          <w:p w14:paraId="3C790B61">
            <w:pPr>
              <w:spacing w:after="60"/>
            </w:pPr>
            <w:r>
              <w:rPr>
                <w:rFonts w:ascii="Arial" w:hAnsi="Arial" w:eastAsia="Noto Sans CJK SC"/>
                <w:b/>
                <w:color w:val="2F5597"/>
                <w:sz w:val="21"/>
              </w:rPr>
              <w:t>一句话战略</w:t>
            </w:r>
          </w:p>
          <w:p w14:paraId="04BDCE97">
            <w:pPr>
              <w:spacing w:after="0" w:line="276" w:lineRule="auto"/>
            </w:pPr>
            <w:r>
              <w:rPr>
                <w:rFonts w:ascii="Arial" w:hAnsi="Arial" w:eastAsia="Noto Sans CJK SC"/>
                <w:color w:val="222222"/>
                <w:sz w:val="19"/>
              </w:rPr>
              <w:t>我们不再一上来推“大而全”的智慧食堂建设，而是以营养健康和体重管理为入口，先用轻量服务快速覆盖 ToB 客户，再用电子</w:t>
            </w:r>
            <w:r>
              <w:rPr>
                <w:rFonts w:hint="eastAsia"/>
                <w:color w:val="222222"/>
                <w:sz w:val="19"/>
                <w:lang w:val="en-US" w:eastAsia="zh-CN"/>
              </w:rPr>
              <w:t>菜牌</w:t>
            </w:r>
            <w:r>
              <w:rPr>
                <w:rFonts w:ascii="Arial" w:hAnsi="Arial" w:eastAsia="Noto Sans CJK SC"/>
                <w:color w:val="222222"/>
                <w:sz w:val="19"/>
              </w:rPr>
              <w:t>、消费机等轻量产品快速成交，随后导入 AI 菜品识别、450/460 称重台、小碗菜识别、后厨进销存和食安管理，最终沉淀为智慧食堂数据化运营平台。</w:t>
            </w:r>
          </w:p>
        </w:tc>
      </w:tr>
    </w:tbl>
    <w:p w14:paraId="3EB2F168">
      <w:pPr>
        <w:spacing w:after="60"/>
      </w:pPr>
    </w:p>
    <w:p w14:paraId="1429A747">
      <w:pPr>
        <w:pStyle w:val="16"/>
        <w:spacing w:after="40" w:line="276" w:lineRule="auto"/>
      </w:pPr>
      <w:r>
        <w:rPr>
          <w:rFonts w:ascii="Arial" w:hAnsi="Arial" w:eastAsia="Noto Sans CJK SC"/>
          <w:sz w:val="20"/>
        </w:rPr>
        <w:t>短期目标：解决销售没有抓手、客户决策慢、完整系统推进周期长的问题。</w:t>
      </w:r>
    </w:p>
    <w:p w14:paraId="1368224B">
      <w:pPr>
        <w:pStyle w:val="16"/>
        <w:spacing w:after="40" w:line="276" w:lineRule="auto"/>
      </w:pPr>
      <w:r>
        <w:rPr>
          <w:rFonts w:ascii="Arial" w:hAnsi="Arial" w:eastAsia="Noto Sans CJK SC"/>
          <w:sz w:val="20"/>
        </w:rPr>
        <w:t>中期目标：把客户从营养宣教和菜谱建议，逐步转化为电子菜</w:t>
      </w:r>
      <w:r>
        <w:rPr>
          <w:rFonts w:hint="eastAsia" w:ascii="Arial" w:hAnsi="Arial"/>
          <w:sz w:val="20"/>
          <w:lang w:val="en-US" w:eastAsia="zh-CN"/>
        </w:rPr>
        <w:t>牌</w:t>
      </w:r>
      <w:r>
        <w:rPr>
          <w:rFonts w:ascii="Arial" w:hAnsi="Arial" w:eastAsia="Noto Sans CJK SC"/>
          <w:sz w:val="20"/>
        </w:rPr>
        <w:t>、消费机、AI 识别、称重台、后厨系统客户。</w:t>
      </w:r>
    </w:p>
    <w:p w14:paraId="396C895C">
      <w:pPr>
        <w:pStyle w:val="16"/>
        <w:spacing w:after="40" w:line="276" w:lineRule="auto"/>
      </w:pPr>
      <w:r>
        <w:rPr>
          <w:rFonts w:ascii="Arial" w:hAnsi="Arial" w:eastAsia="Noto Sans CJK SC"/>
          <w:sz w:val="20"/>
        </w:rPr>
        <w:t>长期目标：通过 ToB 食堂场景触达大规模终端人群，沉淀营养、消费、后厨运营和食安数据。</w:t>
      </w:r>
    </w:p>
    <w:p w14:paraId="1240882C">
      <w:pPr>
        <w:pStyle w:val="16"/>
        <w:spacing w:after="40" w:line="276" w:lineRule="auto"/>
      </w:pPr>
      <w:r>
        <w:rPr>
          <w:rFonts w:ascii="Arial" w:hAnsi="Arial" w:eastAsia="Noto Sans CJK SC"/>
          <w:sz w:val="20"/>
        </w:rPr>
        <w:t>资本市场口径：不是单一硬件业务，而是“ToB 客户覆盖 + ToC 人群触达 + 高频饮食数据 + 软硬件服务扩张”的增长型业务。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3402"/>
        <w:gridCol w:w="3118"/>
      </w:tblGrid>
      <w:tr w14:paraId="3AAD56C5">
        <w:trPr>
          <w:jc w:val="center"/>
        </w:trPr>
        <w:tc>
          <w:tcPr>
            <w:tcW w:w="181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2F559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4263BE">
            <w:pPr>
              <w:spacing w:after="0" w:line="264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7"/>
              </w:rPr>
              <w:t>核心指标</w:t>
            </w:r>
          </w:p>
        </w:tc>
        <w:tc>
          <w:tcPr>
            <w:tcW w:w="3402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2F559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82AD63">
            <w:pPr>
              <w:spacing w:after="0" w:line="264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7"/>
              </w:rPr>
              <w:t>建议口径</w:t>
            </w:r>
          </w:p>
        </w:tc>
        <w:tc>
          <w:tcPr>
            <w:tcW w:w="311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2F559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94F96E">
            <w:pPr>
              <w:spacing w:after="0" w:line="264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7"/>
              </w:rPr>
              <w:t>为什么重要</w:t>
            </w:r>
          </w:p>
        </w:tc>
      </w:tr>
      <w:tr w14:paraId="65D4E811">
        <w:trPr>
          <w:jc w:val="center"/>
        </w:trPr>
        <w:tc>
          <w:tcPr>
            <w:tcW w:w="181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EEF5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D5715B">
            <w:pPr>
              <w:spacing w:after="0" w:line="264" w:lineRule="auto"/>
            </w:pPr>
            <w:r>
              <w:rPr>
                <w:rFonts w:ascii="Arial" w:hAnsi="Arial" w:eastAsia="Noto Sans CJK SC"/>
                <w:b/>
                <w:sz w:val="17"/>
              </w:rPr>
              <w:t>ToB 客户数</w:t>
            </w:r>
          </w:p>
        </w:tc>
        <w:tc>
          <w:tcPr>
            <w:tcW w:w="3402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711A80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7"/>
              </w:rPr>
              <w:t>已触达、有效建联、已成交、深度项目四级拆分</w:t>
            </w:r>
          </w:p>
        </w:tc>
        <w:tc>
          <w:tcPr>
            <w:tcW w:w="311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51E4C9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7"/>
              </w:rPr>
              <w:t>体现市场覆盖和销售漏斗</w:t>
            </w:r>
          </w:p>
        </w:tc>
      </w:tr>
      <w:tr w14:paraId="7AE832A6">
        <w:trPr>
          <w:jc w:val="center"/>
        </w:trPr>
        <w:tc>
          <w:tcPr>
            <w:tcW w:w="181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EEF5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71523E">
            <w:pPr>
              <w:spacing w:after="0" w:line="264" w:lineRule="auto"/>
            </w:pPr>
            <w:r>
              <w:rPr>
                <w:rFonts w:ascii="Arial" w:hAnsi="Arial" w:eastAsia="Noto Sans CJK SC"/>
                <w:b/>
                <w:sz w:val="17"/>
              </w:rPr>
              <w:t>食堂点位数</w:t>
            </w:r>
          </w:p>
        </w:tc>
        <w:tc>
          <w:tcPr>
            <w:tcW w:w="3402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8F169A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7"/>
              </w:rPr>
              <w:t>客户名下实际食堂、校区、园区、院区、项目点位</w:t>
            </w:r>
          </w:p>
        </w:tc>
        <w:tc>
          <w:tcPr>
            <w:tcW w:w="311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84CA60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7"/>
              </w:rPr>
              <w:t>体现可复制落地规模</w:t>
            </w:r>
          </w:p>
        </w:tc>
      </w:tr>
      <w:tr w14:paraId="4328D4DA">
        <w:trPr>
          <w:jc w:val="center"/>
        </w:trPr>
        <w:tc>
          <w:tcPr>
            <w:tcW w:w="181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EEF5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9B93C7">
            <w:pPr>
              <w:spacing w:after="0" w:line="264" w:lineRule="auto"/>
            </w:pPr>
            <w:r>
              <w:rPr>
                <w:rFonts w:ascii="Arial" w:hAnsi="Arial" w:eastAsia="Noto Sans CJK SC"/>
                <w:b/>
                <w:sz w:val="17"/>
              </w:rPr>
              <w:t>终端就餐人群数</w:t>
            </w:r>
          </w:p>
        </w:tc>
        <w:tc>
          <w:tcPr>
            <w:tcW w:w="3402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873AC9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7"/>
              </w:rPr>
              <w:t>按每个点位服务人数估算潜在覆盖，再用消费/识别数据统计活跃人数</w:t>
            </w:r>
          </w:p>
        </w:tc>
        <w:tc>
          <w:tcPr>
            <w:tcW w:w="311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5DAB1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7"/>
              </w:rPr>
              <w:t>体现资本市场关注的人群触达能力</w:t>
            </w:r>
          </w:p>
        </w:tc>
      </w:tr>
      <w:tr w14:paraId="5F3EDF71">
        <w:trPr>
          <w:jc w:val="center"/>
        </w:trPr>
        <w:tc>
          <w:tcPr>
            <w:tcW w:w="181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EEF5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475377">
            <w:pPr>
              <w:spacing w:after="0" w:line="264" w:lineRule="auto"/>
            </w:pPr>
            <w:r>
              <w:rPr>
                <w:rFonts w:ascii="Arial" w:hAnsi="Arial" w:eastAsia="Noto Sans CJK SC"/>
                <w:b/>
                <w:sz w:val="17"/>
              </w:rPr>
              <w:t>数据资产规模</w:t>
            </w:r>
          </w:p>
        </w:tc>
        <w:tc>
          <w:tcPr>
            <w:tcW w:w="3402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1DA518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7"/>
              </w:rPr>
              <w:t>菜品营养数据、菜谱建议次数、消费记录、AI 识别次数、食安台账</w:t>
            </w:r>
          </w:p>
        </w:tc>
        <w:tc>
          <w:tcPr>
            <w:tcW w:w="311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B030F7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7"/>
              </w:rPr>
              <w:t>体现未来平台化和数据化运营能力</w:t>
            </w:r>
          </w:p>
        </w:tc>
      </w:tr>
    </w:tbl>
    <w:p w14:paraId="740D15F7">
      <w:pPr>
        <w:spacing w:after="80"/>
      </w:pPr>
    </w:p>
    <w:p w14:paraId="49B81150">
      <w:r>
        <w:br w:type="page"/>
      </w:r>
    </w:p>
    <w:p w14:paraId="7A444912">
      <w:pPr>
        <w:pStyle w:val="3"/>
        <w:spacing w:before="80" w:after="120"/>
        <w:rPr>
          <w:rFonts w:hint="default" w:eastAsia="Noto Sans CJK SC"/>
          <w:lang w:val="en-US" w:eastAsia="zh-CN"/>
        </w:rPr>
      </w:pPr>
      <w:r>
        <w:rPr>
          <w:rFonts w:ascii="Arial" w:hAnsi="Arial" w:eastAsia="Noto Sans CJK SC"/>
          <w:b/>
          <w:color w:val="1F4E79"/>
          <w:sz w:val="32"/>
        </w:rPr>
        <w:t xml:space="preserve">02  </w:t>
      </w:r>
      <w:r>
        <w:rPr>
          <w:rFonts w:hint="eastAsia" w:ascii="Arial" w:hAnsi="Arial" w:eastAsia="Noto Sans CJK SC"/>
          <w:b/>
          <w:color w:val="1F4E79"/>
          <w:sz w:val="32"/>
          <w:lang w:val="en-US" w:eastAsia="zh-CN"/>
        </w:rPr>
        <w:t>支撑观点</w:t>
      </w:r>
    </w:p>
    <w:p w14:paraId="1D5EE693">
      <w:pPr>
        <w:spacing w:after="120" w:line="312" w:lineRule="auto"/>
      </w:pPr>
      <w:r>
        <w:rPr>
          <w:rFonts w:ascii="Arial" w:hAnsi="Arial" w:eastAsia="Noto Sans CJK SC"/>
          <w:b w:val="0"/>
          <w:sz w:val="21"/>
        </w:rPr>
        <w:t>围绕 2000 万营收目标的智慧食堂市场打法。</w:t>
      </w:r>
    </w:p>
    <w:p w14:paraId="682D2C32">
      <w:pPr>
        <w:spacing w:after="120" w:line="312" w:lineRule="auto"/>
      </w:pPr>
      <w:r>
        <w:rPr>
          <w:rFonts w:ascii="Arial" w:hAnsi="Arial" w:eastAsia="Noto Sans CJK SC"/>
          <w:b w:val="0"/>
          <w:sz w:val="21"/>
        </w:rPr>
        <w:t>我们过去在推智慧食堂时，容易一上来就讲完整系统建设，包括前厅结算、后厨管理、设备改造、监管平台、数据看板等。但在实际销售过程中，我们发现这种“大而全”的方式推进周期长、客户决策链复杂、预算落地慢，销售很难在短时间内形成大面积覆盖。</w:t>
      </w:r>
    </w:p>
    <w:p w14:paraId="112BCFA1">
      <w:pPr>
        <w:spacing w:after="120" w:line="312" w:lineRule="auto"/>
      </w:pPr>
      <w:r>
        <w:rPr>
          <w:rFonts w:ascii="Arial" w:hAnsi="Arial" w:eastAsia="Noto Sans CJK SC"/>
          <w:b w:val="0"/>
          <w:sz w:val="21"/>
        </w:rPr>
        <w:t>所以接下来我们建议换一个打法：不再一开始就卖完整智慧食堂，</w:t>
      </w:r>
      <w:r>
        <w:rPr>
          <w:rFonts w:ascii="Arial" w:hAnsi="Arial" w:eastAsia="Noto Sans CJK SC"/>
          <w:b w:val="0"/>
          <w:sz w:val="21"/>
          <w:highlight w:val="yellow"/>
        </w:rPr>
        <w:t>而是以营养健康和体重管理为入口，先做客户覆盖，再做轻量成交，最后逐步导入前厅智能化、后厨数字化和管理端数据能力。</w:t>
      </w:r>
    </w:p>
    <w:p w14:paraId="6D626A24">
      <w:pPr>
        <w:spacing w:after="120" w:line="312" w:lineRule="auto"/>
      </w:pPr>
      <w:r>
        <w:rPr>
          <w:rFonts w:ascii="Arial" w:hAnsi="Arial" w:eastAsia="Noto Sans CJK SC"/>
          <w:b w:val="0"/>
          <w:sz w:val="21"/>
        </w:rPr>
        <w:t>这套打法的核心，是先用客户容易接受的轻量服务建立关系，比如餐厅营养氛围改造、健康食堂设计图、</w:t>
      </w:r>
      <w:r>
        <w:rPr>
          <w:rFonts w:ascii="Arial" w:hAnsi="Arial" w:eastAsia="Noto Sans CJK SC"/>
          <w:b w:val="0"/>
          <w:sz w:val="21"/>
          <w:highlight w:val="yellow"/>
        </w:rPr>
        <w:t>每周菜谱营养建议</w:t>
      </w:r>
      <w:r>
        <w:rPr>
          <w:rFonts w:hint="eastAsia"/>
          <w:b w:val="0"/>
          <w:sz w:val="21"/>
          <w:highlight w:val="yellow"/>
          <w:lang w:eastAsia="zh-CN"/>
        </w:rPr>
        <w:t>【</w:t>
      </w:r>
      <w:r>
        <w:rPr>
          <w:rFonts w:hint="eastAsia"/>
          <w:b w:val="0"/>
          <w:sz w:val="21"/>
          <w:highlight w:val="yellow"/>
          <w:lang w:val="en-US" w:eastAsia="zh-CN"/>
        </w:rPr>
        <w:t>高频</w:t>
      </w:r>
      <w:r>
        <w:rPr>
          <w:rFonts w:hint="eastAsia"/>
          <w:b w:val="0"/>
          <w:sz w:val="21"/>
          <w:highlight w:val="yellow"/>
          <w:lang w:eastAsia="zh-CN"/>
        </w:rPr>
        <w:t>】</w:t>
      </w:r>
      <w:r>
        <w:rPr>
          <w:rFonts w:ascii="Arial" w:hAnsi="Arial" w:eastAsia="Noto Sans CJK SC"/>
          <w:b w:val="0"/>
          <w:sz w:val="21"/>
        </w:rPr>
        <w:t>、控糖减脂主题菜单、满意度调研等。客户不需要改系统、不需要采购大设备，也不需要马上走复杂流程，销售就能先和客户建立周期性联系</w:t>
      </w:r>
      <w:r>
        <w:rPr>
          <w:rFonts w:hint="eastAsia"/>
          <w:b w:val="0"/>
          <w:sz w:val="21"/>
          <w:highlight w:val="yellow"/>
          <w:lang w:eastAsia="zh-CN"/>
        </w:rPr>
        <w:t>【</w:t>
      </w:r>
      <w:r>
        <w:rPr>
          <w:rFonts w:hint="eastAsia"/>
          <w:b w:val="0"/>
          <w:sz w:val="21"/>
          <w:highlight w:val="yellow"/>
          <w:lang w:val="en-US" w:eastAsia="zh-CN"/>
        </w:rPr>
        <w:t>菜牌营养建议为每周的频次</w:t>
      </w:r>
      <w:r>
        <w:rPr>
          <w:rFonts w:hint="eastAsia"/>
          <w:b w:val="0"/>
          <w:sz w:val="21"/>
          <w:highlight w:val="yellow"/>
          <w:lang w:eastAsia="zh-CN"/>
        </w:rPr>
        <w:t>】</w:t>
      </w:r>
      <w:r>
        <w:rPr>
          <w:rFonts w:ascii="Arial" w:hAnsi="Arial" w:eastAsia="Noto Sans CJK SC"/>
          <w:b w:val="0"/>
          <w:sz w:val="21"/>
        </w:rPr>
        <w:t>。</w:t>
      </w:r>
    </w:p>
    <w:p w14:paraId="3BB77938">
      <w:pPr>
        <w:spacing w:after="120" w:line="312" w:lineRule="auto"/>
      </w:pPr>
      <w:r>
        <w:rPr>
          <w:rFonts w:ascii="Arial" w:hAnsi="Arial" w:eastAsia="Noto Sans CJK SC"/>
          <w:b w:val="0"/>
          <w:sz w:val="21"/>
        </w:rPr>
        <w:t>当客户认可营养健康方向之后，我们再把营养从墙上的宣教落到每一道菜上，导入电子</w:t>
      </w:r>
      <w:r>
        <w:rPr>
          <w:rFonts w:hint="eastAsia"/>
          <w:b w:val="0"/>
          <w:sz w:val="21"/>
          <w:lang w:eastAsia="zh-CN"/>
        </w:rPr>
        <w:t>菜牌</w:t>
      </w:r>
      <w:r>
        <w:rPr>
          <w:rFonts w:ascii="Arial" w:hAnsi="Arial" w:eastAsia="Noto Sans CJK SC"/>
          <w:b w:val="0"/>
          <w:sz w:val="21"/>
        </w:rPr>
        <w:t>、</w:t>
      </w:r>
      <w:r>
        <w:rPr>
          <w:rFonts w:hint="eastAsia"/>
          <w:b w:val="0"/>
          <w:sz w:val="21"/>
          <w:lang w:eastAsia="zh-CN"/>
        </w:rPr>
        <w:t>电子价签</w:t>
      </w:r>
      <w:r>
        <w:rPr>
          <w:rFonts w:ascii="Arial" w:hAnsi="Arial" w:eastAsia="Noto Sans CJK SC"/>
          <w:b w:val="0"/>
          <w:sz w:val="21"/>
        </w:rPr>
        <w:t>、营养宣教屏、消费机和独立结算系统。这个阶段的产品要做到</w:t>
      </w:r>
      <w:r>
        <w:rPr>
          <w:rFonts w:ascii="Arial" w:hAnsi="Arial" w:eastAsia="Noto Sans CJK SC"/>
          <w:b w:val="0"/>
          <w:sz w:val="21"/>
          <w:highlight w:val="yellow"/>
        </w:rPr>
        <w:t>独立运行、快速上线</w:t>
      </w:r>
      <w:r>
        <w:rPr>
          <w:rFonts w:ascii="Arial" w:hAnsi="Arial" w:eastAsia="Noto Sans CJK SC"/>
          <w:b w:val="0"/>
          <w:sz w:val="21"/>
        </w:rPr>
        <w:t>、不和客户原系统强绑定、不要求大改造，用小产品快速形成成交。</w:t>
      </w:r>
    </w:p>
    <w:p w14:paraId="5FEC2D82">
      <w:pPr>
        <w:spacing w:after="120" w:line="312" w:lineRule="auto"/>
      </w:pPr>
      <w:r>
        <w:rPr>
          <w:rFonts w:ascii="Arial" w:hAnsi="Arial" w:eastAsia="Noto Sans CJK SC"/>
          <w:b w:val="0"/>
          <w:sz w:val="21"/>
        </w:rPr>
        <w:t>再往下，当客户希望做更深的营养管理时，我们通过 AI 菜品识别、450/460 称重台、小碗菜识别、自助结算和消费机联动，记录每个人实际吃了什么、吃了多少。电子</w:t>
      </w:r>
      <w:r>
        <w:rPr>
          <w:rFonts w:hint="eastAsia"/>
          <w:b w:val="0"/>
          <w:sz w:val="21"/>
          <w:lang w:eastAsia="zh-CN"/>
        </w:rPr>
        <w:t>菜牌</w:t>
      </w:r>
      <w:r>
        <w:rPr>
          <w:rFonts w:ascii="Arial" w:hAnsi="Arial" w:eastAsia="Noto Sans CJK SC"/>
          <w:b w:val="0"/>
          <w:sz w:val="21"/>
        </w:rPr>
        <w:t>告诉用户这道菜有什么营养，AI 识别和称重台告诉系统这个人实际摄入了多少营养。</w:t>
      </w:r>
    </w:p>
    <w:p w14:paraId="571CC2A0">
      <w:pPr>
        <w:spacing w:after="120" w:line="312" w:lineRule="auto"/>
      </w:pPr>
      <w:r>
        <w:rPr>
          <w:rFonts w:ascii="Arial" w:hAnsi="Arial" w:eastAsia="Noto Sans CJK SC"/>
          <w:b w:val="0"/>
          <w:sz w:val="21"/>
        </w:rPr>
        <w:t>前厅之外，后厨要单独成线。我们把进销存和食安管理做成独立产品线，解决采购、库存、成本、留样、晨检、消毒记录、台账和监管报表问题。前厅解决效率和体验，后厨解决成本和安全，两条线最终在管理端和数据端打通。</w:t>
      </w:r>
    </w:p>
    <w:p w14:paraId="172A4293">
      <w:pPr>
        <w:spacing w:after="120" w:line="312" w:lineRule="auto"/>
      </w:pPr>
      <w:r>
        <w:rPr>
          <w:rFonts w:ascii="Arial" w:hAnsi="Arial" w:eastAsia="Noto Sans CJK SC"/>
          <w:b w:val="0"/>
          <w:sz w:val="21"/>
        </w:rPr>
        <w:t>从客户场景来看，这套打法可以覆盖企事业单位、学校、医院、养老机构、机关园区、机场和大型能源集团。不同客户的痛点不一样，但营养健康是共同入口：企业关心员工健康和满意度，学校关心学生成长餐和监管合规，医院关心营养膳食和患者/职工餐管理，养老机构关心慢病饮食和低盐易消化，集团型客户关心多点位标准化运营。</w:t>
      </w:r>
    </w:p>
    <w:p w14:paraId="02A0C2AC">
      <w:pPr>
        <w:spacing w:after="120" w:line="312" w:lineRule="auto"/>
      </w:pPr>
      <w:r>
        <w:rPr>
          <w:rFonts w:ascii="Arial" w:hAnsi="Arial" w:eastAsia="Noto Sans CJK SC"/>
          <w:b w:val="0"/>
          <w:sz w:val="21"/>
        </w:rPr>
        <w:t>从渠道来看，我们不能只靠自有销售单点推进，要形成场景端抓需求、渠道端抓放量的双轮驱动。集成公司有项目资源和招投标能力，但缺少轻量化、可持续触达客户的产品抓手；团餐公司有日常运营关系，但需要提升续约能力和服务差异化；厨具公司有设备销售和厨房改造资源，但需要从单纯卖硬件升级为数字化解决方案。我们的产品体系可以分别成为他们的售前抓手、增值服务和项目升级包。</w:t>
      </w:r>
    </w:p>
    <w:p w14:paraId="19049427">
      <w:pPr>
        <w:spacing w:after="120" w:line="312" w:lineRule="auto"/>
      </w:pPr>
      <w:r>
        <w:rPr>
          <w:rFonts w:ascii="Arial" w:hAnsi="Arial" w:eastAsia="Noto Sans CJK SC"/>
          <w:b w:val="0"/>
          <w:sz w:val="21"/>
        </w:rPr>
        <w:t>因此，我们对渠道商的价值不是简单分销，而是帮助他们提高客户粘性、提升项目客单价、增强投标竞争力，并把一次性设备销售变成持续运营服务。渠道商帮我们扩大覆盖，我们帮渠道商提升方案价值，这是一个双赢结构。</w:t>
      </w:r>
    </w:p>
    <w:p w14:paraId="2710EE29">
      <w:pPr>
        <w:spacing w:after="120" w:line="312" w:lineRule="auto"/>
      </w:pPr>
      <w:r>
        <w:rPr>
          <w:rFonts w:ascii="Arial" w:hAnsi="Arial" w:eastAsia="Noto Sans CJK SC"/>
          <w:b w:val="0"/>
          <w:sz w:val="21"/>
        </w:rPr>
        <w:t>这套打法需要用资本市场也能理解的指标来管理。建议我们重点看四类指标：第一是 ToB 客户覆盖数，第二是食堂点位数，第三是终端就餐人群数，第四是数据资产规模。比如年内触达【300】家 ToB 客户，覆盖【</w:t>
      </w:r>
      <w:r>
        <w:rPr>
          <w:rFonts w:hint="eastAsia"/>
          <w:b w:val="0"/>
          <w:sz w:val="21"/>
          <w:lang w:val="en-US" w:eastAsia="zh-CN"/>
        </w:rPr>
        <w:t>10</w:t>
      </w:r>
      <w:r>
        <w:rPr>
          <w:rFonts w:ascii="Arial" w:hAnsi="Arial" w:eastAsia="Noto Sans CJK SC"/>
          <w:b w:val="0"/>
          <w:sz w:val="21"/>
        </w:rPr>
        <w:t>00】个食堂点位，按每个点位平均服务【800-1000】人测算，潜在覆盖【40 万-50 万】就餐人群；其中【100】家进入每周菜谱建议或营养宣教服务，【50】家转化为电子</w:t>
      </w:r>
      <w:r>
        <w:rPr>
          <w:rFonts w:hint="eastAsia"/>
          <w:b w:val="0"/>
          <w:sz w:val="21"/>
          <w:lang w:eastAsia="zh-CN"/>
        </w:rPr>
        <w:t>菜牌</w:t>
      </w:r>
      <w:r>
        <w:rPr>
          <w:rFonts w:ascii="Arial" w:hAnsi="Arial" w:eastAsia="Noto Sans CJK SC"/>
          <w:b w:val="0"/>
          <w:sz w:val="21"/>
        </w:rPr>
        <w:t>、</w:t>
      </w:r>
      <w:r>
        <w:rPr>
          <w:rFonts w:hint="eastAsia"/>
          <w:b w:val="0"/>
          <w:sz w:val="21"/>
          <w:lang w:eastAsia="zh-CN"/>
        </w:rPr>
        <w:t>电子价签</w:t>
      </w:r>
      <w:r>
        <w:rPr>
          <w:rFonts w:ascii="Arial" w:hAnsi="Arial" w:eastAsia="Noto Sans CJK SC"/>
          <w:b w:val="0"/>
          <w:sz w:val="21"/>
        </w:rPr>
        <w:t>、消费机等轻量产品客户，【20】家进入 AI 识别、称重台、小碗菜或后厨进销存食安等深度项目，以此支撑全年【2000 万】营收目标。</w:t>
      </w:r>
    </w:p>
    <w:p w14:paraId="20E242BC">
      <w:pPr>
        <w:spacing w:after="120" w:line="312" w:lineRule="auto"/>
      </w:pPr>
      <w:r>
        <w:rPr>
          <w:rFonts w:ascii="Arial" w:hAnsi="Arial" w:eastAsia="Noto Sans CJK SC"/>
          <w:b w:val="0"/>
          <w:sz w:val="21"/>
        </w:rPr>
        <w:t>最终，我们不是把智慧食堂做成一个项目交付型业务，而是要升级为客户覆盖、产品转化、渠道放量和数据运营共同驱动的增长型业务。短期看，它能解决销售推进慢的问题；中期看，它能形成轻量产品和深度项目的转化路径；长期看，它能通过 ToB 食堂场景触达大规模终端人群，并沉淀营养、消费、识别和后厨运营数据。</w:t>
      </w:r>
    </w:p>
    <w:p w14:paraId="1E5F0FB5">
      <w:pPr>
        <w:spacing w:after="120" w:line="312" w:lineRule="auto"/>
      </w:pPr>
      <w:r>
        <w:rPr>
          <w:rFonts w:ascii="Arial" w:hAnsi="Arial" w:eastAsia="Noto Sans CJK SC"/>
          <w:b w:val="0"/>
          <w:sz w:val="21"/>
        </w:rPr>
        <w:t>这就是我建议的整体方向：以营养健康为入口，用轻量服务提高覆盖率，用轻量产品提高转化率，用前厅智能设备进入核心流程，用后厨进销存和食安管理提高客户粘性，最终形成智慧食堂数据化运营平台。</w:t>
      </w:r>
    </w:p>
    <w:p w14:paraId="34EECFB2">
      <w:r>
        <w:br w:type="page"/>
      </w:r>
    </w:p>
    <w:p w14:paraId="122A83F4">
      <w:pPr>
        <w:pStyle w:val="3"/>
        <w:spacing w:before="80" w:after="120"/>
      </w:pPr>
      <w:r>
        <w:rPr>
          <w:rFonts w:ascii="Arial" w:hAnsi="Arial" w:eastAsia="Noto Sans CJK SC"/>
          <w:b/>
          <w:color w:val="1F4E79"/>
          <w:sz w:val="32"/>
        </w:rPr>
        <w:t>03  产品分层：从营养覆盖到数据运营</w:t>
      </w:r>
    </w:p>
    <w:p w14:paraId="68441B72">
      <w:pPr>
        <w:spacing w:after="160" w:line="300" w:lineRule="auto"/>
      </w:pPr>
      <w:r>
        <w:rPr>
          <w:rFonts w:ascii="Arial" w:hAnsi="Arial" w:eastAsia="Noto Sans CJK SC"/>
          <w:b w:val="0"/>
          <w:color w:val="666666"/>
          <w:sz w:val="20"/>
        </w:rPr>
        <w:t>用同一条营养健康路径，把轻服务、轻产品、前厅智能、后厨管理和数据能力串起来。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5"/>
        <w:gridCol w:w="2497"/>
        <w:gridCol w:w="2489"/>
        <w:gridCol w:w="1664"/>
        <w:gridCol w:w="2215"/>
      </w:tblGrid>
      <w:tr w14:paraId="51C03FD2">
        <w:trPr>
          <w:jc w:val="center"/>
        </w:trPr>
        <w:tc>
          <w:tcPr>
            <w:tcW w:w="153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2F559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BC46B2">
            <w:pPr>
              <w:spacing w:after="0" w:line="264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5"/>
              </w:rPr>
              <w:t>层级</w:t>
            </w:r>
          </w:p>
        </w:tc>
        <w:tc>
          <w:tcPr>
            <w:tcW w:w="255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2F559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57F486">
            <w:pPr>
              <w:spacing w:after="0" w:line="264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5"/>
              </w:rPr>
              <w:t>产品/服务</w:t>
            </w:r>
          </w:p>
        </w:tc>
        <w:tc>
          <w:tcPr>
            <w:tcW w:w="255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2F559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E91511">
            <w:pPr>
              <w:spacing w:after="0" w:line="264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5"/>
              </w:rPr>
              <w:t>客户认知与需求</w:t>
            </w:r>
          </w:p>
        </w:tc>
        <w:tc>
          <w:tcPr>
            <w:tcW w:w="17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2F559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E3AB65">
            <w:pPr>
              <w:spacing w:after="0" w:line="264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5"/>
              </w:rPr>
              <w:t>销售目标</w:t>
            </w:r>
          </w:p>
        </w:tc>
        <w:tc>
          <w:tcPr>
            <w:tcW w:w="226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2F559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556173">
            <w:pPr>
              <w:spacing w:after="0" w:line="264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5"/>
              </w:rPr>
              <w:t>升级路径</w:t>
            </w:r>
          </w:p>
        </w:tc>
      </w:tr>
      <w:tr w14:paraId="5D237940">
        <w:trPr>
          <w:jc w:val="center"/>
        </w:trPr>
        <w:tc>
          <w:tcPr>
            <w:tcW w:w="153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EEF5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B89074">
            <w:pPr>
              <w:spacing w:after="0" w:line="264" w:lineRule="auto"/>
            </w:pPr>
            <w:r>
              <w:rPr>
                <w:rFonts w:ascii="Arial" w:hAnsi="Arial" w:eastAsia="Noto Sans CJK SC"/>
                <w:b/>
                <w:sz w:val="15"/>
              </w:rPr>
              <w:t>1. 营养覆盖层</w:t>
            </w:r>
          </w:p>
        </w:tc>
        <w:tc>
          <w:tcPr>
            <w:tcW w:w="255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608718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氛围设计图、营养宣教、体重管理海报、每周菜谱建议、健康活动包</w:t>
            </w:r>
          </w:p>
        </w:tc>
        <w:tc>
          <w:tcPr>
            <w:tcW w:w="255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E03D7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客户认可健康食堂，但还没有系统建设预算</w:t>
            </w:r>
          </w:p>
        </w:tc>
        <w:tc>
          <w:tcPr>
            <w:tcW w:w="17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0D1FB9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快速建联、提高覆盖率</w:t>
            </w:r>
          </w:p>
        </w:tc>
        <w:tc>
          <w:tcPr>
            <w:tcW w:w="226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369459">
            <w:pPr>
              <w:spacing w:after="0" w:line="264" w:lineRule="auto"/>
              <w:rPr>
                <w:rFonts w:hint="eastAsia" w:eastAsia="Noto Sans CJK SC"/>
                <w:lang w:eastAsia="zh-CN"/>
              </w:rPr>
            </w:pPr>
            <w:r>
              <w:rPr>
                <w:rFonts w:ascii="Arial" w:hAnsi="Arial" w:eastAsia="Noto Sans CJK SC"/>
                <w:b w:val="0"/>
                <w:sz w:val="15"/>
              </w:rPr>
              <w:t>从宣教和菜单进入电子</w:t>
            </w:r>
            <w:r>
              <w:rPr>
                <w:rFonts w:hint="eastAsia"/>
                <w:b w:val="0"/>
                <w:sz w:val="15"/>
                <w:lang w:eastAsia="zh-CN"/>
              </w:rPr>
              <w:t>菜牌</w:t>
            </w:r>
            <w:r>
              <w:rPr>
                <w:rFonts w:ascii="Arial" w:hAnsi="Arial" w:eastAsia="Noto Sans CJK SC"/>
                <w:b w:val="0"/>
                <w:sz w:val="15"/>
              </w:rPr>
              <w:t>/</w:t>
            </w:r>
            <w:r>
              <w:rPr>
                <w:rFonts w:hint="eastAsia"/>
                <w:b w:val="0"/>
                <w:sz w:val="15"/>
                <w:lang w:eastAsia="zh-CN"/>
              </w:rPr>
              <w:t>电子价签</w:t>
            </w:r>
          </w:p>
        </w:tc>
      </w:tr>
      <w:tr w14:paraId="666D05E5">
        <w:trPr>
          <w:jc w:val="center"/>
        </w:trPr>
        <w:tc>
          <w:tcPr>
            <w:tcW w:w="153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EEF5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8BFD67">
            <w:pPr>
              <w:spacing w:after="0" w:line="264" w:lineRule="auto"/>
            </w:pPr>
            <w:r>
              <w:rPr>
                <w:rFonts w:ascii="Arial" w:hAnsi="Arial" w:eastAsia="Noto Sans CJK SC"/>
                <w:b/>
                <w:sz w:val="15"/>
              </w:rPr>
              <w:t>2. 轻量成交层</w:t>
            </w:r>
          </w:p>
        </w:tc>
        <w:tc>
          <w:tcPr>
            <w:tcW w:w="255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B777FD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电子</w:t>
            </w:r>
            <w:r>
              <w:rPr>
                <w:rFonts w:hint="eastAsia"/>
                <w:b w:val="0"/>
                <w:sz w:val="15"/>
                <w:lang w:eastAsia="zh-CN"/>
              </w:rPr>
              <w:t>菜牌</w:t>
            </w:r>
            <w:r>
              <w:rPr>
                <w:rFonts w:ascii="Arial" w:hAnsi="Arial" w:eastAsia="Noto Sans CJK SC"/>
                <w:b w:val="0"/>
                <w:sz w:val="15"/>
              </w:rPr>
              <w:t>、</w:t>
            </w:r>
            <w:r>
              <w:rPr>
                <w:rFonts w:hint="eastAsia"/>
                <w:b w:val="0"/>
                <w:sz w:val="15"/>
                <w:lang w:eastAsia="zh-CN"/>
              </w:rPr>
              <w:t>电子价签</w:t>
            </w:r>
            <w:r>
              <w:rPr>
                <w:rFonts w:ascii="Arial" w:hAnsi="Arial" w:eastAsia="Noto Sans CJK SC"/>
                <w:b w:val="0"/>
                <w:sz w:val="15"/>
              </w:rPr>
              <w:t>、营养宣教屏、消费机、独立结算、菜品营养标签</w:t>
            </w:r>
          </w:p>
        </w:tc>
        <w:tc>
          <w:tcPr>
            <w:tcW w:w="255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DA042C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客户希望把营养落到每道菜，且不想做大改造</w:t>
            </w:r>
          </w:p>
        </w:tc>
        <w:tc>
          <w:tcPr>
            <w:tcW w:w="17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7DC003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小额快速成交</w:t>
            </w:r>
          </w:p>
        </w:tc>
        <w:tc>
          <w:tcPr>
            <w:tcW w:w="226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789D62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从展示营养进入识别营养</w:t>
            </w:r>
          </w:p>
        </w:tc>
      </w:tr>
      <w:tr w14:paraId="493AFE8A">
        <w:trPr>
          <w:jc w:val="center"/>
        </w:trPr>
        <w:tc>
          <w:tcPr>
            <w:tcW w:w="153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EEF5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1274C1">
            <w:pPr>
              <w:spacing w:after="0" w:line="264" w:lineRule="auto"/>
            </w:pPr>
            <w:r>
              <w:rPr>
                <w:rFonts w:ascii="Arial" w:hAnsi="Arial" w:eastAsia="Noto Sans CJK SC"/>
                <w:b/>
                <w:sz w:val="15"/>
              </w:rPr>
              <w:t>3. 前厅智能层</w:t>
            </w:r>
          </w:p>
        </w:tc>
        <w:tc>
          <w:tcPr>
            <w:tcW w:w="255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DC887A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AI 菜品识别、450/460 称重台、小碗菜识别、自助结算、消费机联动</w:t>
            </w:r>
          </w:p>
        </w:tc>
        <w:tc>
          <w:tcPr>
            <w:tcW w:w="255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8D5510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客户希望提升结算效率，并记录个人实际摄入</w:t>
            </w:r>
          </w:p>
        </w:tc>
        <w:tc>
          <w:tcPr>
            <w:tcW w:w="17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EBC24D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进入核心流程、提升客单价</w:t>
            </w:r>
          </w:p>
        </w:tc>
        <w:tc>
          <w:tcPr>
            <w:tcW w:w="226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661A2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向前厅数据看板和个人营养报告升级</w:t>
            </w:r>
          </w:p>
        </w:tc>
      </w:tr>
      <w:tr w14:paraId="4A70C47C">
        <w:trPr>
          <w:jc w:val="center"/>
        </w:trPr>
        <w:tc>
          <w:tcPr>
            <w:tcW w:w="153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EEF5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7F9AAD">
            <w:pPr>
              <w:spacing w:after="0" w:line="264" w:lineRule="auto"/>
            </w:pPr>
            <w:r>
              <w:rPr>
                <w:rFonts w:ascii="Arial" w:hAnsi="Arial" w:eastAsia="Noto Sans CJK SC"/>
                <w:b/>
                <w:sz w:val="15"/>
              </w:rPr>
              <w:t>4. 后厨管理层</w:t>
            </w:r>
          </w:p>
        </w:tc>
        <w:tc>
          <w:tcPr>
            <w:tcW w:w="255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9AC7E0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进销存、采购、库存、盘点、供应商、留样、晨检、消毒、食安台账、监管报表</w:t>
            </w:r>
          </w:p>
        </w:tc>
        <w:tc>
          <w:tcPr>
            <w:tcW w:w="255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7BC559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客户关注成本、安全、合规和后厨效率</w:t>
            </w:r>
          </w:p>
        </w:tc>
        <w:tc>
          <w:tcPr>
            <w:tcW w:w="17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D6057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提高客户粘性、扩大项目深度</w:t>
            </w:r>
          </w:p>
        </w:tc>
        <w:tc>
          <w:tcPr>
            <w:tcW w:w="226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BE33A2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与前厅消费数据和管理端看板打通</w:t>
            </w:r>
          </w:p>
        </w:tc>
      </w:tr>
      <w:tr w14:paraId="3DAA901A">
        <w:trPr>
          <w:jc w:val="center"/>
        </w:trPr>
        <w:tc>
          <w:tcPr>
            <w:tcW w:w="153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EEF5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3ECD6B">
            <w:pPr>
              <w:spacing w:after="0" w:line="264" w:lineRule="auto"/>
            </w:pPr>
            <w:r>
              <w:rPr>
                <w:rFonts w:ascii="Arial" w:hAnsi="Arial" w:eastAsia="Noto Sans CJK SC"/>
                <w:b/>
                <w:sz w:val="15"/>
              </w:rPr>
              <w:t>5. 数据运营层</w:t>
            </w:r>
          </w:p>
        </w:tc>
        <w:tc>
          <w:tcPr>
            <w:tcW w:w="255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5DE2F4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菜品营养库、就餐行为数据、群体营养分析、食堂运营诊断、管理端看板</w:t>
            </w:r>
          </w:p>
        </w:tc>
        <w:tc>
          <w:tcPr>
            <w:tcW w:w="255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136047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客户希望长期优化食堂运营和健康管理</w:t>
            </w:r>
          </w:p>
        </w:tc>
        <w:tc>
          <w:tcPr>
            <w:tcW w:w="17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40ECE9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沉淀数据资产和平台能力</w:t>
            </w:r>
          </w:p>
        </w:tc>
        <w:tc>
          <w:tcPr>
            <w:tcW w:w="226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6AA431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形成可复制、可续费、可扩张的业务模式</w:t>
            </w:r>
          </w:p>
        </w:tc>
      </w:tr>
    </w:tbl>
    <w:p w14:paraId="772FCC02">
      <w:pPr>
        <w:spacing w:after="80"/>
      </w:pPr>
    </w:p>
    <w:tbl>
      <w:tblPr>
        <w:tblStyle w:val="3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0"/>
      </w:tblGrid>
      <w:tr w14:paraId="259FB513">
        <w:trPr>
          <w:jc w:val="center"/>
        </w:trPr>
        <w:tc>
          <w:tcPr>
            <w:tcW w:w="10200" w:type="dxa"/>
            <w:tcBorders>
              <w:top w:val="single" w:color="9ECAE1" w:sz="8" w:space="0"/>
              <w:left w:val="single" w:color="9ECAE1" w:sz="8" w:space="0"/>
              <w:bottom w:val="single" w:color="9ECAE1" w:sz="8" w:space="0"/>
              <w:right w:val="single" w:color="9ECAE1" w:sz="8" w:space="0"/>
            </w:tcBorders>
            <w:shd w:val="clear" w:color="auto" w:fill="F8F9FA"/>
          </w:tcPr>
          <w:p w14:paraId="5485D449">
            <w:pPr>
              <w:spacing w:after="60"/>
            </w:pPr>
            <w:r>
              <w:rPr>
                <w:rFonts w:ascii="Arial" w:hAnsi="Arial" w:eastAsia="Noto Sans CJK SC"/>
                <w:b/>
                <w:color w:val="2F5597"/>
                <w:sz w:val="21"/>
              </w:rPr>
              <w:t>产品价值重定义</w:t>
            </w:r>
          </w:p>
          <w:p w14:paraId="05935CBE">
            <w:pPr>
              <w:spacing w:after="0" w:line="276" w:lineRule="auto"/>
            </w:pPr>
            <w:r>
              <w:rPr>
                <w:rFonts w:ascii="Arial" w:hAnsi="Arial" w:eastAsia="Noto Sans CJK SC"/>
                <w:color w:val="222222"/>
                <w:sz w:val="19"/>
              </w:rPr>
              <w:t>电子</w:t>
            </w:r>
            <w:r>
              <w:rPr>
                <w:rFonts w:hint="eastAsia"/>
                <w:color w:val="222222"/>
                <w:sz w:val="19"/>
                <w:lang w:eastAsia="zh-CN"/>
              </w:rPr>
              <w:t>菜牌</w:t>
            </w:r>
            <w:r>
              <w:rPr>
                <w:rFonts w:ascii="Arial" w:hAnsi="Arial" w:eastAsia="Noto Sans CJK SC"/>
                <w:color w:val="222222"/>
                <w:sz w:val="19"/>
              </w:rPr>
              <w:t>不是单纯显示设备，而是“菜品营养展示终端”。</w:t>
            </w:r>
            <w:r>
              <w:br w:type="textWrapping"/>
            </w:r>
            <w:r>
              <w:rPr>
                <w:rFonts w:ascii="Arial" w:hAnsi="Arial" w:eastAsia="Noto Sans CJK SC"/>
                <w:color w:val="222222"/>
                <w:sz w:val="19"/>
              </w:rPr>
              <w:t>消费机不是单纯收款设备，而是“营养信息触达和消费记录入口”。</w:t>
            </w:r>
            <w:r>
              <w:br w:type="textWrapping"/>
            </w:r>
            <w:r>
              <w:rPr>
                <w:rFonts w:ascii="Arial" w:hAnsi="Arial" w:eastAsia="Noto Sans CJK SC"/>
                <w:color w:val="222222"/>
                <w:sz w:val="19"/>
              </w:rPr>
              <w:t>称重台不是单纯称重设备，而是“个人摄入量采集设备”。</w:t>
            </w:r>
            <w:r>
              <w:br w:type="textWrapping"/>
            </w:r>
            <w:r>
              <w:rPr>
                <w:rFonts w:ascii="Arial" w:hAnsi="Arial" w:eastAsia="Noto Sans CJK SC"/>
                <w:color w:val="222222"/>
                <w:sz w:val="19"/>
              </w:rPr>
              <w:t>AI 菜品识别不是单纯识别工具，而是“个人饮食行为数据采集入口”。</w:t>
            </w:r>
            <w:r>
              <w:br w:type="textWrapping"/>
            </w:r>
            <w:r>
              <w:rPr>
                <w:rFonts w:ascii="Arial" w:hAnsi="Arial" w:eastAsia="Noto Sans CJK SC"/>
                <w:color w:val="222222"/>
                <w:sz w:val="19"/>
              </w:rPr>
              <w:t>后厨进销存和食安不是后台系统，而是“成本、安全和合规管理能力”。</w:t>
            </w:r>
          </w:p>
        </w:tc>
      </w:tr>
    </w:tbl>
    <w:p w14:paraId="47E98FF8">
      <w:pPr>
        <w:spacing w:after="60"/>
      </w:pPr>
    </w:p>
    <w:p w14:paraId="7B4B63AE">
      <w:r>
        <w:br w:type="page"/>
      </w:r>
    </w:p>
    <w:p w14:paraId="71ED8946">
      <w:pPr>
        <w:pStyle w:val="3"/>
        <w:spacing w:before="80" w:after="120"/>
      </w:pPr>
      <w:r>
        <w:rPr>
          <w:rFonts w:ascii="Arial" w:hAnsi="Arial" w:eastAsia="Noto Sans CJK SC"/>
          <w:b/>
          <w:color w:val="1F4E79"/>
          <w:sz w:val="32"/>
        </w:rPr>
        <w:t>04  场景客户打法：不同客户同一个入口，不同路径升级</w:t>
      </w:r>
    </w:p>
    <w:p w14:paraId="6DE823E8">
      <w:pPr>
        <w:spacing w:after="160" w:line="300" w:lineRule="auto"/>
      </w:pPr>
      <w:r>
        <w:rPr>
          <w:rFonts w:ascii="Arial" w:hAnsi="Arial" w:eastAsia="Noto Sans CJK SC"/>
          <w:b w:val="0"/>
          <w:color w:val="666666"/>
          <w:sz w:val="20"/>
        </w:rPr>
        <w:t>企事业单位、学校、医院等场景要讲清楚痛点、入口和升级路径。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2289"/>
        <w:gridCol w:w="2289"/>
        <w:gridCol w:w="2289"/>
        <w:gridCol w:w="1858"/>
      </w:tblGrid>
      <w:tr w14:paraId="511E4271">
        <w:trPr>
          <w:jc w:val="center"/>
        </w:trPr>
        <w:tc>
          <w:tcPr>
            <w:tcW w:w="17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2F559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A812A9">
            <w:pPr>
              <w:spacing w:after="0" w:line="264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4"/>
              </w:rPr>
              <w:t>客户场景</w:t>
            </w:r>
          </w:p>
        </w:tc>
        <w:tc>
          <w:tcPr>
            <w:tcW w:w="238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2F559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4A4FC0">
            <w:pPr>
              <w:spacing w:after="0" w:line="264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4"/>
              </w:rPr>
              <w:t>核心痛点</w:t>
            </w:r>
          </w:p>
        </w:tc>
        <w:tc>
          <w:tcPr>
            <w:tcW w:w="238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2F559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350AF2">
            <w:pPr>
              <w:spacing w:after="0" w:line="264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4"/>
              </w:rPr>
              <w:t>第一步切入</w:t>
            </w:r>
          </w:p>
        </w:tc>
        <w:tc>
          <w:tcPr>
            <w:tcW w:w="238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2F559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E382DC">
            <w:pPr>
              <w:spacing w:after="0" w:line="264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4"/>
              </w:rPr>
              <w:t>后续升级</w:t>
            </w:r>
          </w:p>
        </w:tc>
        <w:tc>
          <w:tcPr>
            <w:tcW w:w="192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2F559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111FA1">
            <w:pPr>
              <w:spacing w:after="0" w:line="264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4"/>
              </w:rPr>
              <w:t>可讲指标</w:t>
            </w:r>
          </w:p>
        </w:tc>
      </w:tr>
      <w:tr w14:paraId="00944270">
        <w:trPr>
          <w:jc w:val="center"/>
        </w:trPr>
        <w:tc>
          <w:tcPr>
            <w:tcW w:w="17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EEF5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65D6BA">
            <w:pPr>
              <w:spacing w:after="0" w:line="264" w:lineRule="auto"/>
            </w:pPr>
            <w:r>
              <w:rPr>
                <w:rFonts w:ascii="Arial" w:hAnsi="Arial" w:eastAsia="Noto Sans CJK SC"/>
                <w:b/>
                <w:sz w:val="14"/>
              </w:rPr>
              <w:t>企事业单位 / 园区 / 机关</w:t>
            </w:r>
          </w:p>
        </w:tc>
        <w:tc>
          <w:tcPr>
            <w:tcW w:w="238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7B6CA1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4"/>
              </w:rPr>
              <w:t>员工健康、体重管理、就餐满意度、后勤管理效率、福利形象</w:t>
            </w:r>
          </w:p>
        </w:tc>
        <w:tc>
          <w:tcPr>
            <w:tcW w:w="238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D3062A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4"/>
              </w:rPr>
              <w:t>营养氛围改造、职工健康餐、每周菜谱建议、满意度调研</w:t>
            </w:r>
          </w:p>
        </w:tc>
        <w:tc>
          <w:tcPr>
            <w:tcW w:w="238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271400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4"/>
              </w:rPr>
              <w:t>电子</w:t>
            </w:r>
            <w:r>
              <w:rPr>
                <w:rFonts w:hint="eastAsia"/>
                <w:b w:val="0"/>
                <w:sz w:val="14"/>
                <w:lang w:eastAsia="zh-CN"/>
              </w:rPr>
              <w:t>菜牌</w:t>
            </w:r>
            <w:r>
              <w:rPr>
                <w:rFonts w:ascii="Arial" w:hAnsi="Arial" w:eastAsia="Noto Sans CJK SC"/>
                <w:b w:val="0"/>
                <w:sz w:val="14"/>
              </w:rPr>
              <w:t>/消费机、AI 识别、称重台、前厅看板、后厨进销存</w:t>
            </w:r>
          </w:p>
        </w:tc>
        <w:tc>
          <w:tcPr>
            <w:tcW w:w="192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C9B831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4"/>
              </w:rPr>
              <w:t>覆盖员工人数、满意度、健康菜品选择率、消费记录</w:t>
            </w:r>
          </w:p>
        </w:tc>
      </w:tr>
      <w:tr w14:paraId="6CFDF42C">
        <w:trPr>
          <w:jc w:val="center"/>
        </w:trPr>
        <w:tc>
          <w:tcPr>
            <w:tcW w:w="17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EEF5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070778">
            <w:pPr>
              <w:spacing w:after="0" w:line="264" w:lineRule="auto"/>
            </w:pPr>
            <w:r>
              <w:rPr>
                <w:rFonts w:ascii="Arial" w:hAnsi="Arial" w:eastAsia="Noto Sans CJK SC"/>
                <w:b/>
                <w:sz w:val="14"/>
              </w:rPr>
              <w:t>学校 / 教育系统</w:t>
            </w:r>
          </w:p>
        </w:tc>
        <w:tc>
          <w:tcPr>
            <w:tcW w:w="238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C98B9D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4"/>
              </w:rPr>
              <w:t>学生成长餐、膳食均衡、家校沟通、监管合规、招投标标准化</w:t>
            </w:r>
          </w:p>
        </w:tc>
        <w:tc>
          <w:tcPr>
            <w:tcW w:w="238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C7FBB0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4"/>
              </w:rPr>
              <w:t>学生成长餐菜谱建议、营养宣教、健康食堂氛围、菜品营养标签</w:t>
            </w:r>
          </w:p>
        </w:tc>
        <w:tc>
          <w:tcPr>
            <w:tcW w:w="238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A7A390">
            <w:pPr>
              <w:spacing w:after="0" w:line="264" w:lineRule="auto"/>
            </w:pPr>
            <w:r>
              <w:rPr>
                <w:rFonts w:hint="eastAsia"/>
                <w:b w:val="0"/>
                <w:sz w:val="14"/>
                <w:lang w:eastAsia="zh-CN"/>
              </w:rPr>
              <w:t>电子价签</w:t>
            </w:r>
            <w:r>
              <w:rPr>
                <w:rFonts w:ascii="Arial" w:hAnsi="Arial" w:eastAsia="Noto Sans CJK SC"/>
                <w:b w:val="0"/>
                <w:sz w:val="14"/>
              </w:rPr>
              <w:t>、营养屏、小碗菜识别、食安台账、监管报表</w:t>
            </w:r>
          </w:p>
        </w:tc>
        <w:tc>
          <w:tcPr>
            <w:tcW w:w="192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D08151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4"/>
              </w:rPr>
              <w:t>覆盖学生人数、校区点位、菜单建议次数、食安台账</w:t>
            </w:r>
          </w:p>
        </w:tc>
      </w:tr>
      <w:tr w14:paraId="4307DFD6">
        <w:trPr>
          <w:jc w:val="center"/>
        </w:trPr>
        <w:tc>
          <w:tcPr>
            <w:tcW w:w="17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EEF5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F6FDF1">
            <w:pPr>
              <w:spacing w:after="0" w:line="264" w:lineRule="auto"/>
            </w:pPr>
            <w:r>
              <w:rPr>
                <w:rFonts w:ascii="Arial" w:hAnsi="Arial" w:eastAsia="Noto Sans CJK SC"/>
                <w:b/>
                <w:sz w:val="14"/>
              </w:rPr>
              <w:t>医院 / 医疗机构</w:t>
            </w:r>
          </w:p>
        </w:tc>
        <w:tc>
          <w:tcPr>
            <w:tcW w:w="238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37B56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4"/>
              </w:rPr>
              <w:t>患者膳食、职工餐、特殊人群营养、营养科协同、食安合规</w:t>
            </w:r>
          </w:p>
        </w:tc>
        <w:tc>
          <w:tcPr>
            <w:tcW w:w="238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A431FD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4"/>
              </w:rPr>
              <w:t>菜谱营养建议、营养标签、低盐/控糖/高蛋白主题菜单</w:t>
            </w:r>
          </w:p>
        </w:tc>
        <w:tc>
          <w:tcPr>
            <w:tcW w:w="238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9E044E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4"/>
              </w:rPr>
              <w:t>电子</w:t>
            </w:r>
            <w:r>
              <w:rPr>
                <w:rFonts w:hint="eastAsia"/>
                <w:b w:val="0"/>
                <w:sz w:val="14"/>
                <w:lang w:eastAsia="zh-CN"/>
              </w:rPr>
              <w:t>菜牌</w:t>
            </w:r>
            <w:r>
              <w:rPr>
                <w:rFonts w:ascii="Arial" w:hAnsi="Arial" w:eastAsia="Noto Sans CJK SC"/>
                <w:b w:val="0"/>
                <w:sz w:val="14"/>
              </w:rPr>
              <w:t>、消费机、个性化营养识别、后厨食安管理</w:t>
            </w:r>
          </w:p>
        </w:tc>
        <w:tc>
          <w:tcPr>
            <w:tcW w:w="192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6D451C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4"/>
              </w:rPr>
              <w:t>覆盖职工/患者餐人群、营养菜单数、特殊膳食记录</w:t>
            </w:r>
          </w:p>
        </w:tc>
      </w:tr>
      <w:tr w14:paraId="7AE85150">
        <w:trPr>
          <w:jc w:val="center"/>
        </w:trPr>
        <w:tc>
          <w:tcPr>
            <w:tcW w:w="17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EEF5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724C92">
            <w:pPr>
              <w:spacing w:after="0" w:line="264" w:lineRule="auto"/>
            </w:pPr>
            <w:r>
              <w:rPr>
                <w:rFonts w:ascii="Arial" w:hAnsi="Arial" w:eastAsia="Noto Sans CJK SC"/>
                <w:b/>
                <w:sz w:val="14"/>
              </w:rPr>
              <w:t>养老机构</w:t>
            </w:r>
          </w:p>
        </w:tc>
        <w:tc>
          <w:tcPr>
            <w:tcW w:w="238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97F071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4"/>
              </w:rPr>
              <w:t>慢病管理、低盐低脂、易消化餐、老人饮食记录、护理协同</w:t>
            </w:r>
          </w:p>
        </w:tc>
        <w:tc>
          <w:tcPr>
            <w:tcW w:w="238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79DF41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4"/>
              </w:rPr>
              <w:t>低盐易消化菜单建议、营养宣教、周期性菜谱优化</w:t>
            </w:r>
          </w:p>
        </w:tc>
        <w:tc>
          <w:tcPr>
            <w:tcW w:w="238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2313AE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4"/>
              </w:rPr>
              <w:t>小碗菜识别、称重台、个人营养记录、后厨食安</w:t>
            </w:r>
          </w:p>
        </w:tc>
        <w:tc>
          <w:tcPr>
            <w:tcW w:w="192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C8F2CF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4"/>
              </w:rPr>
              <w:t>覆盖老人数量、个性化餐食记录、营养异常提醒</w:t>
            </w:r>
          </w:p>
        </w:tc>
      </w:tr>
      <w:tr w14:paraId="31A6EBCE">
        <w:trPr>
          <w:jc w:val="center"/>
        </w:trPr>
        <w:tc>
          <w:tcPr>
            <w:tcW w:w="17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EEF5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1CD02D">
            <w:pPr>
              <w:spacing w:after="0" w:line="264" w:lineRule="auto"/>
            </w:pPr>
            <w:r>
              <w:rPr>
                <w:rFonts w:ascii="Arial" w:hAnsi="Arial" w:eastAsia="Noto Sans CJK SC"/>
                <w:b/>
                <w:sz w:val="14"/>
              </w:rPr>
              <w:t>机场 / 能源 / 大型集团</w:t>
            </w:r>
          </w:p>
        </w:tc>
        <w:tc>
          <w:tcPr>
            <w:tcW w:w="238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1F41AF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4"/>
              </w:rPr>
              <w:t>多点位标准化、结算效率、后厨成本、食安监管、集团级看板</w:t>
            </w:r>
          </w:p>
        </w:tc>
        <w:tc>
          <w:tcPr>
            <w:tcW w:w="238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C98E6A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4"/>
              </w:rPr>
              <w:t>集团健康食堂方案、点位轻诊断、菜单和氛围标准包</w:t>
            </w:r>
          </w:p>
        </w:tc>
        <w:tc>
          <w:tcPr>
            <w:tcW w:w="238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B369DD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4"/>
              </w:rPr>
              <w:t>消费机、AI 识别、称重台、进销存、集团级管理看板</w:t>
            </w:r>
          </w:p>
        </w:tc>
        <w:tc>
          <w:tcPr>
            <w:tcW w:w="192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B39595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4"/>
              </w:rPr>
              <w:t>点位数、就餐人群数、交易记录、集团报表</w:t>
            </w:r>
          </w:p>
        </w:tc>
      </w:tr>
    </w:tbl>
    <w:p w14:paraId="439BC416">
      <w:pPr>
        <w:spacing w:after="80"/>
      </w:pPr>
    </w:p>
    <w:p w14:paraId="0354A385">
      <w:pPr>
        <w:pStyle w:val="4"/>
        <w:spacing w:after="100" w:line="300" w:lineRule="auto"/>
      </w:pPr>
      <w:r>
        <w:rPr>
          <w:rFonts w:ascii="Arial" w:hAnsi="Arial" w:eastAsia="Noto Sans CJK SC"/>
          <w:b w:val="0"/>
          <w:sz w:val="21"/>
        </w:rPr>
        <w:t>场景端汇报口径：</w:t>
      </w:r>
    </w:p>
    <w:p w14:paraId="37118532">
      <w:pPr>
        <w:spacing w:after="100" w:line="300" w:lineRule="auto"/>
      </w:pPr>
      <w:r>
        <w:rPr>
          <w:rFonts w:ascii="Arial" w:hAnsi="Arial" w:eastAsia="Noto Sans CJK SC"/>
          <w:b w:val="0"/>
          <w:sz w:val="20"/>
        </w:rPr>
        <w:t>我们面对的不只是“一个食堂”，而是不同组织背后的高频就餐人群。企事业单位背后是员工，学校背后是学生，医院背后是患者和职工，养老机构背后是老人，集团客户背后是多点位人群。我们的 ToB 销售入口最终对应的是可持续触达的终端人群规模，这也是资本市场更容易理解的增长逻辑。</w:t>
      </w:r>
    </w:p>
    <w:p w14:paraId="3DE502DD">
      <w:r>
        <w:br w:type="page"/>
      </w:r>
    </w:p>
    <w:p w14:paraId="188E3073">
      <w:pPr>
        <w:pStyle w:val="3"/>
        <w:spacing w:before="80" w:after="120"/>
      </w:pPr>
      <w:r>
        <w:rPr>
          <w:rFonts w:ascii="Arial" w:hAnsi="Arial" w:eastAsia="Noto Sans CJK SC"/>
          <w:b/>
          <w:color w:val="1F4E79"/>
          <w:sz w:val="32"/>
        </w:rPr>
        <w:t>05  渠道合作打法：场景端抓需求，渠道端抓放量</w:t>
      </w:r>
    </w:p>
    <w:p w14:paraId="15989720">
      <w:pPr>
        <w:spacing w:after="160" w:line="300" w:lineRule="auto"/>
      </w:pPr>
      <w:r>
        <w:rPr>
          <w:rFonts w:ascii="Arial" w:hAnsi="Arial" w:eastAsia="Noto Sans CJK SC"/>
          <w:b w:val="0"/>
          <w:color w:val="666666"/>
          <w:sz w:val="20"/>
        </w:rPr>
        <w:t>集成公司、团餐公司、厨具公司不是简单分销对象，而是共同放大市场覆盖率的合作伙伴。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986"/>
        <w:gridCol w:w="1986"/>
        <w:gridCol w:w="2806"/>
        <w:gridCol w:w="2041"/>
      </w:tblGrid>
      <w:tr w14:paraId="3A63C0D4">
        <w:trPr>
          <w:jc w:val="center"/>
        </w:trPr>
        <w:tc>
          <w:tcPr>
            <w:tcW w:w="158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2F559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174760">
            <w:pPr>
              <w:spacing w:after="0" w:line="264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4"/>
              </w:rPr>
              <w:t>渠道类型</w:t>
            </w:r>
          </w:p>
        </w:tc>
        <w:tc>
          <w:tcPr>
            <w:tcW w:w="204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2F559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D4C4F5">
            <w:pPr>
              <w:spacing w:after="0" w:line="264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4"/>
              </w:rPr>
              <w:t>他们原有优势</w:t>
            </w:r>
          </w:p>
        </w:tc>
        <w:tc>
          <w:tcPr>
            <w:tcW w:w="204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2F559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9F3EC">
            <w:pPr>
              <w:spacing w:after="0" w:line="264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4"/>
              </w:rPr>
              <w:t>他们的痛点</w:t>
            </w:r>
          </w:p>
        </w:tc>
        <w:tc>
          <w:tcPr>
            <w:tcW w:w="289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2F559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4A478B">
            <w:pPr>
              <w:spacing w:after="0" w:line="264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4"/>
              </w:rPr>
              <w:t>我们提供的利益点</w:t>
            </w:r>
          </w:p>
        </w:tc>
        <w:tc>
          <w:tcPr>
            <w:tcW w:w="20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2F559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5EB490">
            <w:pPr>
              <w:spacing w:after="0" w:line="264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4"/>
              </w:rPr>
              <w:t>合作方式</w:t>
            </w:r>
          </w:p>
        </w:tc>
      </w:tr>
      <w:tr w14:paraId="05C881EE">
        <w:trPr>
          <w:jc w:val="center"/>
        </w:trPr>
        <w:tc>
          <w:tcPr>
            <w:tcW w:w="158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EEF5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493B92">
            <w:pPr>
              <w:spacing w:after="0" w:line="264" w:lineRule="auto"/>
            </w:pPr>
            <w:r>
              <w:rPr>
                <w:rFonts w:ascii="Arial" w:hAnsi="Arial" w:eastAsia="Noto Sans CJK SC"/>
                <w:b/>
                <w:sz w:val="14"/>
              </w:rPr>
              <w:t>系统集成公司</w:t>
            </w:r>
          </w:p>
        </w:tc>
        <w:tc>
          <w:tcPr>
            <w:tcW w:w="204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FB5A82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4"/>
              </w:rPr>
              <w:t>项目资源、招投标能力、客户关系、交付组织能力</w:t>
            </w:r>
          </w:p>
        </w:tc>
        <w:tc>
          <w:tcPr>
            <w:tcW w:w="204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72BC45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4"/>
              </w:rPr>
              <w:t>项目周期长、方案同质化、缺少轻量售前抓手和运营型产品</w:t>
            </w:r>
          </w:p>
        </w:tc>
        <w:tc>
          <w:tcPr>
            <w:tcW w:w="289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7EBE1B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4"/>
              </w:rPr>
              <w:t>提供营养轻服务、电子</w:t>
            </w:r>
            <w:r>
              <w:rPr>
                <w:rFonts w:hint="eastAsia"/>
                <w:b w:val="0"/>
                <w:sz w:val="14"/>
                <w:lang w:eastAsia="zh-CN"/>
              </w:rPr>
              <w:t>菜牌</w:t>
            </w:r>
            <w:r>
              <w:rPr>
                <w:rFonts w:ascii="Arial" w:hAnsi="Arial" w:eastAsia="Noto Sans CJK SC"/>
                <w:b w:val="0"/>
                <w:sz w:val="14"/>
              </w:rPr>
              <w:t>/消费机、AI 识别、后厨系统，增强投标方案完整度，提高中标率和客单价</w:t>
            </w:r>
          </w:p>
        </w:tc>
        <w:tc>
          <w:tcPr>
            <w:tcW w:w="20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E42FDC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4"/>
              </w:rPr>
              <w:t>联合售前、联合投标、产品嵌入、项目分成、区域合作</w:t>
            </w:r>
          </w:p>
        </w:tc>
      </w:tr>
      <w:tr w14:paraId="7B7753EE">
        <w:trPr>
          <w:jc w:val="center"/>
        </w:trPr>
        <w:tc>
          <w:tcPr>
            <w:tcW w:w="158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EEF5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DBA88F">
            <w:pPr>
              <w:spacing w:after="0" w:line="264" w:lineRule="auto"/>
            </w:pPr>
            <w:r>
              <w:rPr>
                <w:rFonts w:ascii="Arial" w:hAnsi="Arial" w:eastAsia="Noto Sans CJK SC"/>
                <w:b/>
                <w:sz w:val="14"/>
              </w:rPr>
              <w:t>团餐公司</w:t>
            </w:r>
          </w:p>
        </w:tc>
        <w:tc>
          <w:tcPr>
            <w:tcW w:w="204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5DC5D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4"/>
              </w:rPr>
              <w:t>掌握食堂日常运营、与甲方关系密切、了解菜单和就餐人群</w:t>
            </w:r>
          </w:p>
        </w:tc>
        <w:tc>
          <w:tcPr>
            <w:tcW w:w="204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51A7B2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4"/>
              </w:rPr>
              <w:t>续约压力、服务同质化、客户要求健康食堂和数字化管理</w:t>
            </w:r>
          </w:p>
        </w:tc>
        <w:tc>
          <w:tcPr>
            <w:tcW w:w="289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0DD8C1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4"/>
              </w:rPr>
              <w:t>提供营养菜谱建议、健康主题活动、电子</w:t>
            </w:r>
            <w:r>
              <w:rPr>
                <w:rFonts w:hint="eastAsia"/>
                <w:b w:val="0"/>
                <w:sz w:val="14"/>
                <w:lang w:eastAsia="zh-CN"/>
              </w:rPr>
              <w:t>菜牌</w:t>
            </w:r>
            <w:r>
              <w:rPr>
                <w:rFonts w:ascii="Arial" w:hAnsi="Arial" w:eastAsia="Noto Sans CJK SC"/>
                <w:b w:val="0"/>
                <w:sz w:val="14"/>
              </w:rPr>
              <w:t>、满意度调研、数据看板，帮助其提升续约率和服务溢价</w:t>
            </w:r>
          </w:p>
        </w:tc>
        <w:tc>
          <w:tcPr>
            <w:tcW w:w="20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D6F018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4"/>
              </w:rPr>
              <w:t>团餐增值服务包、驻场运营工具、客户联合拜访、按点位/服务费合作</w:t>
            </w:r>
          </w:p>
        </w:tc>
      </w:tr>
      <w:tr w14:paraId="26B8730C">
        <w:trPr>
          <w:jc w:val="center"/>
        </w:trPr>
        <w:tc>
          <w:tcPr>
            <w:tcW w:w="158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EEF5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CF66E9">
            <w:pPr>
              <w:spacing w:after="0" w:line="264" w:lineRule="auto"/>
            </w:pPr>
            <w:r>
              <w:rPr>
                <w:rFonts w:ascii="Arial" w:hAnsi="Arial" w:eastAsia="Noto Sans CJK SC"/>
                <w:b/>
                <w:sz w:val="14"/>
              </w:rPr>
              <w:t>厨具公司 / 厨房工程公司</w:t>
            </w:r>
          </w:p>
        </w:tc>
        <w:tc>
          <w:tcPr>
            <w:tcW w:w="204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6683FA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4"/>
              </w:rPr>
              <w:t>设备销售、厨房改造、后厨工程、项目施工能力</w:t>
            </w:r>
          </w:p>
        </w:tc>
        <w:tc>
          <w:tcPr>
            <w:tcW w:w="204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802ED6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4"/>
              </w:rPr>
              <w:t>单纯卖硬件利润受压，缺少数字化和持续服务能力</w:t>
            </w:r>
          </w:p>
        </w:tc>
        <w:tc>
          <w:tcPr>
            <w:tcW w:w="289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11C452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4"/>
              </w:rPr>
              <w:t>把厨具设备升级为“设备 + 数字化 + 食安 + 进销存”综合方案，提升项目客单价和复购机会</w:t>
            </w:r>
          </w:p>
        </w:tc>
        <w:tc>
          <w:tcPr>
            <w:tcW w:w="20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89154B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4"/>
              </w:rPr>
              <w:t>设备捆绑、数字化升级包、项目配套、联合交付</w:t>
            </w:r>
          </w:p>
        </w:tc>
      </w:tr>
      <w:tr w14:paraId="72826541">
        <w:trPr>
          <w:jc w:val="center"/>
        </w:trPr>
        <w:tc>
          <w:tcPr>
            <w:tcW w:w="158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EEF5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995636">
            <w:pPr>
              <w:spacing w:after="0" w:line="264" w:lineRule="auto"/>
            </w:pPr>
            <w:r>
              <w:rPr>
                <w:rFonts w:ascii="Arial" w:hAnsi="Arial" w:eastAsia="Noto Sans CJK SC"/>
                <w:b/>
                <w:sz w:val="14"/>
              </w:rPr>
              <w:t>消费机 / 设备代理商</w:t>
            </w:r>
          </w:p>
        </w:tc>
        <w:tc>
          <w:tcPr>
            <w:tcW w:w="204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A291A0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4"/>
              </w:rPr>
              <w:t>已有终端客户和设备安装基础</w:t>
            </w:r>
          </w:p>
        </w:tc>
        <w:tc>
          <w:tcPr>
            <w:tcW w:w="204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4AC0CB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4"/>
              </w:rPr>
              <w:t>老客户升级空间有限，设备替换缺少新价值</w:t>
            </w:r>
          </w:p>
        </w:tc>
        <w:tc>
          <w:tcPr>
            <w:tcW w:w="289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068BAD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4"/>
              </w:rPr>
              <w:t>把消费机升级为营养信息触达、菜品展示和消费数据入口，形成替换和升级理由</w:t>
            </w:r>
          </w:p>
        </w:tc>
        <w:tc>
          <w:tcPr>
            <w:tcW w:w="20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CF4AA6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4"/>
              </w:rPr>
              <w:t>老客户升级、区域代理、设备换新、数据服务分成</w:t>
            </w:r>
          </w:p>
        </w:tc>
      </w:tr>
      <w:tr w14:paraId="4EA04267">
        <w:trPr>
          <w:jc w:val="center"/>
        </w:trPr>
        <w:tc>
          <w:tcPr>
            <w:tcW w:w="158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EEF5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69B7DA">
            <w:pPr>
              <w:spacing w:after="0" w:line="264" w:lineRule="auto"/>
            </w:pPr>
            <w:r>
              <w:rPr>
                <w:rFonts w:ascii="Arial" w:hAnsi="Arial" w:eastAsia="Noto Sans CJK SC"/>
                <w:b/>
                <w:sz w:val="14"/>
              </w:rPr>
              <w:t>营养研究院 / 专业机构</w:t>
            </w:r>
          </w:p>
        </w:tc>
        <w:tc>
          <w:tcPr>
            <w:tcW w:w="204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5F92F1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4"/>
              </w:rPr>
              <w:t>专业背书、营养知识体系、专家资源</w:t>
            </w:r>
          </w:p>
        </w:tc>
        <w:tc>
          <w:tcPr>
            <w:tcW w:w="204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F2B1EA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4"/>
              </w:rPr>
              <w:t>缺少规模化触达客户和产品化落地渠道</w:t>
            </w:r>
          </w:p>
        </w:tc>
        <w:tc>
          <w:tcPr>
            <w:tcW w:w="289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1D370D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4"/>
              </w:rPr>
              <w:t>将营养建议标准化、模板化、AI 化，提升客户信任度和服务专业性</w:t>
            </w:r>
          </w:p>
        </w:tc>
        <w:tc>
          <w:tcPr>
            <w:tcW w:w="20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C81C0A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4"/>
              </w:rPr>
              <w:t>内容共创、专家背书、标准菜谱库、AI 模型训练支持</w:t>
            </w:r>
          </w:p>
        </w:tc>
      </w:tr>
    </w:tbl>
    <w:p w14:paraId="0527E24F">
      <w:pPr>
        <w:spacing w:after="80"/>
      </w:pPr>
    </w:p>
    <w:tbl>
      <w:tblPr>
        <w:tblStyle w:val="3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0"/>
      </w:tblGrid>
      <w:tr w14:paraId="40D22ACC">
        <w:trPr>
          <w:jc w:val="center"/>
        </w:trPr>
        <w:tc>
          <w:tcPr>
            <w:tcW w:w="10200" w:type="dxa"/>
            <w:tcBorders>
              <w:top w:val="single" w:color="9ECAE1" w:sz="8" w:space="0"/>
              <w:left w:val="single" w:color="9ECAE1" w:sz="8" w:space="0"/>
              <w:bottom w:val="single" w:color="9ECAE1" w:sz="8" w:space="0"/>
              <w:right w:val="single" w:color="9ECAE1" w:sz="8" w:space="0"/>
            </w:tcBorders>
            <w:shd w:val="clear" w:color="auto" w:fill="F8F9FA"/>
          </w:tcPr>
          <w:p w14:paraId="3BF13F9B">
            <w:pPr>
              <w:spacing w:after="60"/>
            </w:pPr>
            <w:r>
              <w:rPr>
                <w:rFonts w:ascii="Arial" w:hAnsi="Arial" w:eastAsia="Noto Sans CJK SC"/>
                <w:b/>
                <w:color w:val="2F5597"/>
                <w:sz w:val="21"/>
              </w:rPr>
              <w:t>渠道合作总口径</w:t>
            </w:r>
          </w:p>
          <w:p w14:paraId="4A0C7502">
            <w:pPr>
              <w:spacing w:after="0" w:line="276" w:lineRule="auto"/>
            </w:pPr>
            <w:r>
              <w:rPr>
                <w:rFonts w:ascii="Arial" w:hAnsi="Arial" w:eastAsia="Noto Sans CJK SC"/>
                <w:color w:val="222222"/>
                <w:sz w:val="19"/>
              </w:rPr>
              <w:t>我们给渠道商的不是一个单点硬件，而是一整套从轻服务到重系统的客户升级路径。</w:t>
            </w:r>
            <w:r>
              <w:br w:type="textWrapping"/>
            </w:r>
            <w:r>
              <w:rPr>
                <w:rFonts w:ascii="Arial" w:hAnsi="Arial" w:eastAsia="Noto Sans CJK SC"/>
                <w:color w:val="222222"/>
                <w:sz w:val="19"/>
              </w:rPr>
              <w:t>对集成公司：提升投标竞争力和项目客单价。</w:t>
            </w:r>
            <w:r>
              <w:br w:type="textWrapping"/>
            </w:r>
            <w:r>
              <w:rPr>
                <w:rFonts w:ascii="Arial" w:hAnsi="Arial" w:eastAsia="Noto Sans CJK SC"/>
                <w:color w:val="222222"/>
                <w:sz w:val="19"/>
              </w:rPr>
              <w:t>对团餐公司：提升客户续约能力、服务差异化和运营数据能力。</w:t>
            </w:r>
            <w:r>
              <w:br w:type="textWrapping"/>
            </w:r>
            <w:r>
              <w:rPr>
                <w:rFonts w:ascii="Arial" w:hAnsi="Arial" w:eastAsia="Noto Sans CJK SC"/>
                <w:color w:val="222222"/>
                <w:sz w:val="19"/>
              </w:rPr>
              <w:t>对厨具公司：从卖设备升级为卖数字化厨房和食安管理方案。</w:t>
            </w:r>
            <w:r>
              <w:br w:type="textWrapping"/>
            </w:r>
            <w:r>
              <w:rPr>
                <w:rFonts w:ascii="Arial" w:hAnsi="Arial" w:eastAsia="Noto Sans CJK SC"/>
                <w:color w:val="222222"/>
                <w:sz w:val="19"/>
              </w:rPr>
              <w:t>渠道商帮我们扩大客户覆盖，我们帮渠道商提高方案价值和客户粘性。</w:t>
            </w:r>
          </w:p>
        </w:tc>
      </w:tr>
    </w:tbl>
    <w:p w14:paraId="14B97C71">
      <w:pPr>
        <w:spacing w:after="60"/>
      </w:pPr>
    </w:p>
    <w:p w14:paraId="6D5B4102">
      <w:r>
        <w:br w:type="page"/>
      </w:r>
    </w:p>
    <w:p w14:paraId="094D44E9">
      <w:pPr>
        <w:pStyle w:val="3"/>
        <w:spacing w:before="80" w:after="120"/>
      </w:pPr>
      <w:r>
        <w:rPr>
          <w:rFonts w:ascii="Arial" w:hAnsi="Arial" w:eastAsia="Noto Sans CJK SC"/>
          <w:b/>
          <w:color w:val="1F4E79"/>
          <w:sz w:val="32"/>
        </w:rPr>
        <w:t>06  指标体系与资本市场表达</w:t>
      </w:r>
    </w:p>
    <w:p w14:paraId="6D625C61">
      <w:pPr>
        <w:spacing w:after="160" w:line="300" w:lineRule="auto"/>
      </w:pPr>
      <w:r>
        <w:rPr>
          <w:rFonts w:ascii="Arial" w:hAnsi="Arial" w:eastAsia="Noto Sans CJK SC"/>
          <w:b w:val="0"/>
          <w:color w:val="666666"/>
          <w:sz w:val="20"/>
        </w:rPr>
        <w:t>把业务讲成覆盖能力、转化能力、人群规模和数据资产，而不是单个项目收入。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1"/>
        <w:gridCol w:w="2268"/>
        <w:gridCol w:w="3288"/>
        <w:gridCol w:w="1928"/>
      </w:tblGrid>
      <w:tr w14:paraId="0E587F0A">
        <w:trPr>
          <w:jc w:val="center"/>
        </w:trPr>
        <w:tc>
          <w:tcPr>
            <w:tcW w:w="153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2F559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93E69B">
            <w:pPr>
              <w:spacing w:after="0" w:line="264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5"/>
              </w:rPr>
              <w:t>漏斗阶段</w:t>
            </w:r>
          </w:p>
        </w:tc>
        <w:tc>
          <w:tcPr>
            <w:tcW w:w="226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2F559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32DA5A">
            <w:pPr>
              <w:spacing w:after="0" w:line="264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5"/>
              </w:rPr>
              <w:t>建议目标口径</w:t>
            </w:r>
          </w:p>
        </w:tc>
        <w:tc>
          <w:tcPr>
            <w:tcW w:w="328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2F559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ACBD9A">
            <w:pPr>
              <w:spacing w:after="0" w:line="264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5"/>
              </w:rPr>
              <w:t>对应动作</w:t>
            </w:r>
          </w:p>
        </w:tc>
        <w:tc>
          <w:tcPr>
            <w:tcW w:w="192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2F559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BF7211">
            <w:pPr>
              <w:spacing w:after="0" w:line="264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5"/>
              </w:rPr>
              <w:t>管理重点</w:t>
            </w:r>
          </w:p>
        </w:tc>
      </w:tr>
      <w:tr w14:paraId="1649DA55">
        <w:trPr>
          <w:jc w:val="center"/>
        </w:trPr>
        <w:tc>
          <w:tcPr>
            <w:tcW w:w="153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EEF5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C854B0">
            <w:pPr>
              <w:spacing w:after="0" w:line="264" w:lineRule="auto"/>
            </w:pPr>
            <w:r>
              <w:rPr>
                <w:rFonts w:ascii="Arial" w:hAnsi="Arial" w:eastAsia="Noto Sans CJK SC"/>
                <w:b/>
                <w:sz w:val="15"/>
              </w:rPr>
              <w:t>1. 市场触达</w:t>
            </w:r>
          </w:p>
        </w:tc>
        <w:tc>
          <w:tcPr>
            <w:tcW w:w="226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9CDC6C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年内触达【300】家 ToB 客户</w:t>
            </w:r>
          </w:p>
        </w:tc>
        <w:tc>
          <w:tcPr>
            <w:tcW w:w="328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E5C65E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发送氛围方案、菜谱建议、健康食堂方案、客户拜访</w:t>
            </w:r>
          </w:p>
        </w:tc>
        <w:tc>
          <w:tcPr>
            <w:tcW w:w="192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BEB7F1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覆盖率</w:t>
            </w:r>
          </w:p>
        </w:tc>
      </w:tr>
      <w:tr w14:paraId="4FF3F8AB">
        <w:trPr>
          <w:jc w:val="center"/>
        </w:trPr>
        <w:tc>
          <w:tcPr>
            <w:tcW w:w="153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EEF5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6D7021">
            <w:pPr>
              <w:spacing w:after="0" w:line="264" w:lineRule="auto"/>
            </w:pPr>
            <w:r>
              <w:rPr>
                <w:rFonts w:ascii="Arial" w:hAnsi="Arial" w:eastAsia="Noto Sans CJK SC"/>
                <w:b/>
                <w:sz w:val="15"/>
              </w:rPr>
              <w:t>2. 点位覆盖</w:t>
            </w:r>
          </w:p>
        </w:tc>
        <w:tc>
          <w:tcPr>
            <w:tcW w:w="226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B3E9BD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覆盖【500】个食堂点位</w:t>
            </w:r>
          </w:p>
        </w:tc>
        <w:tc>
          <w:tcPr>
            <w:tcW w:w="328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DE235A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按学校校区、园区餐厅、医院院区、集团项目点位统计</w:t>
            </w:r>
          </w:p>
        </w:tc>
        <w:tc>
          <w:tcPr>
            <w:tcW w:w="192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57D3D4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可复制规模</w:t>
            </w:r>
          </w:p>
        </w:tc>
      </w:tr>
      <w:tr w14:paraId="66A7C256">
        <w:trPr>
          <w:jc w:val="center"/>
        </w:trPr>
        <w:tc>
          <w:tcPr>
            <w:tcW w:w="153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EEF5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FB3D7B">
            <w:pPr>
              <w:spacing w:after="0" w:line="264" w:lineRule="auto"/>
            </w:pPr>
            <w:r>
              <w:rPr>
                <w:rFonts w:ascii="Arial" w:hAnsi="Arial" w:eastAsia="Noto Sans CJK SC"/>
                <w:b/>
                <w:sz w:val="15"/>
              </w:rPr>
              <w:t>3. 人群覆盖</w:t>
            </w:r>
          </w:p>
        </w:tc>
        <w:tc>
          <w:tcPr>
            <w:tcW w:w="226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BA792B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潜在覆盖【40 万-50 万】就餐人群</w:t>
            </w:r>
          </w:p>
        </w:tc>
        <w:tc>
          <w:tcPr>
            <w:tcW w:w="328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8BE781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按每点位【800-1000】人估算，后续用消费/识别数据校准</w:t>
            </w:r>
          </w:p>
        </w:tc>
        <w:tc>
          <w:tcPr>
            <w:tcW w:w="192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1E049F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终端人群触达</w:t>
            </w:r>
          </w:p>
        </w:tc>
      </w:tr>
      <w:tr w14:paraId="0853DEB3">
        <w:trPr>
          <w:jc w:val="center"/>
        </w:trPr>
        <w:tc>
          <w:tcPr>
            <w:tcW w:w="153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EEF5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498DA1">
            <w:pPr>
              <w:spacing w:after="0" w:line="264" w:lineRule="auto"/>
            </w:pPr>
            <w:r>
              <w:rPr>
                <w:rFonts w:ascii="Arial" w:hAnsi="Arial" w:eastAsia="Noto Sans CJK SC"/>
                <w:b/>
                <w:sz w:val="15"/>
              </w:rPr>
              <w:t>4. 有效建联</w:t>
            </w:r>
          </w:p>
        </w:tc>
        <w:tc>
          <w:tcPr>
            <w:tcW w:w="226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618B74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【100】家客户进入每周菜谱建议或营养宣教服务</w:t>
            </w:r>
          </w:p>
        </w:tc>
        <w:tc>
          <w:tcPr>
            <w:tcW w:w="328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9F1E28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形成周期性菜单、活动、调研和运营诊断</w:t>
            </w:r>
          </w:p>
        </w:tc>
        <w:tc>
          <w:tcPr>
            <w:tcW w:w="192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CF3DD3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客户关系深度</w:t>
            </w:r>
          </w:p>
        </w:tc>
      </w:tr>
      <w:tr w14:paraId="095E426D">
        <w:trPr>
          <w:jc w:val="center"/>
        </w:trPr>
        <w:tc>
          <w:tcPr>
            <w:tcW w:w="153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EEF5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1E211F">
            <w:pPr>
              <w:spacing w:after="0" w:line="264" w:lineRule="auto"/>
            </w:pPr>
            <w:r>
              <w:rPr>
                <w:rFonts w:ascii="Arial" w:hAnsi="Arial" w:eastAsia="Noto Sans CJK SC"/>
                <w:b/>
                <w:sz w:val="15"/>
              </w:rPr>
              <w:t>5. 轻量成交</w:t>
            </w:r>
          </w:p>
        </w:tc>
        <w:tc>
          <w:tcPr>
            <w:tcW w:w="226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6E02D8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【50】家客户落地电子</w:t>
            </w:r>
            <w:r>
              <w:rPr>
                <w:rFonts w:hint="eastAsia"/>
                <w:b w:val="0"/>
                <w:sz w:val="15"/>
                <w:lang w:eastAsia="zh-CN"/>
              </w:rPr>
              <w:t>菜牌</w:t>
            </w:r>
            <w:r>
              <w:rPr>
                <w:rFonts w:ascii="Arial" w:hAnsi="Arial" w:eastAsia="Noto Sans CJK SC"/>
                <w:b w:val="0"/>
                <w:sz w:val="15"/>
              </w:rPr>
              <w:t>、</w:t>
            </w:r>
            <w:r>
              <w:rPr>
                <w:rFonts w:hint="eastAsia"/>
                <w:b w:val="0"/>
                <w:sz w:val="15"/>
                <w:lang w:eastAsia="zh-CN"/>
              </w:rPr>
              <w:t>电子价签</w:t>
            </w:r>
            <w:r>
              <w:rPr>
                <w:rFonts w:ascii="Arial" w:hAnsi="Arial" w:eastAsia="Noto Sans CJK SC"/>
                <w:b w:val="0"/>
                <w:sz w:val="15"/>
              </w:rPr>
              <w:t>、消费机等</w:t>
            </w:r>
          </w:p>
        </w:tc>
        <w:tc>
          <w:tcPr>
            <w:tcW w:w="328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09DFAC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形成小额快速采购，验证产品化交付</w:t>
            </w:r>
          </w:p>
        </w:tc>
        <w:tc>
          <w:tcPr>
            <w:tcW w:w="192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CEB276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转化率</w:t>
            </w:r>
          </w:p>
        </w:tc>
      </w:tr>
      <w:tr w14:paraId="4834D87B">
        <w:trPr>
          <w:jc w:val="center"/>
        </w:trPr>
        <w:tc>
          <w:tcPr>
            <w:tcW w:w="153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EEF5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6A5A95">
            <w:pPr>
              <w:spacing w:after="0" w:line="264" w:lineRule="auto"/>
            </w:pPr>
            <w:r>
              <w:rPr>
                <w:rFonts w:ascii="Arial" w:hAnsi="Arial" w:eastAsia="Noto Sans CJK SC"/>
                <w:b/>
                <w:sz w:val="15"/>
              </w:rPr>
              <w:t>6. 深度项目</w:t>
            </w:r>
          </w:p>
        </w:tc>
        <w:tc>
          <w:tcPr>
            <w:tcW w:w="226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EE134E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【20】家客户导入 AI 识别、称重台、小碗菜、后厨系统</w:t>
            </w:r>
          </w:p>
        </w:tc>
        <w:tc>
          <w:tcPr>
            <w:tcW w:w="328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1A0DC2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进入核心流程，提升客单价和粘性</w:t>
            </w:r>
          </w:p>
        </w:tc>
        <w:tc>
          <w:tcPr>
            <w:tcW w:w="192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9B1605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客单价与留存</w:t>
            </w:r>
          </w:p>
        </w:tc>
      </w:tr>
      <w:tr w14:paraId="13182001">
        <w:trPr>
          <w:jc w:val="center"/>
        </w:trPr>
        <w:tc>
          <w:tcPr>
            <w:tcW w:w="153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EEF5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043368">
            <w:pPr>
              <w:spacing w:after="0" w:line="264" w:lineRule="auto"/>
            </w:pPr>
            <w:r>
              <w:rPr>
                <w:rFonts w:ascii="Arial" w:hAnsi="Arial" w:eastAsia="Noto Sans CJK SC"/>
                <w:b/>
                <w:sz w:val="15"/>
              </w:rPr>
              <w:t>7. 数据沉淀</w:t>
            </w:r>
          </w:p>
        </w:tc>
        <w:tc>
          <w:tcPr>
            <w:tcW w:w="226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71CA52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形成【】道菜品营养数据、【】万人次消费/识别记录、【】份食安台账</w:t>
            </w:r>
          </w:p>
        </w:tc>
        <w:tc>
          <w:tcPr>
            <w:tcW w:w="328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F60CE7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菜品库、营养库、消费记录、识别记录、后厨数据</w:t>
            </w:r>
          </w:p>
        </w:tc>
        <w:tc>
          <w:tcPr>
            <w:tcW w:w="192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C2F0A7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数据资产</w:t>
            </w:r>
          </w:p>
        </w:tc>
      </w:tr>
      <w:tr w14:paraId="79DFBFA1">
        <w:trPr>
          <w:jc w:val="center"/>
        </w:trPr>
        <w:tc>
          <w:tcPr>
            <w:tcW w:w="153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EEF5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3F0915">
            <w:pPr>
              <w:spacing w:after="0" w:line="264" w:lineRule="auto"/>
            </w:pPr>
            <w:r>
              <w:rPr>
                <w:rFonts w:ascii="Arial" w:hAnsi="Arial" w:eastAsia="Noto Sans CJK SC"/>
                <w:b/>
                <w:sz w:val="15"/>
              </w:rPr>
              <w:t>8. 营收目标</w:t>
            </w:r>
          </w:p>
        </w:tc>
        <w:tc>
          <w:tcPr>
            <w:tcW w:w="226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B3D805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支撑全年【2000 万】营收目标</w:t>
            </w:r>
          </w:p>
        </w:tc>
        <w:tc>
          <w:tcPr>
            <w:tcW w:w="328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397D6A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轻服务带覆盖，轻产品带转化，深度项目带收入</w:t>
            </w:r>
          </w:p>
        </w:tc>
        <w:tc>
          <w:tcPr>
            <w:tcW w:w="192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5E9E15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增长闭环</w:t>
            </w:r>
          </w:p>
        </w:tc>
      </w:tr>
    </w:tbl>
    <w:p w14:paraId="63D6F097">
      <w:pPr>
        <w:spacing w:after="80"/>
      </w:pPr>
    </w:p>
    <w:p w14:paraId="00E487BE">
      <w:pPr>
        <w:pStyle w:val="4"/>
        <w:spacing w:after="100" w:line="300" w:lineRule="auto"/>
      </w:pPr>
      <w:r>
        <w:rPr>
          <w:rFonts w:ascii="Arial" w:hAnsi="Arial" w:eastAsia="Noto Sans CJK SC"/>
          <w:b w:val="0"/>
          <w:sz w:val="21"/>
        </w:rPr>
        <w:t>资本市场表达建议：</w:t>
      </w:r>
    </w:p>
    <w:p w14:paraId="48AB57A5">
      <w:pPr>
        <w:spacing w:after="100" w:line="300" w:lineRule="auto"/>
      </w:pPr>
      <w:r>
        <w:rPr>
          <w:rFonts w:ascii="Arial" w:hAnsi="Arial" w:eastAsia="Noto Sans CJK SC"/>
          <w:b w:val="0"/>
          <w:sz w:val="20"/>
        </w:rPr>
        <w:t>我们不是一家单纯卖硬件的公司，也不是一家只做项目交付的系统集成公司。我们的业务本质是：</w:t>
      </w:r>
      <w:r>
        <w:rPr>
          <w:rFonts w:ascii="Arial" w:hAnsi="Arial" w:eastAsia="Noto Sans CJK SC"/>
          <w:b/>
          <w:color w:val="2F5597"/>
          <w:sz w:val="20"/>
        </w:rPr>
        <w:t>通过 ToB 食堂场景进入组织客户，通过营养健康服务建立高频触达，通过电子</w:t>
      </w:r>
      <w:r>
        <w:rPr>
          <w:rFonts w:hint="eastAsia"/>
          <w:b/>
          <w:color w:val="2F5597"/>
          <w:sz w:val="20"/>
          <w:lang w:eastAsia="zh-CN"/>
        </w:rPr>
        <w:t>菜牌</w:t>
      </w:r>
      <w:r>
        <w:rPr>
          <w:rFonts w:ascii="Arial" w:hAnsi="Arial" w:eastAsia="Noto Sans CJK SC"/>
          <w:b/>
          <w:color w:val="2F5597"/>
          <w:sz w:val="20"/>
        </w:rPr>
        <w:t>、消费机、AI 识别、称重台和后厨系统沉淀终端人群饮食数据，最终形成智慧食堂数据化运营平台。</w:t>
      </w:r>
    </w:p>
    <w:p w14:paraId="37FD09E7">
      <w:pPr>
        <w:pStyle w:val="16"/>
        <w:spacing w:after="40" w:line="276" w:lineRule="auto"/>
      </w:pPr>
      <w:r>
        <w:rPr>
          <w:rFonts w:ascii="Arial" w:hAnsi="Arial" w:eastAsia="Noto Sans CJK SC"/>
          <w:sz w:val="19"/>
        </w:rPr>
        <w:t>ToB 客户数体现市场渗透能力。</w:t>
      </w:r>
    </w:p>
    <w:p w14:paraId="36E487A7">
      <w:pPr>
        <w:pStyle w:val="16"/>
        <w:spacing w:after="40" w:line="276" w:lineRule="auto"/>
      </w:pPr>
      <w:r>
        <w:rPr>
          <w:rFonts w:ascii="Arial" w:hAnsi="Arial" w:eastAsia="Noto Sans CJK SC"/>
          <w:sz w:val="19"/>
        </w:rPr>
        <w:t>食堂点位数体现规模化复制能力。</w:t>
      </w:r>
    </w:p>
    <w:p w14:paraId="2652FA25">
      <w:pPr>
        <w:pStyle w:val="16"/>
        <w:spacing w:after="40" w:line="276" w:lineRule="auto"/>
      </w:pPr>
      <w:r>
        <w:rPr>
          <w:rFonts w:ascii="Arial" w:hAnsi="Arial" w:eastAsia="Noto Sans CJK SC"/>
          <w:sz w:val="19"/>
        </w:rPr>
        <w:t>终端就餐人群数体现人群触达能力。</w:t>
      </w:r>
    </w:p>
    <w:p w14:paraId="2470C8D8">
      <w:pPr>
        <w:pStyle w:val="16"/>
        <w:spacing w:after="40" w:line="276" w:lineRule="auto"/>
      </w:pPr>
      <w:r>
        <w:rPr>
          <w:rFonts w:ascii="Arial" w:hAnsi="Arial" w:eastAsia="Noto Sans CJK SC"/>
          <w:sz w:val="19"/>
        </w:rPr>
        <w:t>菜品、营养、消费、识别、食安数据体现长期平台价值。</w:t>
      </w:r>
    </w:p>
    <w:p w14:paraId="16909F09">
      <w:pPr>
        <w:pStyle w:val="16"/>
        <w:spacing w:after="40" w:line="276" w:lineRule="auto"/>
      </w:pPr>
      <w:r>
        <w:rPr>
          <w:rFonts w:ascii="Arial" w:hAnsi="Arial" w:eastAsia="Noto Sans CJK SC"/>
          <w:sz w:val="19"/>
        </w:rPr>
        <w:t>客户从轻服务到轻产品，再到前厅智能和后厨管理的升级路径，体现收入可扩张性。</w:t>
      </w:r>
    </w:p>
    <w:p w14:paraId="00C4042D">
      <w:r>
        <w:br w:type="page"/>
      </w:r>
    </w:p>
    <w:p w14:paraId="08DE87B1">
      <w:pPr>
        <w:pStyle w:val="3"/>
        <w:spacing w:before="80" w:after="120"/>
      </w:pPr>
      <w:r>
        <w:rPr>
          <w:rFonts w:ascii="Arial" w:hAnsi="Arial" w:eastAsia="Noto Sans CJK SC"/>
          <w:b/>
          <w:color w:val="1F4E79"/>
          <w:sz w:val="32"/>
        </w:rPr>
        <w:t>07  落地节奏：30/60/90 天推进计划</w:t>
      </w:r>
    </w:p>
    <w:p w14:paraId="059DCA7D">
      <w:pPr>
        <w:spacing w:after="160" w:line="300" w:lineRule="auto"/>
      </w:pPr>
      <w:r>
        <w:rPr>
          <w:rFonts w:ascii="Arial" w:hAnsi="Arial" w:eastAsia="Noto Sans CJK SC"/>
          <w:b w:val="0"/>
          <w:color w:val="666666"/>
          <w:sz w:val="20"/>
        </w:rPr>
        <w:t>把战略拆成销售能执行、产品能交付、渠道能配合的动作。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984"/>
        <w:gridCol w:w="3969"/>
        <w:gridCol w:w="2835"/>
      </w:tblGrid>
      <w:tr w14:paraId="62ACE43B">
        <w:trPr>
          <w:jc w:val="center"/>
        </w:trPr>
        <w:tc>
          <w:tcPr>
            <w:tcW w:w="14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2F559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86738C">
            <w:pPr>
              <w:spacing w:after="0" w:line="264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5"/>
              </w:rPr>
              <w:t>阶段</w:t>
            </w:r>
          </w:p>
        </w:tc>
        <w:tc>
          <w:tcPr>
            <w:tcW w:w="198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2F559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EFE52B">
            <w:pPr>
              <w:spacing w:after="0" w:line="264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5"/>
              </w:rPr>
              <w:t>核心目标</w:t>
            </w:r>
          </w:p>
        </w:tc>
        <w:tc>
          <w:tcPr>
            <w:tcW w:w="396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2F559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D55109">
            <w:pPr>
              <w:spacing w:after="0" w:line="264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5"/>
              </w:rPr>
              <w:t>关键动作</w:t>
            </w:r>
          </w:p>
        </w:tc>
        <w:tc>
          <w:tcPr>
            <w:tcW w:w="283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2F559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9C8570">
            <w:pPr>
              <w:spacing w:after="0" w:line="264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5"/>
              </w:rPr>
              <w:t>交付物</w:t>
            </w:r>
          </w:p>
        </w:tc>
      </w:tr>
      <w:tr w14:paraId="16087A51">
        <w:trPr>
          <w:jc w:val="center"/>
        </w:trPr>
        <w:tc>
          <w:tcPr>
            <w:tcW w:w="14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EEF5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E9560A">
            <w:pPr>
              <w:spacing w:after="0" w:line="264" w:lineRule="auto"/>
            </w:pPr>
            <w:r>
              <w:rPr>
                <w:rFonts w:ascii="Arial" w:hAnsi="Arial" w:eastAsia="Noto Sans CJK SC"/>
                <w:b/>
                <w:sz w:val="15"/>
              </w:rPr>
              <w:t>0-30 天</w:t>
            </w:r>
          </w:p>
        </w:tc>
        <w:tc>
          <w:tcPr>
            <w:tcW w:w="198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568EEF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形成标准化销售工具包</w:t>
            </w:r>
          </w:p>
        </w:tc>
        <w:tc>
          <w:tcPr>
            <w:tcW w:w="396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EE4A84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整理氛围设计图、菜谱建议模板、健康活动包、电子</w:t>
            </w:r>
            <w:r>
              <w:rPr>
                <w:rFonts w:hint="eastAsia"/>
                <w:b w:val="0"/>
                <w:sz w:val="15"/>
                <w:lang w:eastAsia="zh-CN"/>
              </w:rPr>
              <w:t>菜牌</w:t>
            </w:r>
            <w:r>
              <w:rPr>
                <w:rFonts w:ascii="Arial" w:hAnsi="Arial" w:eastAsia="Noto Sans CJK SC"/>
                <w:b w:val="0"/>
                <w:sz w:val="15"/>
              </w:rPr>
              <w:t>/消费机样例、AI 识别和称重台演示方案、后厨进销存食安方案</w:t>
            </w:r>
          </w:p>
        </w:tc>
        <w:tc>
          <w:tcPr>
            <w:tcW w:w="283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5978F5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1 套产品手册、1 套销售话术、1 套渠道合作手册、1 套演示资料</w:t>
            </w:r>
          </w:p>
        </w:tc>
      </w:tr>
      <w:tr w14:paraId="407FCDA4">
        <w:trPr>
          <w:jc w:val="center"/>
        </w:trPr>
        <w:tc>
          <w:tcPr>
            <w:tcW w:w="14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EEF5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369C6C">
            <w:pPr>
              <w:spacing w:after="0" w:line="264" w:lineRule="auto"/>
            </w:pPr>
            <w:r>
              <w:rPr>
                <w:rFonts w:ascii="Arial" w:hAnsi="Arial" w:eastAsia="Noto Sans CJK SC"/>
                <w:b/>
                <w:sz w:val="15"/>
              </w:rPr>
              <w:t>31-60 天</w:t>
            </w:r>
          </w:p>
        </w:tc>
        <w:tc>
          <w:tcPr>
            <w:tcW w:w="198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749703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快速覆盖重点客户和渠道</w:t>
            </w:r>
          </w:p>
        </w:tc>
        <w:tc>
          <w:tcPr>
            <w:tcW w:w="396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435EDA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优先覆盖学校、企事业单位、医院、园区、机场、能源集团；同步筛选集成公司、团餐公司、厨具公司联合拜访</w:t>
            </w:r>
          </w:p>
        </w:tc>
        <w:tc>
          <w:tcPr>
            <w:tcW w:w="283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DF8452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客户清单、点位清单、渠道清单、每周触达数据</w:t>
            </w:r>
          </w:p>
        </w:tc>
      </w:tr>
      <w:tr w14:paraId="68330C83">
        <w:trPr>
          <w:jc w:val="center"/>
        </w:trPr>
        <w:tc>
          <w:tcPr>
            <w:tcW w:w="14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EEF5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B15C51">
            <w:pPr>
              <w:spacing w:after="0" w:line="264" w:lineRule="auto"/>
            </w:pPr>
            <w:r>
              <w:rPr>
                <w:rFonts w:ascii="Arial" w:hAnsi="Arial" w:eastAsia="Noto Sans CJK SC"/>
                <w:b/>
                <w:sz w:val="15"/>
              </w:rPr>
              <w:t>61-90 天</w:t>
            </w:r>
          </w:p>
        </w:tc>
        <w:tc>
          <w:tcPr>
            <w:tcW w:w="198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E644D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形成转化样板和可复制案例</w:t>
            </w:r>
          </w:p>
        </w:tc>
        <w:tc>
          <w:tcPr>
            <w:tcW w:w="396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23D1CD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从已建联客户中转化电子</w:t>
            </w:r>
            <w:r>
              <w:rPr>
                <w:rFonts w:hint="eastAsia"/>
                <w:b w:val="0"/>
                <w:sz w:val="15"/>
                <w:lang w:eastAsia="zh-CN"/>
              </w:rPr>
              <w:t>菜牌</w:t>
            </w:r>
            <w:r>
              <w:rPr>
                <w:rFonts w:ascii="Arial" w:hAnsi="Arial" w:eastAsia="Noto Sans CJK SC"/>
                <w:b w:val="0"/>
                <w:sz w:val="15"/>
              </w:rPr>
              <w:t>、消费机、AI 识别、称重台、后厨食安试点；围绕机场、赛迪、焦煤等项目形成演示版和样板案例</w:t>
            </w:r>
          </w:p>
        </w:tc>
        <w:tc>
          <w:tcPr>
            <w:tcW w:w="283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A9C7A7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样板客户、产品落地案例、报价模型、数据看板样例</w:t>
            </w:r>
          </w:p>
        </w:tc>
      </w:tr>
      <w:tr w14:paraId="63CCC264">
        <w:trPr>
          <w:jc w:val="center"/>
        </w:trPr>
        <w:tc>
          <w:tcPr>
            <w:tcW w:w="14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EEF5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FA1735">
            <w:pPr>
              <w:spacing w:after="0" w:line="264" w:lineRule="auto"/>
            </w:pPr>
            <w:r>
              <w:rPr>
                <w:rFonts w:ascii="Arial" w:hAnsi="Arial" w:eastAsia="Noto Sans CJK SC"/>
                <w:b/>
                <w:sz w:val="15"/>
              </w:rPr>
              <w:t>90 天后</w:t>
            </w:r>
          </w:p>
        </w:tc>
        <w:tc>
          <w:tcPr>
            <w:tcW w:w="198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1F3F57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进入规模化复制</w:t>
            </w:r>
          </w:p>
        </w:tc>
        <w:tc>
          <w:tcPr>
            <w:tcW w:w="396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1F9053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按场景复制打法，按渠道复制合作，按指标管理漏斗，形成月度客户覆盖和产品转化复盘</w:t>
            </w:r>
          </w:p>
        </w:tc>
        <w:tc>
          <w:tcPr>
            <w:tcW w:w="283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8BF871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月度经营看板、渠道复盘、项目转化清单、收入预测</w:t>
            </w:r>
          </w:p>
        </w:tc>
      </w:tr>
    </w:tbl>
    <w:p w14:paraId="3D34EBC8">
      <w:pPr>
        <w:spacing w:after="80"/>
      </w:pPr>
    </w:p>
    <w:p w14:paraId="7E8A4847">
      <w:pPr>
        <w:pStyle w:val="4"/>
        <w:spacing w:after="100" w:line="300" w:lineRule="auto"/>
      </w:pPr>
      <w:r>
        <w:rPr>
          <w:rFonts w:ascii="Arial" w:hAnsi="Arial" w:eastAsia="Noto Sans CJK SC"/>
          <w:b w:val="0"/>
          <w:sz w:val="21"/>
        </w:rPr>
        <w:t>组织协同建议：</w:t>
      </w:r>
    </w:p>
    <w:p w14:paraId="7543AC8D">
      <w:pPr>
        <w:pStyle w:val="16"/>
        <w:spacing w:after="40" w:line="276" w:lineRule="auto"/>
      </w:pPr>
      <w:r>
        <w:rPr>
          <w:rFonts w:ascii="Arial" w:hAnsi="Arial" w:eastAsia="Noto Sans CJK SC"/>
          <w:sz w:val="19"/>
        </w:rPr>
        <w:t>产品团队负责把氛围设计、菜谱建议、电子</w:t>
      </w:r>
      <w:r>
        <w:rPr>
          <w:rFonts w:hint="eastAsia" w:ascii="Arial" w:hAnsi="Arial"/>
          <w:sz w:val="19"/>
          <w:lang w:eastAsia="zh-CN"/>
        </w:rPr>
        <w:t>菜牌</w:t>
      </w:r>
      <w:r>
        <w:rPr>
          <w:rFonts w:ascii="Arial" w:hAnsi="Arial" w:eastAsia="Noto Sans CJK SC"/>
          <w:sz w:val="19"/>
        </w:rPr>
        <w:t>、消费机、AI 识别、称重台、后厨进销存和食安管理整理成标准产品包。</w:t>
      </w:r>
    </w:p>
    <w:p w14:paraId="32B1368B">
      <w:pPr>
        <w:pStyle w:val="16"/>
        <w:spacing w:after="40" w:line="276" w:lineRule="auto"/>
      </w:pPr>
      <w:r>
        <w:rPr>
          <w:rFonts w:ascii="Arial" w:hAnsi="Arial" w:eastAsia="Noto Sans CJK SC"/>
          <w:sz w:val="19"/>
        </w:rPr>
        <w:t>销售团队负责用营养健康入口快速触达客户，并按触达、建联、轻量成交、深度项目四级漏斗管理。</w:t>
      </w:r>
    </w:p>
    <w:p w14:paraId="7B9B2074">
      <w:pPr>
        <w:pStyle w:val="16"/>
        <w:spacing w:after="40" w:line="276" w:lineRule="auto"/>
      </w:pPr>
      <w:r>
        <w:rPr>
          <w:rFonts w:ascii="Arial" w:hAnsi="Arial" w:eastAsia="Noto Sans CJK SC"/>
          <w:sz w:val="19"/>
        </w:rPr>
        <w:t>研发团队围绕机场、赛迪、焦煤等重点项目快速形成可演示版本，以项目反哺产品。</w:t>
      </w:r>
    </w:p>
    <w:p w14:paraId="76CF2A1A">
      <w:pPr>
        <w:pStyle w:val="16"/>
        <w:spacing w:after="40" w:line="276" w:lineRule="auto"/>
      </w:pPr>
      <w:r>
        <w:rPr>
          <w:rFonts w:ascii="Arial" w:hAnsi="Arial" w:eastAsia="Noto Sans CJK SC"/>
          <w:sz w:val="19"/>
        </w:rPr>
        <w:t>研究院或营养专家团队先人工支持2</w:t>
      </w:r>
      <w:r>
        <w:rPr>
          <w:rFonts w:hint="eastAsia" w:ascii="Arial" w:hAnsi="Arial"/>
          <w:sz w:val="19"/>
          <w:lang w:val="en-US" w:eastAsia="zh-CN"/>
        </w:rPr>
        <w:t>-4</w:t>
      </w:r>
      <w:r>
        <w:rPr>
          <w:rFonts w:ascii="Arial" w:hAnsi="Arial" w:eastAsia="Noto Sans CJK SC"/>
          <w:sz w:val="19"/>
        </w:rPr>
        <w:t xml:space="preserve"> 周菜谱建议，再试运行 1 个月，后续逐步沉淀为模板和 AI 能力。</w:t>
      </w:r>
    </w:p>
    <w:p w14:paraId="702892A0">
      <w:pPr>
        <w:pStyle w:val="16"/>
        <w:spacing w:after="40" w:line="276" w:lineRule="auto"/>
      </w:pPr>
      <w:r>
        <w:rPr>
          <w:rFonts w:ascii="Arial" w:hAnsi="Arial" w:eastAsia="Noto Sans CJK SC"/>
          <w:sz w:val="19"/>
        </w:rPr>
        <w:t>渠道团队负责筛选集成公司、团餐公司、厨具公司，建立合作政策、演示资料和联合拜访机制。</w:t>
      </w:r>
      <w:r>
        <w:br w:type="page"/>
      </w:r>
    </w:p>
    <w:p w14:paraId="7519C5FC">
      <w:pPr>
        <w:pStyle w:val="3"/>
        <w:spacing w:before="80" w:after="120"/>
      </w:pPr>
      <w:r>
        <w:rPr>
          <w:rFonts w:ascii="Arial" w:hAnsi="Arial" w:eastAsia="Noto Sans CJK SC"/>
          <w:b/>
          <w:color w:val="1F4E79"/>
          <w:sz w:val="32"/>
        </w:rPr>
        <w:t>0</w:t>
      </w:r>
      <w:r>
        <w:rPr>
          <w:rFonts w:hint="eastAsia" w:ascii="Arial" w:hAnsi="Arial" w:eastAsia="Noto Sans CJK SC"/>
          <w:b/>
          <w:color w:val="1F4E79"/>
          <w:sz w:val="32"/>
          <w:lang w:val="en-US" w:eastAsia="zh-CN"/>
        </w:rPr>
        <w:t>8</w:t>
      </w:r>
      <w:r>
        <w:rPr>
          <w:rFonts w:ascii="Arial" w:hAnsi="Arial" w:eastAsia="Noto Sans CJK SC"/>
          <w:b/>
          <w:color w:val="1F4E79"/>
          <w:sz w:val="32"/>
        </w:rPr>
        <w:t xml:space="preserve">  数据口径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3969"/>
        <w:gridCol w:w="1701"/>
        <w:gridCol w:w="1701"/>
      </w:tblGrid>
      <w:tr w14:paraId="4E1DE108">
        <w:trPr>
          <w:jc w:val="center"/>
        </w:trPr>
        <w:tc>
          <w:tcPr>
            <w:tcW w:w="198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2F559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B9AD05">
            <w:pPr>
              <w:spacing w:after="0" w:line="264" w:lineRule="auto"/>
              <w:jc w:val="center"/>
            </w:pPr>
            <w:bookmarkStart w:id="0" w:name="_GoBack"/>
            <w:bookmarkEnd w:id="0"/>
            <w:r>
              <w:rPr>
                <w:rFonts w:ascii="Arial" w:hAnsi="Arial" w:eastAsia="Noto Sans CJK SC"/>
                <w:b/>
                <w:color w:val="FFFFFF"/>
                <w:sz w:val="15"/>
              </w:rPr>
              <w:t>数据项</w:t>
            </w:r>
          </w:p>
        </w:tc>
        <w:tc>
          <w:tcPr>
            <w:tcW w:w="396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2F559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6345EF">
            <w:pPr>
              <w:spacing w:after="0" w:line="264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5"/>
              </w:rPr>
              <w:t>建议统计口径</w:t>
            </w:r>
          </w:p>
        </w:tc>
        <w:tc>
          <w:tcPr>
            <w:tcW w:w="17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2F559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597C15">
            <w:pPr>
              <w:spacing w:after="0" w:line="264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5"/>
              </w:rPr>
              <w:t>当前值</w:t>
            </w:r>
          </w:p>
        </w:tc>
        <w:tc>
          <w:tcPr>
            <w:tcW w:w="17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2F559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B5A247">
            <w:pPr>
              <w:spacing w:after="0" w:line="264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5"/>
              </w:rPr>
              <w:t>年度目标</w:t>
            </w:r>
          </w:p>
        </w:tc>
      </w:tr>
      <w:tr w14:paraId="65B5E33E">
        <w:trPr>
          <w:jc w:val="center"/>
        </w:trPr>
        <w:tc>
          <w:tcPr>
            <w:tcW w:w="198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EEF5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F1E0F3">
            <w:pPr>
              <w:spacing w:after="0" w:line="264" w:lineRule="auto"/>
            </w:pPr>
            <w:r>
              <w:rPr>
                <w:rFonts w:ascii="Arial" w:hAnsi="Arial" w:eastAsia="Noto Sans CJK SC"/>
                <w:b/>
                <w:sz w:val="15"/>
              </w:rPr>
              <w:t>触达 ToB 客户数</w:t>
            </w:r>
          </w:p>
        </w:tc>
        <w:tc>
          <w:tcPr>
            <w:tcW w:w="396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E1F48E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已拜访、已沟通、已发送方案或已建立关键联系人</w:t>
            </w:r>
          </w:p>
        </w:tc>
        <w:tc>
          <w:tcPr>
            <w:tcW w:w="17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5C4630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【】家</w:t>
            </w:r>
          </w:p>
        </w:tc>
        <w:tc>
          <w:tcPr>
            <w:tcW w:w="17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91447A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【300】家</w:t>
            </w:r>
          </w:p>
        </w:tc>
      </w:tr>
      <w:tr w14:paraId="4E64621E">
        <w:trPr>
          <w:jc w:val="center"/>
        </w:trPr>
        <w:tc>
          <w:tcPr>
            <w:tcW w:w="198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EEF5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DCF4B8">
            <w:pPr>
              <w:spacing w:after="0" w:line="264" w:lineRule="auto"/>
            </w:pPr>
            <w:r>
              <w:rPr>
                <w:rFonts w:ascii="Arial" w:hAnsi="Arial" w:eastAsia="Noto Sans CJK SC"/>
                <w:b/>
                <w:sz w:val="15"/>
              </w:rPr>
              <w:t>有效建联客户数</w:t>
            </w:r>
          </w:p>
        </w:tc>
        <w:tc>
          <w:tcPr>
            <w:tcW w:w="396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2BCD5B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已进入每周菜谱建议、营养宣教、活动方案或复盘机制</w:t>
            </w:r>
          </w:p>
        </w:tc>
        <w:tc>
          <w:tcPr>
            <w:tcW w:w="17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43A5B0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【】家</w:t>
            </w:r>
          </w:p>
        </w:tc>
        <w:tc>
          <w:tcPr>
            <w:tcW w:w="17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CAE241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【100】家</w:t>
            </w:r>
          </w:p>
        </w:tc>
      </w:tr>
      <w:tr w14:paraId="7F997465">
        <w:trPr>
          <w:jc w:val="center"/>
        </w:trPr>
        <w:tc>
          <w:tcPr>
            <w:tcW w:w="198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EEF5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C1333F">
            <w:pPr>
              <w:spacing w:after="0" w:line="264" w:lineRule="auto"/>
            </w:pPr>
            <w:r>
              <w:rPr>
                <w:rFonts w:ascii="Arial" w:hAnsi="Arial" w:eastAsia="Noto Sans CJK SC"/>
                <w:b/>
                <w:sz w:val="15"/>
              </w:rPr>
              <w:t>食堂点位数</w:t>
            </w:r>
          </w:p>
        </w:tc>
        <w:tc>
          <w:tcPr>
            <w:tcW w:w="396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4FE0CD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客户名下实际食堂、校区、园区餐厅、院区、项目点位</w:t>
            </w:r>
          </w:p>
        </w:tc>
        <w:tc>
          <w:tcPr>
            <w:tcW w:w="17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BE0DE9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【】个</w:t>
            </w:r>
          </w:p>
        </w:tc>
        <w:tc>
          <w:tcPr>
            <w:tcW w:w="17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9A5968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【500】个</w:t>
            </w:r>
          </w:p>
        </w:tc>
      </w:tr>
      <w:tr w14:paraId="057ACF32">
        <w:trPr>
          <w:jc w:val="center"/>
        </w:trPr>
        <w:tc>
          <w:tcPr>
            <w:tcW w:w="198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EEF5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B2C848">
            <w:pPr>
              <w:spacing w:after="0" w:line="264" w:lineRule="auto"/>
            </w:pPr>
            <w:r>
              <w:rPr>
                <w:rFonts w:ascii="Arial" w:hAnsi="Arial" w:eastAsia="Noto Sans CJK SC"/>
                <w:b/>
                <w:sz w:val="15"/>
              </w:rPr>
              <w:t>潜在覆盖人群数</w:t>
            </w:r>
          </w:p>
        </w:tc>
        <w:tc>
          <w:tcPr>
            <w:tcW w:w="396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5452D3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点位数 × 平均就餐人数；后续以真实消费/识别数据校准</w:t>
            </w:r>
          </w:p>
        </w:tc>
        <w:tc>
          <w:tcPr>
            <w:tcW w:w="17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0DECD6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【】万人</w:t>
            </w:r>
          </w:p>
        </w:tc>
        <w:tc>
          <w:tcPr>
            <w:tcW w:w="17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4B503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【40-50】万人</w:t>
            </w:r>
          </w:p>
        </w:tc>
      </w:tr>
      <w:tr w14:paraId="299E883B">
        <w:trPr>
          <w:jc w:val="center"/>
        </w:trPr>
        <w:tc>
          <w:tcPr>
            <w:tcW w:w="198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EEF5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65BFB3">
            <w:pPr>
              <w:spacing w:after="0" w:line="264" w:lineRule="auto"/>
            </w:pPr>
            <w:r>
              <w:rPr>
                <w:rFonts w:ascii="Arial" w:hAnsi="Arial" w:eastAsia="Noto Sans CJK SC"/>
                <w:b/>
                <w:sz w:val="15"/>
              </w:rPr>
              <w:t>轻量产品客户数</w:t>
            </w:r>
          </w:p>
        </w:tc>
        <w:tc>
          <w:tcPr>
            <w:tcW w:w="396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E4BC72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电子</w:t>
            </w:r>
            <w:r>
              <w:rPr>
                <w:rFonts w:hint="eastAsia"/>
                <w:b w:val="0"/>
                <w:sz w:val="15"/>
                <w:lang w:eastAsia="zh-CN"/>
              </w:rPr>
              <w:t>菜牌</w:t>
            </w:r>
            <w:r>
              <w:rPr>
                <w:rFonts w:ascii="Arial" w:hAnsi="Arial" w:eastAsia="Noto Sans CJK SC"/>
                <w:b w:val="0"/>
                <w:sz w:val="15"/>
              </w:rPr>
              <w:t>、</w:t>
            </w:r>
            <w:r>
              <w:rPr>
                <w:rFonts w:hint="eastAsia"/>
                <w:b w:val="0"/>
                <w:sz w:val="15"/>
                <w:lang w:eastAsia="zh-CN"/>
              </w:rPr>
              <w:t>电子价签</w:t>
            </w:r>
            <w:r>
              <w:rPr>
                <w:rFonts w:ascii="Arial" w:hAnsi="Arial" w:eastAsia="Noto Sans CJK SC"/>
                <w:b w:val="0"/>
                <w:sz w:val="15"/>
              </w:rPr>
              <w:t>、消费机、营养屏、独立结算等已落地客户</w:t>
            </w:r>
          </w:p>
        </w:tc>
        <w:tc>
          <w:tcPr>
            <w:tcW w:w="17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DE3953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【】家</w:t>
            </w:r>
          </w:p>
        </w:tc>
        <w:tc>
          <w:tcPr>
            <w:tcW w:w="17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9BB8F4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【50】家</w:t>
            </w:r>
          </w:p>
        </w:tc>
      </w:tr>
      <w:tr w14:paraId="2498F2A3">
        <w:trPr>
          <w:jc w:val="center"/>
        </w:trPr>
        <w:tc>
          <w:tcPr>
            <w:tcW w:w="198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EEF5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86C6E8">
            <w:pPr>
              <w:spacing w:after="0" w:line="264" w:lineRule="auto"/>
            </w:pPr>
            <w:r>
              <w:rPr>
                <w:rFonts w:ascii="Arial" w:hAnsi="Arial" w:eastAsia="Noto Sans CJK SC"/>
                <w:b/>
                <w:sz w:val="15"/>
              </w:rPr>
              <w:t>深度项目客户数</w:t>
            </w:r>
          </w:p>
        </w:tc>
        <w:tc>
          <w:tcPr>
            <w:tcW w:w="396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861EDB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AI 菜品识别、称重台、小碗菜识别、后厨进销存、食安管理等</w:t>
            </w:r>
          </w:p>
        </w:tc>
        <w:tc>
          <w:tcPr>
            <w:tcW w:w="17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ACC1EE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【】家</w:t>
            </w:r>
          </w:p>
        </w:tc>
        <w:tc>
          <w:tcPr>
            <w:tcW w:w="17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70D5FA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【20】家</w:t>
            </w:r>
          </w:p>
        </w:tc>
      </w:tr>
      <w:tr w14:paraId="7D4B0D11">
        <w:trPr>
          <w:jc w:val="center"/>
        </w:trPr>
        <w:tc>
          <w:tcPr>
            <w:tcW w:w="198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EEF5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66CDE1">
            <w:pPr>
              <w:spacing w:after="0" w:line="264" w:lineRule="auto"/>
            </w:pPr>
            <w:r>
              <w:rPr>
                <w:rFonts w:ascii="Arial" w:hAnsi="Arial" w:eastAsia="Noto Sans CJK SC"/>
                <w:b/>
                <w:sz w:val="15"/>
              </w:rPr>
              <w:t>菜品营养数据</w:t>
            </w:r>
          </w:p>
        </w:tc>
        <w:tc>
          <w:tcPr>
            <w:tcW w:w="396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1BF1DD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已标准化菜品、营养标签、热量、蛋白质、脂肪、碳水等</w:t>
            </w:r>
          </w:p>
        </w:tc>
        <w:tc>
          <w:tcPr>
            <w:tcW w:w="17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4A3BAF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【】道</w:t>
            </w:r>
          </w:p>
        </w:tc>
        <w:tc>
          <w:tcPr>
            <w:tcW w:w="17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4484AB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【】道</w:t>
            </w:r>
          </w:p>
        </w:tc>
      </w:tr>
      <w:tr w14:paraId="710C0C3E">
        <w:trPr>
          <w:jc w:val="center"/>
        </w:trPr>
        <w:tc>
          <w:tcPr>
            <w:tcW w:w="198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EEF5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10CDE6">
            <w:pPr>
              <w:spacing w:after="0" w:line="264" w:lineRule="auto"/>
            </w:pPr>
            <w:r>
              <w:rPr>
                <w:rFonts w:ascii="Arial" w:hAnsi="Arial" w:eastAsia="Noto Sans CJK SC"/>
                <w:b/>
                <w:sz w:val="15"/>
              </w:rPr>
              <w:t>消费/识别记录</w:t>
            </w:r>
          </w:p>
        </w:tc>
        <w:tc>
          <w:tcPr>
            <w:tcW w:w="396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DDDF50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消费机记录、AI 识别记录、称重记录、小碗菜识别记录</w:t>
            </w:r>
          </w:p>
        </w:tc>
        <w:tc>
          <w:tcPr>
            <w:tcW w:w="17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7E8754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【】万次</w:t>
            </w:r>
          </w:p>
        </w:tc>
        <w:tc>
          <w:tcPr>
            <w:tcW w:w="17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76A715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【】万次</w:t>
            </w:r>
          </w:p>
        </w:tc>
      </w:tr>
      <w:tr w14:paraId="2CAA6524">
        <w:trPr>
          <w:jc w:val="center"/>
        </w:trPr>
        <w:tc>
          <w:tcPr>
            <w:tcW w:w="198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EEF5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475F08">
            <w:pPr>
              <w:spacing w:after="0" w:line="264" w:lineRule="auto"/>
            </w:pPr>
            <w:r>
              <w:rPr>
                <w:rFonts w:ascii="Arial" w:hAnsi="Arial" w:eastAsia="Noto Sans CJK SC"/>
                <w:b/>
                <w:sz w:val="15"/>
              </w:rPr>
              <w:t>渠道合作伙伴</w:t>
            </w:r>
          </w:p>
        </w:tc>
        <w:tc>
          <w:tcPr>
            <w:tcW w:w="396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BE12EF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已签约或已联合拜访的集成公司、团餐公司、厨具公司等</w:t>
            </w:r>
          </w:p>
        </w:tc>
        <w:tc>
          <w:tcPr>
            <w:tcW w:w="17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3798E4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【】家</w:t>
            </w:r>
          </w:p>
        </w:tc>
        <w:tc>
          <w:tcPr>
            <w:tcW w:w="17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306CD0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【】家</w:t>
            </w:r>
          </w:p>
        </w:tc>
      </w:tr>
      <w:tr w14:paraId="0B09B059">
        <w:trPr>
          <w:jc w:val="center"/>
        </w:trPr>
        <w:tc>
          <w:tcPr>
            <w:tcW w:w="198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EEF5F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2787F8">
            <w:pPr>
              <w:spacing w:after="0" w:line="264" w:lineRule="auto"/>
            </w:pPr>
            <w:r>
              <w:rPr>
                <w:rFonts w:ascii="Arial" w:hAnsi="Arial" w:eastAsia="Noto Sans CJK SC"/>
                <w:b/>
                <w:sz w:val="15"/>
              </w:rPr>
              <w:t>营收目标</w:t>
            </w:r>
          </w:p>
        </w:tc>
        <w:tc>
          <w:tcPr>
            <w:tcW w:w="396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F9E412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轻服务、轻产品、前厅智能、后厨管理组合收入</w:t>
            </w:r>
          </w:p>
        </w:tc>
        <w:tc>
          <w:tcPr>
            <w:tcW w:w="17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BD863F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【】万元</w:t>
            </w:r>
          </w:p>
        </w:tc>
        <w:tc>
          <w:tcPr>
            <w:tcW w:w="17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8B61BB">
            <w:pPr>
              <w:spacing w:after="0" w:line="264" w:lineRule="auto"/>
            </w:pPr>
            <w:r>
              <w:rPr>
                <w:rFonts w:ascii="Arial" w:hAnsi="Arial" w:eastAsia="Noto Sans CJK SC"/>
                <w:b w:val="0"/>
                <w:sz w:val="15"/>
              </w:rPr>
              <w:t>【2000】万元</w:t>
            </w:r>
          </w:p>
        </w:tc>
      </w:tr>
    </w:tbl>
    <w:p w14:paraId="13C045EF">
      <w:pPr>
        <w:spacing w:after="80"/>
      </w:pPr>
    </w:p>
    <w:tbl>
      <w:tblPr>
        <w:tblStyle w:val="3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0"/>
      </w:tblGrid>
      <w:tr w14:paraId="452510D9">
        <w:trPr>
          <w:jc w:val="center"/>
        </w:trPr>
        <w:tc>
          <w:tcPr>
            <w:tcW w:w="10200" w:type="dxa"/>
            <w:tcBorders>
              <w:top w:val="single" w:color="9ECAE1" w:sz="8" w:space="0"/>
              <w:left w:val="single" w:color="9ECAE1" w:sz="8" w:space="0"/>
              <w:bottom w:val="single" w:color="9ECAE1" w:sz="8" w:space="0"/>
              <w:right w:val="single" w:color="9ECAE1" w:sz="8" w:space="0"/>
            </w:tcBorders>
            <w:shd w:val="clear" w:color="auto" w:fill="D9EAF7"/>
          </w:tcPr>
          <w:p w14:paraId="1735600F">
            <w:pPr>
              <w:spacing w:after="60"/>
            </w:pPr>
            <w:r>
              <w:rPr>
                <w:rFonts w:ascii="Arial" w:hAnsi="Arial" w:eastAsia="Noto Sans CJK SC"/>
                <w:b/>
                <w:color w:val="2F5597"/>
                <w:sz w:val="21"/>
              </w:rPr>
              <w:t>最终结论</w:t>
            </w:r>
          </w:p>
          <w:p w14:paraId="257ADF22">
            <w:pPr>
              <w:spacing w:after="0" w:line="276" w:lineRule="auto"/>
            </w:pPr>
            <w:r>
              <w:rPr>
                <w:rFonts w:ascii="Arial" w:hAnsi="Arial" w:eastAsia="Noto Sans CJK SC"/>
                <w:color w:val="222222"/>
                <w:sz w:val="19"/>
              </w:rPr>
              <w:t>以营养健康为入口，用轻量服务快速覆盖 ToB 客户；用电子</w:t>
            </w:r>
            <w:r>
              <w:rPr>
                <w:rFonts w:hint="eastAsia"/>
                <w:color w:val="222222"/>
                <w:sz w:val="19"/>
                <w:lang w:eastAsia="zh-CN"/>
              </w:rPr>
              <w:t>菜牌</w:t>
            </w:r>
            <w:r>
              <w:rPr>
                <w:rFonts w:ascii="Arial" w:hAnsi="Arial" w:eastAsia="Noto Sans CJK SC"/>
                <w:color w:val="222222"/>
                <w:sz w:val="19"/>
              </w:rPr>
              <w:t>、</w:t>
            </w:r>
            <w:r>
              <w:rPr>
                <w:rFonts w:hint="eastAsia"/>
                <w:color w:val="222222"/>
                <w:sz w:val="19"/>
                <w:lang w:eastAsia="zh-CN"/>
              </w:rPr>
              <w:t>电子价签</w:t>
            </w:r>
            <w:r>
              <w:rPr>
                <w:rFonts w:ascii="Arial" w:hAnsi="Arial" w:eastAsia="Noto Sans CJK SC"/>
                <w:color w:val="222222"/>
                <w:sz w:val="19"/>
              </w:rPr>
              <w:t>、消费机实现快速成交；用 AI 菜品识别、450/460 称重台、小碗菜识别进入前厅核心流程；用后厨进销存和食安管理提高客户粘性；最终通过 ToB 食堂场景触达大规模终端人群，沉淀营养、消费、识别和后厨运营数据，形成智慧食堂数据化运营平台。</w:t>
            </w:r>
          </w:p>
        </w:tc>
      </w:tr>
    </w:tbl>
    <w:p w14:paraId="1B8E2700">
      <w:pPr>
        <w:spacing w:after="60"/>
      </w:pPr>
    </w:p>
    <w:sectPr>
      <w:footerReference r:id="rId5" w:type="default"/>
      <w:pgSz w:w="12240" w:h="15840"/>
      <w:pgMar w:top="1020" w:right="1020" w:bottom="907" w:left="102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Noto Sans CJK SC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1DA522">
    <w:pPr>
      <w:pStyle w:val="24"/>
      <w:jc w:val="center"/>
    </w:pPr>
    <w:r>
      <w:rPr>
        <w:rFonts w:ascii="Arial" w:hAnsi="Arial" w:eastAsia="Noto Sans CJK SC"/>
        <w:color w:val="808080"/>
        <w:sz w:val="16"/>
      </w:rPr>
      <w:t>智慧食堂营养健康切入与市场覆盖打法汇报稿 | 内部汇报稿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00" w:lineRule="auto"/>
      </w:pPr>
      <w:r>
        <w:separator/>
      </w:r>
    </w:p>
  </w:footnote>
  <w:footnote w:type="continuationSeparator" w:id="1">
    <w:p>
      <w:pPr>
        <w:spacing w:before="0" w:after="0" w:line="30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NotDisplayPageBoundarie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ADE0B69"/>
    <w:rsid w:val="3FDF5A1D"/>
    <w:rsid w:val="3FF77D8B"/>
    <w:rsid w:val="5BFFF295"/>
    <w:rsid w:val="5DFDEEFD"/>
    <w:rsid w:val="676DDF6C"/>
    <w:rsid w:val="67DBD3F0"/>
    <w:rsid w:val="7EFFF097"/>
    <w:rsid w:val="7F715974"/>
    <w:rsid w:val="7F9FE292"/>
    <w:rsid w:val="7FCBD0E9"/>
    <w:rsid w:val="7FFFB0A6"/>
    <w:rsid w:val="BFFA55F2"/>
    <w:rsid w:val="DFEF1C95"/>
    <w:rsid w:val="E67F4421"/>
    <w:rsid w:val="F7FED9F2"/>
    <w:rsid w:val="F9CE7525"/>
    <w:rsid w:val="FE7F1B43"/>
    <w:rsid w:val="FF79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00" w:line="300" w:lineRule="auto"/>
    </w:pPr>
    <w:rPr>
      <w:rFonts w:ascii="Arial" w:hAnsi="Arial" w:eastAsia="Noto Sans CJK SC" w:cstheme="minorBidi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160" w:after="100"/>
      <w:outlineLvl w:val="0"/>
    </w:pPr>
    <w:rPr>
      <w:rFonts w:asciiTheme="majorHAnsi" w:hAnsiTheme="majorHAnsi" w:eastAsiaTheme="majorEastAsia" w:cstheme="majorBidi"/>
      <w:b/>
      <w:bCs/>
      <w:color w:val="1F4E79"/>
      <w:sz w:val="32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160" w:after="100"/>
      <w:outlineLvl w:val="1"/>
    </w:pPr>
    <w:rPr>
      <w:rFonts w:asciiTheme="majorHAnsi" w:hAnsiTheme="majorHAnsi" w:eastAsiaTheme="majorEastAsia" w:cstheme="majorBidi"/>
      <w:b/>
      <w:bCs/>
      <w:color w:val="2F5597"/>
      <w:sz w:val="26"/>
      <w:szCs w:val="26"/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160" w:after="100"/>
      <w:outlineLvl w:val="2"/>
    </w:pPr>
    <w:rPr>
      <w:rFonts w:asciiTheme="majorHAnsi" w:hAnsiTheme="majorHAnsi" w:eastAsiaTheme="majorEastAsia" w:cstheme="majorBidi"/>
      <w:b/>
      <w:bCs/>
      <w:color w:val="404040"/>
      <w:sz w:val="23"/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  <w:rPr>
      <w:rFonts w:ascii="Noto Sans CJK SC" w:hAnsi="Noto Sans CJK SC" w:eastAsia="Noto Sans CJK SC"/>
      <w:sz w:val="20"/>
    </w:r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  <w:rPr>
      <w:rFonts w:ascii="Noto Sans CJK SC" w:hAnsi="Noto Sans CJK SC" w:eastAsia="Noto Sans CJK SC"/>
      <w:sz w:val="20"/>
    </w:r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/APA.XSL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李曼</dc:creator>
  <cp:lastModifiedBy>李曼</cp:lastModifiedBy>
  <dcterms:modified xsi:type="dcterms:W3CDTF">2026-05-18T15:57:05Z</dcterms:modified>
  <dc:subject>冲刺 2000 万营收：以营养健康为入口，快速覆盖 ToB 客户与终端就餐人群</dc:subject>
  <dc:title>智慧食堂营养健康切入与市场覆盖打法汇报稿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512EF1122F09F32AACC30A6A43D57173_42</vt:lpwstr>
  </property>
</Properties>
</file>