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0F2747"/>
            <w:tcBorders>
              <w:left w:val="nil"/>
              <w:top w:val="nil"/>
              <w:right w:val="nil"/>
              <w:bottom w:val="nil"/>
            </w:tcBorders>
          </w:tcPr>
          <w:p>
            <w:pPr>
              <w:spacing w:after="0" w:before="0"/>
              <w:jc w:val="left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1"/>
              </w:rPr>
              <w:t xml:space="preserve">  AI SKILL SHARE | LESSON 1</w:t>
            </w:r>
          </w:p>
        </w:tc>
      </w:tr>
    </w:tbl>
    <w:p/>
    <w:p/>
    <w:p/>
    <w:p>
      <w:pPr>
        <w:pStyle w:val="CoverTitle"/>
        <w:jc w:val="center"/>
      </w:pPr>
      <w:r>
        <w:rPr>
          <w:rFonts w:ascii="Noto Sans CJK SC" w:hAnsi="Noto Sans CJK SC" w:eastAsia="Noto Sans CJK SC"/>
          <w:b/>
          <w:i w:val="0"/>
          <w:color w:val="0F2747"/>
          <w:sz w:val="52"/>
        </w:rPr>
        <w:t>AI技能分享第一课</w:t>
      </w:r>
    </w:p>
    <w:p>
      <w:pPr>
        <w:pStyle w:val="CoverSubTitle"/>
        <w:jc w:val="center"/>
      </w:pPr>
      <w:r>
        <w:rPr>
          <w:rFonts w:ascii="Noto Sans CJK SC" w:hAnsi="Noto Sans CJK SC" w:eastAsia="Noto Sans CJK SC"/>
          <w:b w:val="0"/>
          <w:i w:val="0"/>
          <w:color w:val="4B5B73"/>
          <w:sz w:val="28"/>
        </w:rPr>
        <w:t>面向产研团队的可落地训练材料</w:t>
      </w:r>
    </w:p>
    <w:p>
      <w:pPr>
        <w:pStyle w:val="CoverSubTitle"/>
        <w:jc w:val="center"/>
      </w:pPr>
      <w:r>
        <w:rPr>
          <w:rFonts w:ascii="Noto Sans CJK SC" w:hAnsi="Noto Sans CJK SC" w:eastAsia="Noto Sans CJK SC"/>
          <w:b w:val="0"/>
          <w:i w:val="0"/>
          <w:color w:val="175FE6"/>
          <w:sz w:val="25"/>
        </w:rPr>
        <w:t>从“会问 AI”到“让 AI 交付结果”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1984"/>
            <w:tcMar>
              <w:top w:w="100" w:type="dxa"/>
              <w:start w:w="120" w:type="dxa"/>
              <w:bottom w:w="100" w:type="dxa"/>
              <w:end w:w="12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1"/>
              </w:rPr>
              <w:t>培训对象</w:t>
            </w:r>
          </w:p>
        </w:tc>
        <w:tc>
          <w:tcPr>
            <w:tcW w:type="dxa" w:w="7880"/>
            <w:tcMar>
              <w:top w:w="100" w:type="dxa"/>
              <w:start w:w="120" w:type="dxa"/>
              <w:bottom w:w="100" w:type="dxa"/>
              <w:end w:w="120" w:type="dxa"/>
            </w:tcMar>
            <w:shd w:fill="F9FB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产品经理、解决方案/售前、研发工程师、测试工程师、实施/运维、技术负责人</w:t>
            </w:r>
          </w:p>
        </w:tc>
      </w:tr>
      <w:tr>
        <w:tc>
          <w:tcPr>
            <w:tcW w:type="dxa" w:w="1984"/>
            <w:tcMar>
              <w:top w:w="100" w:type="dxa"/>
              <w:start w:w="120" w:type="dxa"/>
              <w:bottom w:w="100" w:type="dxa"/>
              <w:end w:w="12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1"/>
              </w:rPr>
              <w:t>版本</w:t>
            </w:r>
          </w:p>
        </w:tc>
        <w:tc>
          <w:tcPr>
            <w:tcW w:type="dxa" w:w="7880"/>
            <w:tcMar>
              <w:top w:w="100" w:type="dxa"/>
              <w:start w:w="120" w:type="dxa"/>
              <w:bottom w:w="100" w:type="dxa"/>
              <w:end w:w="120" w:type="dxa"/>
            </w:tcMar>
            <w:shd w:fill="F9FB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V1.0</w:t>
            </w:r>
          </w:p>
        </w:tc>
      </w:tr>
      <w:tr>
        <w:tc>
          <w:tcPr>
            <w:tcW w:type="dxa" w:w="1984"/>
            <w:tcMar>
              <w:top w:w="100" w:type="dxa"/>
              <w:start w:w="120" w:type="dxa"/>
              <w:bottom w:w="100" w:type="dxa"/>
              <w:end w:w="12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1"/>
              </w:rPr>
              <w:t>日期</w:t>
            </w:r>
          </w:p>
        </w:tc>
        <w:tc>
          <w:tcPr>
            <w:tcW w:type="dxa" w:w="7880"/>
            <w:tcMar>
              <w:top w:w="100" w:type="dxa"/>
              <w:start w:w="120" w:type="dxa"/>
              <w:bottom w:w="100" w:type="dxa"/>
              <w:end w:w="120" w:type="dxa"/>
            </w:tcMar>
            <w:shd w:fill="F9FB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2026年4月20日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7FD"/>
            <w:tcBorders>
              <w:left w:val="single" w:sz="18" w:color="FF8A3D"/>
              <w:top w:val="single" w:sz="6" w:color="F3F7FD"/>
              <w:right w:val="single" w:sz="6" w:color="F3F7FD"/>
              <w:bottom w:val="single" w:sz="6" w:color="F3F7FD"/>
            </w:tcBorders>
          </w:tcPr>
          <w:p>
            <w:pPr>
              <w:spacing w:before="0" w:after="40" w:line="300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3"/>
              </w:rPr>
              <w:t>本课一句话定义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不是教大家“再用一个聊天工具”，而是把 AI 变成产研团队的真实产能系统。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第一课聚焦底座、流程与案例，不展开空泛科普。</w:t>
            </w:r>
          </w:p>
        </w:tc>
      </w:tr>
    </w:tbl>
    <w:p/>
    <w:p>
      <w:r>
        <w:br w:type="page"/>
      </w:r>
    </w:p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一、一页摘要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p>
      <w:r>
        <w:rPr>
          <w:rFonts w:ascii="Noto Sans CJK SC" w:hAnsi="Noto Sans CJK SC" w:eastAsia="Noto Sans CJK SC"/>
          <w:b/>
          <w:i w:val="0"/>
          <w:color w:val="0F2747"/>
          <w:sz w:val="24"/>
        </w:rPr>
        <w:t>培训目标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建立团队统一的 AI 工具分工与使用边界。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固化 Codex 工作区默认配置，降低线程丢失、技能分散、协作混乱的风险。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让产品、研发、测试、实施/运维都能用真实任务完成一次可验收交付。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形成可复制的 Prompt/Skill/SOP，为后续自动化打底。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7F9FC"/>
            <w:tcBorders>
              <w:left w:val="single" w:sz="18" w:color="175FE6"/>
              <w:top w:val="single" w:sz="6" w:color="F7F9FC"/>
              <w:right w:val="single" w:sz="6" w:color="F7F9FC"/>
              <w:bottom w:val="single" w:sz="6" w:color="F7F9FC"/>
            </w:tcBorders>
          </w:tcPr>
          <w:p>
            <w:pPr>
              <w:spacing w:before="0" w:after="40" w:line="300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3"/>
              </w:rPr>
              <w:t>第一课核心结论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AI 不是额外增加的一套工具，而是要嵌入产研流程的“思考层 + 执行层 + 记忆层 + 自动化层”。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第一阶段不追求全自动，先把高频、标准化、低风险任务跑通，并形成可复用模板与技能。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真正的竞争力不在单次提问，而在统一配置、标准流程、技能沉淀、线程备份与知识复用。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311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培训对象</w:t>
            </w:r>
          </w:p>
        </w:tc>
        <w:tc>
          <w:tcPr>
            <w:tcW w:type="dxa" w:w="6746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本课结束后至少完成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产品经理、解决方案/售前、研发工程师、测试工程师、实施/运维、技术负责人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CFD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完成 1 次真实任务闭环；完成 1 次线程重命名与备份；沉淀 1 份可复用模板或 skill 使用说明。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二、课程定位：这门课解决什么问题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它不是泛泛而谈的 AI 趋势课，而是面向产研团队的工作方式升级课。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核心问题有四个：重复劳动多、文档与知识散落、线程容易失控、AI 结果难复用。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第一课不追求“一步到位全自动”，而是先把高频、标准化、低风险任务变成稳定流程。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FF8F1"/>
            <w:tcBorders>
              <w:left w:val="single" w:sz="18" w:color="FF8A3D"/>
              <w:top w:val="single" w:sz="6" w:color="FFF8F1"/>
              <w:right w:val="single" w:sz="6" w:color="FFF8F1"/>
              <w:bottom w:val="single" w:sz="6" w:color="FFF8F1"/>
            </w:tcBorders>
          </w:tcPr>
          <w:p>
            <w:pPr>
              <w:spacing w:before="0" w:after="40" w:line="300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3"/>
              </w:rPr>
              <w:t>适用场景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需求澄清、会议纪要、方案编写、招投标材料、质疑回复、读仓库、写代码、测试、部署、API 文档、用户手册、复盘总结。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不适合：未经审校直接外发、无边界的生产删除动作、未脱敏的敏感数据直接外传。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三、AI 工作体系：从单点提问升级为四层协同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73"/>
        <w:gridCol w:w="1973"/>
        <w:gridCol w:w="1973"/>
        <w:gridCol w:w="1973"/>
        <w:gridCol w:w="1973"/>
      </w:tblGrid>
      <w:tr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层级</w:t>
            </w:r>
          </w:p>
        </w:tc>
        <w:tc>
          <w:tcPr>
            <w:tcW w:type="dxa" w:w="215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核心职责</w:t>
            </w:r>
          </w:p>
        </w:tc>
        <w:tc>
          <w:tcPr>
            <w:tcW w:type="dxa" w:w="181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推荐工具</w:t>
            </w:r>
          </w:p>
        </w:tc>
        <w:tc>
          <w:tcPr>
            <w:tcW w:type="dxa" w:w="249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典型产物</w:t>
            </w:r>
          </w:p>
        </w:tc>
        <w:tc>
          <w:tcPr>
            <w:tcW w:type="dxa" w:w="215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人的职责</w:t>
            </w:r>
          </w:p>
        </w:tc>
      </w:tr>
      <w:tr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思考层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拆问题、定框架、写初稿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ChatGPT / 深度推理模型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提纲、方案、问答、复盘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定义目标、补充边界、最终拍板</w:t>
            </w:r>
          </w:p>
        </w:tc>
      </w:tr>
      <w:tr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执行层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进仓库、跑命令、截图、改文档、写代码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Codex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代码、截图、测试结果、部署记录、结构化文档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授权、观察、中断纠偏、验收</w:t>
            </w:r>
          </w:p>
        </w:tc>
      </w:tr>
      <w:tr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记忆层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保存会议、资料、历史经验与线程成果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会议纪要工具 / 本地知识库 / 线程备份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纪要、索引、经验库、命名规范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确认原始资料与归档规则</w:t>
            </w:r>
          </w:p>
        </w:tc>
      </w:tr>
      <w:tr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自动化层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定时重命名、备份、日报、批处理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Codex 自动化 + Skills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自动备份、线程整理、复盘输出、批量操作</w:t>
            </w:r>
          </w:p>
        </w:tc>
        <w:tc>
          <w:tcPr>
            <w:tcW w:type="dxa" w:w="197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设定规则、巡检异常、持续优化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4F8FF"/>
            <w:tcBorders>
              <w:left w:val="single" w:sz="18" w:color="175FE6"/>
              <w:top w:val="single" w:sz="6" w:color="F4F8FF"/>
              <w:right w:val="single" w:sz="6" w:color="F4F8FF"/>
              <w:bottom w:val="single" w:sz="6" w:color="F4F8FF"/>
            </w:tcBorders>
          </w:tcPr>
          <w:p>
            <w:pPr>
              <w:spacing w:before="0" w:after="40" w:line="300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3"/>
              </w:rPr>
              <w:t>关键判断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如果只把 AI 当成问答工具，就只能得到零散答案；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如果把 AI 放进“思考—执行—记忆—自动化”的链条里，才能持续放大团队产能。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四、工具分工：谁负责思考，谁负责执行，谁负责沉淀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工具</w:t>
            </w:r>
          </w:p>
        </w:tc>
        <w:tc>
          <w:tcPr>
            <w:tcW w:type="dxa" w:w="255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最适合做什么</w:t>
            </w:r>
          </w:p>
        </w:tc>
        <w:tc>
          <w:tcPr>
            <w:tcW w:type="dxa" w:w="311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推荐使用方式</w:t>
            </w:r>
          </w:p>
        </w:tc>
        <w:tc>
          <w:tcPr>
            <w:tcW w:type="dxa" w:w="294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边界提醒</w:t>
            </w:r>
          </w:p>
        </w:tc>
      </w:tr>
      <w:tr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ChatGPT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需求澄清、方案思考、复杂写作、研究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复杂任务用深度/研究模式；简单任务用快速模式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正式输出前必须人工审校，不负责真实环境操作</w:t>
            </w:r>
          </w:p>
        </w:tc>
      </w:tr>
      <w:tr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Codex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执行任务、读写仓库、截图、部署、整理材料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给清目标、清目录、清验收；允许中途打断纠偏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不在无边界情况下直接放开生产动作</w:t>
            </w:r>
          </w:p>
        </w:tc>
      </w:tr>
      <w:tr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会议纪要工具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开会、访谈、复盘、需求讨论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默认全程开启，先沉淀事实再做提炼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纪要是原始材料，不等于最终结论</w:t>
            </w:r>
          </w:p>
        </w:tc>
      </w:tr>
      <w:tr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Skill 库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高频场景复用：Word、图表、浏览器、Apifox、仓库分析等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遵循“先找已有，再安装新 skill，再沉淀团队规范”</w:t>
            </w:r>
          </w:p>
        </w:tc>
        <w:tc>
          <w:tcPr>
            <w:tcW w:type="dxa" w:w="2466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skill 需精简，避免重复、冲突、失控</w:t>
            </w:r>
          </w:p>
        </w:tc>
      </w:tr>
    </w:tbl>
    <w:p/>
    <w:p>
      <w:r>
        <w:br w:type="page"/>
      </w:r>
    </w:p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五、Codex 基线配置：先把底座搭稳，再谈效率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5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配置项</w:t>
            </w:r>
          </w:p>
        </w:tc>
        <w:tc>
          <w:tcPr>
            <w:tcW w:type="dxa" w:w="464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建议基线</w:t>
            </w:r>
          </w:p>
        </w:tc>
        <w:tc>
          <w:tcPr>
            <w:tcW w:type="dxa" w:w="362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业务意义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上下文窗口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默认目标 1M；若版本受限，则使用当前可用上限 + 本地知识库补位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减少长任务中信息遗失与反复重复输入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默认模型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GPT-5.4 fast 作为日常基线模型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兼顾速度、质量与连续执行体验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排队/引导模式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支持随时打断推理、即时纠偏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让 AI 从“黑箱执行”变成“可控执行”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全局工作区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把通用规范、常用 skill、命名规则放到底层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新线程也能继承统一能力，不必每次重讲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线程备份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每日定时备份，解决“空线程/丢线程”带来的知识损失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把对话资产从云端记录变成本地资产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find-skills 底层化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没有合适能力时，优先搜索并安装 skill，再执行任务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从“临时提问”升级为“能力装配”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7F9FC"/>
            <w:tcBorders>
              <w:left w:val="single" w:sz="18" w:color="0F2747"/>
              <w:top w:val="single" w:sz="6" w:color="F7F9FC"/>
              <w:right w:val="single" w:sz="6" w:color="F7F9FC"/>
              <w:bottom w:val="single" w:sz="6" w:color="F7F9FC"/>
            </w:tcBorders>
          </w:tcPr>
          <w:p>
            <w:pPr>
              <w:spacing w:before="0" w:after="40" w:line="300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3"/>
              </w:rPr>
              <w:t>建议固化为团队默认规则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默认目标：1M 上下文、GPT-5.4 fast、可随时打断推理、全局工作区、线程定时备份、find-skills 底层化。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原因很简单：如果每个人都自己摸索、反复重复配置，团队永远建立不起复利。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六、线程、知识库与 Skill 管理规范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47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规则</w:t>
            </w:r>
          </w:p>
        </w:tc>
        <w:tc>
          <w:tcPr>
            <w:tcW w:type="dxa" w:w="442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说明</w:t>
            </w:r>
          </w:p>
        </w:tc>
        <w:tc>
          <w:tcPr>
            <w:tcW w:type="dxa" w:w="396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示例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命名格式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建议使用“六位编号-一级类目-主题”的结构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001075-基础-为何这些线程都是空的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线程边界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一个线程只解决一个明确目标；复杂任务按角色拆线程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“质疑回复专家视角”与“截图证据整理”分开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重命名时效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线程完成后 24 小时内完成重命名与归档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避免后续搜索不到、复盘困难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知识固化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高价值线程需沉淀为知识文件或 skill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不是让 AI 记住，而是让团队能复用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备份频率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至少每日一次；关键任务结束后立即备份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招投标、部署、外发文档场景必须加固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90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步骤</w:t>
            </w:r>
          </w:p>
        </w:tc>
        <w:tc>
          <w:tcPr>
            <w:tcW w:type="dxa" w:w="510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动作</w:t>
            </w:r>
          </w:p>
        </w:tc>
        <w:tc>
          <w:tcPr>
            <w:tcW w:type="dxa" w:w="385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目的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1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判断现有 skill 是否能解决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避免重复造轮子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2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若无合适能力，调用 find-skills 搜索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按任务关键词或场景关键词搜索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3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选择质量较高的 skill 并安装到全局/项目工作区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先小范围验证，再广泛使用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4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用真实样例验证效果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至少跑通一次最小闭环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5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写入团队 skill 清单与使用说明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让别人也能复用，而不是只存在个人线程里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6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定期清理重复、失效、冲突 skill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保持能力栈精简、稳定、可维护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七、标准作业流（SOP）：把一次成功变成可复制交付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5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步骤</w:t>
            </w:r>
          </w:p>
        </w:tc>
        <w:tc>
          <w:tcPr>
            <w:tcW w:type="dxa" w:w="442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要做什么</w:t>
            </w:r>
          </w:p>
        </w:tc>
        <w:tc>
          <w:tcPr>
            <w:tcW w:type="dxa" w:w="385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关键提醒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1. 定义任务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明确目标、输入材料、输出格式、截止时间、验收标准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没有验收标准的任务，不进入执行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2. 喂资料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把文档、目录、会议纪要、背景限制一次性喂清楚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给“事实”而不是只给“想法”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3. 建角色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给 AI 明确角色、视角和约束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如：专家视角、甲方视角、测试工程师视角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4. 执行与纠偏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让 AI 连续执行，但人必须盯关键分叉点，必要时立即打断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AI 做偏时，补环境信息和边界即可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5. 人工复核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复核事实、证据、格式、风险点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外发文档、代码合并、部署必须过人审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6. 沉淀为模板/Skill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把高频任务提炼为 Prompt、清单、Skill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从一次性成果变成团队资产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7. 自动化复盘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能定时就定时，能自动归档就自动归档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形成周度/日度自动总结与优化循环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FF8F1"/>
            <w:tcBorders>
              <w:left w:val="single" w:sz="18" w:color="FF8A3D"/>
              <w:top w:val="single" w:sz="6" w:color="FFF8F1"/>
              <w:right w:val="single" w:sz="6" w:color="FFF8F1"/>
              <w:bottom w:val="single" w:sz="6" w:color="FFF8F1"/>
            </w:tcBorders>
          </w:tcPr>
          <w:p>
            <w:pPr>
              <w:spacing w:before="0" w:after="40" w:line="300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3"/>
              </w:rPr>
              <w:t>执行原则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先给清任务、再给清资料、再给清验收；不要只丢一句模糊需求就让 AI 硬猜。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AI 连续执行时，人要盯关键岔路口；当它跑偏，立即补环境信息并打断纠偏。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八、案例拆解一：招投标 / 质疑回复类材料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p>
      <w:pPr>
        <w:pStyle w:val="SubSectionTitle"/>
      </w:pPr>
      <w:r>
        <w:rPr>
          <w:rFonts w:ascii="Noto Sans CJK SC" w:hAnsi="Noto Sans CJK SC" w:eastAsia="Noto Sans CJK SC"/>
          <w:b/>
          <w:i w:val="0"/>
          <w:color w:val="0F2747"/>
          <w:sz w:val="25"/>
        </w:rPr>
        <w:t>1. 输入材料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会议纪要 / 讨论记录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招标文件、投标材料、中标通知书、质疑函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系统截图、代码目录、证据页码</w:t>
      </w:r>
    </w:p>
    <w:p>
      <w:pPr>
        <w:pStyle w:val="SubSectionTitle"/>
      </w:pPr>
      <w:r>
        <w:rPr>
          <w:rFonts w:ascii="Noto Sans CJK SC" w:hAnsi="Noto Sans CJK SC" w:eastAsia="Noto Sans CJK SC"/>
          <w:b/>
          <w:i w:val="0"/>
          <w:color w:val="0F2747"/>
          <w:sz w:val="25"/>
        </w:rPr>
        <w:t>2. 处理路径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先用会议纪要工具形成事实底稿。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让 ChatGPT 以专家视角形成整体思路，再切换到对方视角模拟可能质疑。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把真实材料集中喂入，形成正式的回复逻辑。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交给 Codex 从仓库、小程序或原始文档中抓取截图与证据页。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按 Word 正式格式整合，输出说明函/回复函。</w:t>
      </w:r>
    </w:p>
    <w:p>
      <w:pPr>
        <w:pStyle w:val="SubSectionTitle"/>
      </w:pPr>
      <w:r>
        <w:rPr>
          <w:rFonts w:ascii="Noto Sans CJK SC" w:hAnsi="Noto Sans CJK SC" w:eastAsia="Noto Sans CJK SC"/>
          <w:b/>
          <w:i w:val="0"/>
          <w:color w:val="0F2747"/>
          <w:sz w:val="25"/>
        </w:rPr>
        <w:t>3. 最终产物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正式质疑回复材料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页码级证据链与截图材料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后续可复用的质疑回复模板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DEFF1"/>
            <w:tcBorders>
              <w:left w:val="single" w:sz="18" w:color="D84A5B"/>
              <w:top w:val="single" w:sz="6" w:color="FDEFF1"/>
              <w:right w:val="single" w:sz="6" w:color="FDEFF1"/>
              <w:bottom w:val="single" w:sz="6" w:color="FDEFF1"/>
            </w:tcBorders>
          </w:tcPr>
          <w:p>
            <w:pPr>
              <w:spacing w:before="0" w:after="40" w:line="300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3"/>
              </w:rPr>
              <w:t>这类任务最容易犯的错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只有文字，没有证据链；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有结论，没有页码、截图和来源；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一次生成后直接外发，没有人审。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九、案例拆解二：研发交付闭环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阶段</w:t>
            </w:r>
          </w:p>
        </w:tc>
        <w:tc>
          <w:tcPr>
            <w:tcW w:type="dxa" w:w="408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AI 可以承担的工作</w:t>
            </w:r>
          </w:p>
        </w:tc>
        <w:tc>
          <w:tcPr>
            <w:tcW w:type="dxa" w:w="453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落地建议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读仓库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理解代码结构、关键模块、配置方式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用 skill/仓库分析能力提升上下文质量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写代码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生成或改造模块代码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先写最小可运行版本，再迭代增强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单元测试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补齐测试、执行验证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把“能跑”升级为“可验收”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Code Review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自查风险、边界、异常处理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要求 AI 做第二轮自审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API / 文档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生成 API Fox、接口说明、用户手册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把交付链从代码延伸到文档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部署 / 发布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执行上线、整理日志与结果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高风险动作必须有人在旁验收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4F8FF"/>
            <w:tcBorders>
              <w:left w:val="single" w:sz="18" w:color="175FE6"/>
              <w:top w:val="single" w:sz="6" w:color="F4F8FF"/>
              <w:right w:val="single" w:sz="6" w:color="F4F8FF"/>
              <w:bottom w:val="single" w:sz="6" w:color="F4F8FF"/>
            </w:tcBorders>
          </w:tcPr>
          <w:p>
            <w:pPr>
              <w:spacing w:before="0" w:after="40" w:line="300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3"/>
              </w:rPr>
              <w:t>研发侧的关键认知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AI 的价值不只是“帮你写一段代码”，而是把读仓库、改代码、单测、文档、部署连接成一条交付链。</w:t>
            </w:r>
          </w:p>
          <w:p>
            <w:pPr>
              <w:spacing w:before="0" w:after="20" w:line="288" w:lineRule="auto"/>
              <w:ind w:left="0"/>
            </w:pPr>
            <w:r>
              <w:rPr>
                <w:rFonts w:ascii="Noto Sans CJK SC" w:hAnsi="Noto Sans CJK SC" w:eastAsia="Noto Sans CJK SC"/>
                <w:b/>
                <w:i w:val="0"/>
                <w:color w:val="FF8A3D"/>
                <w:sz w:val="21"/>
              </w:rPr>
              <w:t xml:space="preserve">• </w:t>
            </w: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1"/>
              </w:rPr>
              <w:t>任何一步不能验收，整个链条都不能算完成。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十、按角色落地：产研团队的第一批高价值场景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47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角色</w:t>
            </w:r>
          </w:p>
        </w:tc>
        <w:tc>
          <w:tcPr>
            <w:tcW w:type="dxa" w:w="4876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第一批建议场景</w:t>
            </w:r>
          </w:p>
        </w:tc>
        <w:tc>
          <w:tcPr>
            <w:tcW w:type="dxa" w:w="351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优先沉淀的 Skill / 模板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8"/>
              </w:rPr>
              <w:t>产品经理/BA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需求澄清、PRD 初稿、会议纪要、用户故事、验收口径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“需求拆解助手”“会议纪要转任务”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8"/>
              </w:rPr>
              <w:t>解决方案/售前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技术方案、招投标材料、质疑回复、客户问答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“投标技术方案生成”“证据链整理”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8"/>
              </w:rPr>
              <w:t>研发工程师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读仓库、写代码、单测、Code Review、API 文档、用户手册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“仓库读写规范”“交付闭环”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8"/>
              </w:rPr>
              <w:t>测试/实施/运维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测试用例、日志分析、截图取证、发布说明、问题复盘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“截图整理”“日志问题归因”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8"/>
              </w:rPr>
              <w:t>技术负责人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周报复盘、任务分派、技能沉淀、规范治理、自动化规则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8"/>
              </w:rPr>
              <w:t>“线程重命名/备份”“团队 AI 周报”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十一、治理与红线：效率上去，风险不能失控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47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治理主题</w:t>
            </w:r>
          </w:p>
        </w:tc>
        <w:tc>
          <w:tcPr>
            <w:tcW w:type="dxa" w:w="464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管控要求</w:t>
            </w:r>
          </w:p>
        </w:tc>
        <w:tc>
          <w:tcPr>
            <w:tcW w:type="dxa" w:w="374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核心原则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DEFF1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外发材料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所有面向客户、招投标、合同性质文档必须人工终审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AI 负责草稿和证据整理，不单独承担责任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DEFF1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生产环境动作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部署、删改数据、正式发布必须有人值守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先在隔离环境验证，再进入正式环境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DEFF1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数据安全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敏感数据脱敏、最小授权、分环境隔离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不把不该出域的数据直接交给外部工具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DEFF1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版本治理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输出文件命名统一、进入知识库/仓库归档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避免“好结果只停留在线程里”</w:t>
            </w:r>
          </w:p>
        </w:tc>
      </w:tr>
      <w:tr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DEFF1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质量门禁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文档看事实、代码看测试、部署看结果、截图看清晰度</w:t>
            </w:r>
          </w:p>
        </w:tc>
        <w:tc>
          <w:tcPr>
            <w:tcW w:type="dxa" w:w="3289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可交付 &gt; 可生成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十二、30 天落地计划与衡量指标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15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阶段</w:t>
            </w:r>
          </w:p>
        </w:tc>
        <w:tc>
          <w:tcPr>
            <w:tcW w:type="dxa" w:w="771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重点动作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第1周：搭底座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完成每人工作区配置：上下文、模型、权限、目录、本地知识库、find-skills、备份与重命名规则。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第2周：跑真实任务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每人至少选 1 个真实任务，用 AI 跑出完整结果，并保留过程记录。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第3周：沉淀资产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把高频任务沉淀为 Prompt 模板、Skill 或 SOP，并进入团队共享库。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EF4FE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19"/>
              </w:rPr>
              <w:t>第4周：自动化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19"/>
              </w:rPr>
              <w:t>挑选 1—2 个低风险重复动作做自动化，如备份、周报、截图整理、文档归档。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42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衡量项</w:t>
            </w:r>
          </w:p>
        </w:tc>
        <w:tc>
          <w:tcPr>
            <w:tcW w:type="dxa" w:w="54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建议目标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文档首稿时长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较基线下降 50%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会议纪要转任务用时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较基线下降 70%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新模块文档覆盖率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API 文档 / 用户手册覆盖率 100%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团队技能资产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每个小组至少沉淀 3 个可复用 Skill / 模板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4E8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真实任务使用率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80% 以上成员每周至少完成 1 次真实 AI 任务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十三、实操清单：每位参训人员本周必须完成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完成本地 AI 项目目录与知识库建立。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完成 Codex 默认配置：上下文、模型、队列/中断、全局工作区。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安装并验证至少 1 个通用 skill；没有合适 skill 时能使用 find-skills 搜索。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选择 1 个真实任务，按“任务—资料—执行—复核—沉淀”跑完整闭环。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将至少 1 个高价值线程重命名、归档并备份。</w:t>
      </w:r>
    </w:p>
    <w:p>
      <w:pPr>
        <w:spacing w:before="0" w:after="20" w:line="288" w:lineRule="auto"/>
        <w:ind w:left="227" w:hanging="227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形成 1 份团队可复用的模板或 skill 使用说明。</w:t>
      </w:r>
    </w:p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十四、附录 A：Prompt 模板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170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模块</w:t>
            </w:r>
          </w:p>
        </w:tc>
        <w:tc>
          <w:tcPr>
            <w:tcW w:type="dxa" w:w="816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写法示例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角色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你现在是【岗位/视角】，目标是完成【具体任务】。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输入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以下是你可以使用的材料：文档目录、会议纪要、代码目录、截图要求、输出样式。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约束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不得编造事实；没有依据时必须明确说明；关键结论要引用材料来源或页码。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输出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请按照【Word/PPT/表格/邮件】格式输出，并给出可直接交付的版本。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1FB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质量检查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输出前自检：事实准确、结构完整、格式符合、风险已提示。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十五、附录 B：Skill 模板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170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模块</w:t>
            </w:r>
          </w:p>
        </w:tc>
        <w:tc>
          <w:tcPr>
            <w:tcW w:type="dxa" w:w="816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F2747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0"/>
              </w:rPr>
              <w:t>内容要求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名称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例如：生成用户手册 / 招投标证据链整理 / API 文档补全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何时使用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说明适用场景与不适用场景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输入要求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需要哪些资料、目录、账号、边界与权限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执行步骤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按 1-2-3-4 步描述工作流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输出要求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最终产物、命名规则、存放位置</w:t>
            </w:r>
          </w:p>
        </w:tc>
      </w:tr>
      <w:tr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EAF6F6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0F2747"/>
                <w:sz w:val="20"/>
              </w:rPr>
              <w:t>验收标准</w:t>
            </w:r>
          </w:p>
        </w:tc>
        <w:tc>
          <w:tcPr>
            <w:tcW w:type="dxa" w:w="4933"/>
            <w:tcMar>
              <w:top w:w="90" w:type="dxa"/>
              <w:start w:w="110" w:type="dxa"/>
              <w:bottom w:w="90" w:type="dxa"/>
              <w:end w:w="110" w:type="dxa"/>
            </w:tcMar>
            <w:shd w:fill="FFFFFF"/>
            <w:tcBorders>
              <w:left w:val="single" w:sz="6" w:color="D9E2F3"/>
              <w:top w:val="single" w:sz="6" w:color="D9E2F3"/>
              <w:right w:val="single" w:sz="6" w:color="D9E2F3"/>
              <w:bottom w:val="single" w:sz="6" w:color="D9E2F3"/>
            </w:tcBorders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color w:val="263238"/>
                <w:sz w:val="20"/>
              </w:rPr>
              <w:t>什么结果算完成；谁来确认</w:t>
            </w:r>
          </w:p>
        </w:tc>
      </w:tr>
    </w:tbl>
    <w:p/>
    <w:p>
      <w:pPr>
        <w:pStyle w:val="SectionTitle"/>
        <w:spacing w:before="200" w:after="120" w:line="300" w:lineRule="auto"/>
      </w:pPr>
      <w:r>
        <w:rPr>
          <w:rFonts w:ascii="Noto Sans CJK SC" w:hAnsi="Noto Sans CJK SC" w:eastAsia="Noto Sans CJK SC"/>
          <w:b/>
          <w:i w:val="0"/>
          <w:color w:val="0F2747"/>
          <w:sz w:val="32"/>
        </w:rPr>
        <w:t>十六、资料来源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DCE7F9"/>
            <w:tcBorders>
              <w:left w:val="nil"/>
              <w:top w:val="nil"/>
              <w:right w:val="nil"/>
              <w:bottom w:val="nil"/>
            </w:tcBorders>
          </w:tcPr>
          <w:p>
            <w:r>
              <w:t xml:space="preserve"> </w:t>
            </w:r>
          </w:p>
        </w:tc>
      </w:tr>
    </w:tbl>
    <w:p>
      <w:pPr>
        <w:spacing w:before="0" w:after="40" w:line="288" w:lineRule="auto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内部来源：2026-03-19《AI技能分享记录》转写稿。</w:t>
      </w:r>
    </w:p>
    <w:p>
      <w:pPr>
        <w:spacing w:before="0" w:after="40" w:line="288" w:lineRule="auto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>当前补充要求：Codex 工作区需固化 1M 上下文、GPT-5.4 fast、可打断排队、线程备份恢复、find-skills 底层化、全局工作区。</w:t>
      </w:r>
    </w:p>
    <w:p>
      <w:pPr>
        <w:spacing w:before="0" w:after="40" w:line="288" w:lineRule="auto"/>
      </w:pPr>
      <w:r>
        <w:rPr>
          <w:rFonts w:ascii="Noto Sans CJK SC" w:hAnsi="Noto Sans CJK SC" w:eastAsia="Noto Sans CJK SC"/>
          <w:b/>
          <w:i w:val="0"/>
          <w:color w:val="FF8A3D"/>
          <w:sz w:val="21"/>
        </w:rPr>
        <w:t xml:space="preserve">• </w:t>
      </w:r>
      <w:r>
        <w:rPr>
          <w:rFonts w:ascii="Noto Sans CJK SC" w:hAnsi="Noto Sans CJK SC" w:eastAsia="Noto Sans CJK SC"/>
          <w:b w:val="0"/>
          <w:i w:val="0"/>
          <w:color w:val="263238"/>
          <w:sz w:val="21"/>
        </w:rPr>
        <w:t xml:space="preserve">参考资源：find-skills（用户提供） </w:t>
      </w:r>
      <w:hyperlink r:id="rId11">
        <w:r>
          <w:rPr>
            <w:rStyle w:val="Hyperlink"/>
            <w:color w:val="0563C1"/>
          </w:rPr>
          <w:t>https://clawhub.ai/JimLiuxinghai/find-skills</w:t>
        </w:r>
      </w:hyperlink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907" w:left="1020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Noto Sans CJK SC" w:hAnsi="Noto Sans CJK SC" w:eastAsia="Noto Sans CJK SC"/>
        <w:b w:val="0"/>
        <w:i w:val="0"/>
        <w:color w:val="6B7280"/>
        <w:sz w:val="17"/>
      </w:rPr>
      <w:t>内部培训材料｜V1.0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Noto Sans CJK SC" w:hAnsi="Noto Sans CJK SC" w:eastAsia="Noto Sans CJK SC"/>
        <w:b w:val="0"/>
        <w:i w:val="0"/>
        <w:color w:val="6B7280"/>
        <w:sz w:val="17"/>
      </w:rPr>
      <w:t>AI技能分享第一课｜面向产研团队的可落地训练材料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80"/>
    </w:pPr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Title">
    <w:name w:val="CoverTitle"/>
    <w:rPr>
      <w:rFonts w:ascii="Noto Sans CJK SC" w:hAnsi="Noto Sans CJK SC" w:eastAsia="Noto Sans CJK SC"/>
      <w:b/>
      <w:color w:val="0F2747"/>
      <w:sz w:val="52"/>
    </w:rPr>
  </w:style>
  <w:style w:type="paragraph" w:customStyle="1" w:styleId="CoverSubTitle">
    <w:name w:val="CoverSubTitle"/>
    <w:rPr>
      <w:rFonts w:ascii="Noto Sans CJK SC" w:hAnsi="Noto Sans CJK SC" w:eastAsia="Noto Sans CJK SC"/>
      <w:color w:val="4B5B73"/>
      <w:sz w:val="26"/>
    </w:rPr>
  </w:style>
  <w:style w:type="paragraph" w:customStyle="1" w:styleId="SectionTitle">
    <w:name w:val="SectionTitle"/>
    <w:pPr>
      <w:spacing w:before="160" w:after="160"/>
    </w:pPr>
    <w:rPr>
      <w:rFonts w:ascii="Noto Sans CJK SC" w:hAnsi="Noto Sans CJK SC" w:eastAsia="Noto Sans CJK SC"/>
      <w:b/>
      <w:color w:val="0F2747"/>
      <w:sz w:val="32"/>
    </w:rPr>
  </w:style>
  <w:style w:type="paragraph" w:customStyle="1" w:styleId="SubSectionTitle">
    <w:name w:val="SubSectionTitle"/>
    <w:pPr>
      <w:spacing w:before="120" w:after="80"/>
    </w:pPr>
    <w:rPr>
      <w:rFonts w:ascii="Noto Sans CJK SC" w:hAnsi="Noto Sans CJK SC" w:eastAsia="Noto Sans CJK SC"/>
      <w:b/>
      <w:color w:val="0F2747"/>
      <w:sz w:val="2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clawhub.ai/JimLiuxinghai/find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