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verTitle"/>
      </w:pPr>
      <w:r>
        <w:t>AI时代产研组织重构与岗位定义</w:t>
      </w:r>
    </w:p>
    <w:p>
      <w:pPr>
        <w:pStyle w:val="CoverSubTitle"/>
      </w:pPr>
      <w:r>
        <w:t>面向康比特产研与交付团队的组织升级说明</w:t>
      </w:r>
    </w:p>
    <w:p>
      <w:pPr>
        <w:pStyle w:val="CoverSubTitle"/>
      </w:pPr>
      <w:r>
        <w:t>把抽象方法论，翻译成团队能执行的组织方案。</w:t>
      </w:r>
    </w:p>
    <w:p>
      <w:pPr>
        <w:pStyle w:val="CoverSubTitle"/>
      </w:pPr>
      <w:r>
        <w:rPr>
          <w:b/>
          <w:color w:val="FF8A3D"/>
        </w:rPr>
        <w:t>关键词：统一前门 / 事实源 / AI软件工厂 / 三套环境 / 数据回流</w:t>
      </w:r>
    </w:p>
    <w:p>
      <w:pPr>
        <w:pStyle w:val="SmallGray"/>
      </w:pPr>
      <w:r>
        <w:t>适用对象：产品经理、研发工程师、测试工程师、实施/交付、运维/SRE、技术负责人</w:t>
      </w:r>
    </w:p>
    <w:p>
      <w:pPr>
        <w:pStyle w:val="SmallGray"/>
      </w:pPr>
      <w:r>
        <w:t>版本：v1.0｜日期：2026年4月20日</w:t>
      </w:r>
    </w:p>
    <w:p>
      <w:pPr>
        <w:pStyle w:val="SmallGray"/>
      </w:pPr>
      <w:r>
        <w:t>整理依据：第一讲培训材料、4月14日会议录音与白板、《AI软件工厂自动化落地方案》、ARobot Prompt v2、Skill Catalog。</w:t>
      </w:r>
    </w:p>
    <w:p/>
    <w:p>
      <w:pPr>
        <w:pStyle w:val="SectionTitle"/>
      </w:pPr>
      <w:r>
        <w:rPr>
          <w:rFonts w:ascii="Microsoft YaHei" w:hAnsi="Microsoft YaHei" w:eastAsia="Microsoft YaHei"/>
        </w:rPr>
        <w:t>一、一页摘要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这次重构的重点，不是多买几个 AI 工具，而是把需求、开发、测试、上线、监控连成一条受控链路。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旧问题的根源不是“人不努力”，而是需求碎片化、上下文缺失、风格不统一、测试和发布不连续。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新组织建议采用“一个前门 + 三类业务小队 + 一个 AI 软件工厂平台组 + 一个治理层”的结构。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岗位变化的核心是：产品从“写文档”转向“定义问题与验收”；开发从“手写全部代码”转向“驾驭 Agent、维护事实源、守住质量门”。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第一阶段不追求全自动，先跑通一条同时覆盖 DB、API、前端、测试、发布的 Pilot 链路。</w:t>
      </w:r>
    </w:p>
    <w:p>
      <w:pPr>
        <w:pStyle w:val="SectionTitle"/>
      </w:pPr>
      <w:r>
        <w:rPr>
          <w:rFonts w:ascii="Microsoft YaHei" w:hAnsi="Microsoft YaHei" w:eastAsia="Microsoft YaHei"/>
        </w:rPr>
        <w:t>二、为什么现在必须做组织升级</w:t>
      </w:r>
    </w:p>
    <w:p>
      <w:pPr/>
      <w:r>
        <w:rPr>
          <w:rFonts w:ascii="Microsoft YaHei" w:hAnsi="Microsoft YaHei" w:eastAsia="Microsoft YaHei"/>
          <w:sz w:val="21"/>
        </w:rPr>
        <w:t>过去那套“PRD → 设计 → 排期 → 开发 → 测试 → 上线”的流程，在人工主导时代是合理的。现在 AI 已经把代码和原型的生成速度抬高了，真正拖慢团队的，往往不再是写代码，而是传话、等待、返工、补上下文。</w:t>
      </w:r>
    </w:p>
    <w:p>
      <w:pPr>
        <w:pStyle w:val="SubSectionTitle"/>
      </w:pPr>
      <w:r>
        <w:t>当前最典型的四个问题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同类需求，不同人写出不同代码风格，后面维护成本越来越高。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新功能只满足当前局部需求，没有把历史链路、关联表、字典项一起考虑进去。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DB、接口、字典、相似功能没有沉淀成“系统事实源”，所以 AI 只能看见当前对话，看不见系统全貌。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测试、回归、发布不连续，结果就是“功能能跑，但不敢放量”。</w:t>
      </w:r>
    </w:p>
    <w:p>
      <w:pPr>
        <w:pStyle w:val="SectionTitle"/>
      </w:pPr>
      <w:r>
        <w:rPr>
          <w:rFonts w:ascii="Microsoft YaHei" w:hAnsi="Microsoft YaHei" w:eastAsia="Microsoft YaHei"/>
        </w:rPr>
        <w:t>三、组织升级的目标：把产研从“人盯人”升级为“系统带人”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目标 1：需求进门有标准。任何需求都先结构化，再进入研发。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目标 2：研发执行有上下文。AI 和开发都基于统一事实源工作，而不是各凭记忆。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目标 3：上线过程有质量门。代码、测试、环境、发布都有明确规则。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目标 4：线上问题能自动回流。监控和数据不是只提醒，而是能生成下一轮任务。</w:t>
      </w:r>
    </w:p>
    <w:p>
      <w:pPr>
        <w:pStyle w:val="SectionTitle"/>
      </w:pPr>
      <w:r>
        <w:rPr>
          <w:rFonts w:ascii="Microsoft YaHei" w:hAnsi="Microsoft YaHei" w:eastAsia="Microsoft YaHei"/>
        </w:rPr>
        <w:t>四、产研组织怎么一步步升级</w:t>
      </w:r>
    </w:p>
    <w:p>
      <w:pPr>
        <w:pStyle w:val="SubSectionTitle"/>
      </w:pPr>
      <w:r>
        <w:t>第 1 步｜统一前门：先把需求收口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所有需求先进入统一入口，例如企业微信 / 工单 / 表单，由系统生成 requirement pack。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没有目标、范围、验收标准的需求，不直接进研发。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一件事只能有一个 owner，其他人是协同者，不再多人同时盯同一件事。</w:t>
      </w:r>
    </w:p>
    <w:p>
      <w:pPr>
        <w:pStyle w:val="SubSectionTitle"/>
      </w:pPr>
      <w:r>
        <w:t>第 2 步｜统一事实源：先让 AI 看懂系统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把 DB 字典、字典表、OpenAPI/Apifox、相似功能、回归清单沉淀到仓库。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让 AI 先读事实源，再做方案、代码、测试和文档。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同类需求不再从零开始，而是优先复用已有规则和样板。</w:t>
      </w:r>
    </w:p>
    <w:p>
      <w:pPr>
        <w:pStyle w:val="SubSectionTitle"/>
      </w:pPr>
      <w:r>
        <w:t>第 3 步｜建设 AI 软件工厂：把开发变成流水线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会议纪要、需求包、任务契约、代码、SQL、测试、发布说明，都成为受控产物。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Codex/Qoder 这类执行引擎负责“理解任务并产出交付物”。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Skill、Prompt、规则、Hook 负责把个人经验变成团队共用能力。</w:t>
      </w:r>
    </w:p>
    <w:p>
      <w:pPr>
        <w:pStyle w:val="SubSectionTitle"/>
      </w:pPr>
      <w:r>
        <w:t>第 4 步｜建立质量门：把“能写”变成“能上线”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引入 Harness、测试闸门、OpenAPI diff、migration 检查、回归脚本。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建立本地/沙箱、dev、test、prod 三套环境规则：dev 追求快，test 追求稳，prod 追求可控。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危险命令、危险路径、危险 SQL 必须保留人工审批点。</w:t>
      </w:r>
    </w:p>
    <w:p>
      <w:pPr>
        <w:pStyle w:val="SubSectionTitle"/>
      </w:pPr>
      <w:r>
        <w:t>第 5 步｜把监控和数据接回迭代链路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监控不再只是发告警，而是自动形成 fix task 或优化任务。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数据分析不只是做报表，而是告诉团队下一轮该追求增长、稳定还是营收。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复盘结果沉淀成标准功能、配置项、SOP、案例库和销售物料。</w:t>
      </w:r>
    </w:p>
    <w:p>
      <w:pPr>
        <w:pStyle w:val="SectionTitle"/>
      </w:pPr>
      <w:r>
        <w:rPr>
          <w:rFonts w:ascii="Microsoft YaHei" w:hAnsi="Microsoft YaHei" w:eastAsia="Microsoft YaHei"/>
        </w:rPr>
        <w:t>五、建议的目标组织架构</w:t>
      </w:r>
    </w:p>
    <w:p>
      <w:pPr/>
      <w:r>
        <w:rPr>
          <w:rFonts w:ascii="Microsoft YaHei" w:hAnsi="Microsoft YaHei" w:eastAsia="Microsoft YaHei"/>
          <w:sz w:val="21"/>
        </w:rPr>
        <w:t>可以先按“一个前门 + 三类团队 + 一个平台组 + 一个治理层”来设计。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701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组织单元</w:t>
            </w:r>
          </w:p>
        </w:tc>
        <w:tc>
          <w:tcPr>
            <w:tcW w:type="dxa" w:w="3969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主要职责</w:t>
            </w:r>
          </w:p>
        </w:tc>
        <w:tc>
          <w:tcPr>
            <w:tcW w:type="dxa" w:w="2835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你可以把它理解成什么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需求前门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统一接收需求、生成 requirement pack、分流并指派 owner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不再让研发直接接群聊碎片需求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业务产研小队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围绕核心业务目标负责功能、交付和效果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真正对结果负责的小队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监控与数据分析小队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监控、埋点、分析、实验、优化建议回流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业务的“指南针”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AI 软件工厂平台组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Skill、Prompt、规则、Hooks、Harness、三环境、发布链路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让团队跑得更快更稳的底座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架构与发布治理层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高风险评审、主干保护、生产审批、兼容性裁决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组织的最后一道质量门</w:t>
            </w:r>
          </w:p>
        </w:tc>
      </w:tr>
    </w:tbl>
    <w:p/>
    <w:p>
      <w:pPr>
        <w:pStyle w:val="SectionTitle"/>
      </w:pPr>
      <w:r>
        <w:rPr>
          <w:rFonts w:ascii="Microsoft YaHei" w:hAnsi="Microsoft YaHei" w:eastAsia="Microsoft YaHei"/>
        </w:rPr>
        <w:t>六、岗位职责怎么变</w:t>
      </w:r>
    </w:p>
    <w:p>
      <w:pPr/>
      <w:r>
        <w:rPr>
          <w:rFonts w:ascii="Microsoft YaHei" w:hAnsi="Microsoft YaHei" w:eastAsia="Microsoft YaHei"/>
          <w:sz w:val="21"/>
        </w:rPr>
        <w:t>下面这张表，重点不是换头衔，而是说明每个岗位在 AI 时代真正要承担什么。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1701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岗位</w:t>
            </w:r>
          </w:p>
        </w:tc>
        <w:tc>
          <w:tcPr>
            <w:tcW w:type="dxa" w:w="3288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新的核心职责</w:t>
            </w:r>
          </w:p>
        </w:tc>
        <w:tc>
          <w:tcPr>
            <w:tcW w:type="dxa" w:w="2835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关键产出</w:t>
            </w:r>
          </w:p>
        </w:tc>
        <w:tc>
          <w:tcPr>
            <w:tcW w:type="dxa" w:w="2154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要减少的旧做法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产品经理 / BA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定义问题、补充业务约束、给出验收标准、维护优先级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requirement pack、验收口径、业务规则、优先级结论</w:t>
            </w:r>
          </w:p>
        </w:tc>
        <w:tc>
          <w:tcPr>
            <w:tcW w:type="dxa" w:w="215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只写长 PRD、把需求扔给研发后等待结果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开发工程师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驾驭 Agent、维护事实源、做影响分析、补测试、守住兼容性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代码差异、SQL migration、测试、接口说明、回滚说明</w:t>
            </w:r>
          </w:p>
        </w:tc>
        <w:tc>
          <w:tcPr>
            <w:tcW w:type="dxa" w:w="215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只负责“把代码写出来”，不管测试和文档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测试工程师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设计质量门、维护回归清单、把关键链路自动化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回归清单、自动化测试、放行建议、缺陷归因</w:t>
            </w:r>
          </w:p>
        </w:tc>
        <w:tc>
          <w:tcPr>
            <w:tcW w:type="dxa" w:w="215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只在最后阶段做人工验收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实施 / 交付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收口现场需求、补齐业务场景、管理项目节奏、统一对外口径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需求采集表、上线计划、问题分级、周报/复盘</w:t>
            </w:r>
          </w:p>
        </w:tc>
        <w:tc>
          <w:tcPr>
            <w:tcW w:type="dxa" w:w="215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直接把客户碎片需求扔给研发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运维 / SRE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维护环境、灰度、回滚、监控告警与稳定性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发布记录、回滚方案、监控规则、事故复盘</w:t>
            </w:r>
          </w:p>
        </w:tc>
        <w:tc>
          <w:tcPr>
            <w:tcW w:type="dxa" w:w="215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只负责发版，不参与监控和回流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AI 平台 / 工厂 Owner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维护 Skill、Prompt、Hook、Harness、Runner 和规则库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团队级能力清单、默认规则、流水线模板、工具治理</w:t>
            </w:r>
          </w:p>
        </w:tc>
        <w:tc>
          <w:tcPr>
            <w:tcW w:type="dxa" w:w="215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让每个人各自安装、各自配置、各自踩坑</w:t>
            </w:r>
          </w:p>
        </w:tc>
      </w:tr>
      <w:tr>
        <w:tc>
          <w:tcPr>
            <w:tcW w:type="dxa" w:w="170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技术负责人 / 架构师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把控技术边界、兼容性、主干质量、关键方案争议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架构规则、评审结论、高风险审批、阶段性路线图</w:t>
            </w:r>
          </w:p>
        </w:tc>
        <w:tc>
          <w:tcPr>
            <w:tcW w:type="dxa" w:w="215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只做代码审阅，不做流程与治理设计</w:t>
            </w:r>
          </w:p>
        </w:tc>
      </w:tr>
    </w:tbl>
    <w:p/>
    <w:p>
      <w:pPr>
        <w:pStyle w:val="SectionTitle"/>
      </w:pPr>
      <w:r>
        <w:rPr>
          <w:rFonts w:ascii="Microsoft YaHei" w:hAnsi="Microsoft YaHei" w:eastAsia="Microsoft YaHei"/>
        </w:rPr>
        <w:t>七、新的协作模式：从“人传话”改成“任务契约驱动”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第一步：需求进入统一前门，先形成 requirement pack。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第二步：产品 / 交付补齐目标、范围、验收标准，技术侧生成 TASK_CONTRACT。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第三步：AI 执行引擎基于事实源和规则产出代码、测试、文档、发布说明。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第四步：Harness 和 CI/CD 负责检查、部署、灰度、回滚。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第五步：监控和数据把异常与机会重新打回需求池。</w:t>
      </w:r>
    </w:p>
    <w:p>
      <w:pPr>
        <w:pStyle w:val="QuoteBox"/>
      </w:pPr>
      <w:r>
        <w:rPr>
          <w:rFonts w:ascii="Microsoft YaHei" w:hAnsi="Microsoft YaHei" w:eastAsia="Microsoft YaHei"/>
        </w:rPr>
        <w:t>一句话理解：以后团队协作的基础单位，不再是“谁在群里说了一句”，而是“一个有目标、有边界、有验收标准的任务契约”。</w:t>
      </w:r>
    </w:p>
    <w:p>
      <w:pPr>
        <w:pStyle w:val="SectionTitle"/>
      </w:pPr>
      <w:r>
        <w:rPr>
          <w:rFonts w:ascii="Microsoft YaHei" w:hAnsi="Microsoft YaHei" w:eastAsia="Microsoft YaHei"/>
        </w:rPr>
        <w:t>八、管理指标和治理红线</w:t>
      </w:r>
    </w:p>
    <w:p>
      <w:pPr>
        <w:pStyle w:val="SubSectionTitle"/>
      </w:pPr>
      <w:r>
        <w:t>建议重点盯住这 6 个指标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需求自动结构化时长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AI 首轮产出通过率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dev 自动部署率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test 回归通过率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变更失败率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线上逃逸缺陷率</w:t>
      </w:r>
    </w:p>
    <w:p>
      <w:pPr>
        <w:pStyle w:val="SubSectionTitle"/>
      </w:pPr>
      <w:r>
        <w:t>这 5 条红线不能松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外发材料必须人工终审。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生产环境高危动作必须人工值守。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敏感数据必须脱敏并最小授权。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任何 DB 变化都必须走 migration。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任何高风险功能默认 behind flag 或灰度放量。</w:t>
      </w:r>
    </w:p>
    <w:p>
      <w:pPr>
        <w:pStyle w:val="SectionTitle"/>
      </w:pPr>
      <w:r>
        <w:rPr>
          <w:rFonts w:ascii="Microsoft YaHei" w:hAnsi="Microsoft YaHei" w:eastAsia="Microsoft YaHei"/>
        </w:rPr>
        <w:t>九、90 天落地建议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c>
          <w:tcPr>
            <w:tcW w:type="dxa" w:w="1417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阶段</w:t>
            </w:r>
          </w:p>
        </w:tc>
        <w:tc>
          <w:tcPr>
            <w:tcW w:type="dxa" w:w="4252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重点动作</w:t>
            </w:r>
          </w:p>
        </w:tc>
        <w:tc>
          <w:tcPr>
            <w:tcW w:type="dxa" w:w="3288"/>
            <w:shd w:fill="DCE8FF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12263F"/>
                <w:sz w:val="21"/>
              </w:rPr>
              <w:t>验收结果</w:t>
            </w:r>
          </w:p>
        </w:tc>
      </w:tr>
      <w:tr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0-30 天</w:t>
            </w:r>
          </w:p>
        </w:tc>
        <w:tc>
          <w:tcPr>
            <w:tcW w:type="dxa" w:w="425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统一需求前门；补齐 DB 字典、API 契约、相似功能、回归清单；选 1 条 Pilot 链路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需求不再直接从群聊进入研发；Pilot 有 requirement pack 与 TASK_CONTRACT</w:t>
            </w:r>
          </w:p>
        </w:tc>
      </w:tr>
      <w:tr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31-60 天</w:t>
            </w:r>
          </w:p>
        </w:tc>
        <w:tc>
          <w:tcPr>
            <w:tcW w:type="dxa" w:w="425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跑通 Codex/Qoder + Skill + Harness 的最小闭环；打通 dev / test / prod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代码、测试、文档、发布说明能一并产出；test 有审批记录</w:t>
            </w:r>
          </w:p>
        </w:tc>
      </w:tr>
      <w:tr>
        <w:tc>
          <w:tcPr>
            <w:tcW w:type="dxa" w:w="1417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61-90 天</w:t>
            </w:r>
          </w:p>
        </w:tc>
        <w:tc>
          <w:tcPr>
            <w:tcW w:type="dxa" w:w="425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补监控回流与数据看板；正式形成业务小队 + 平台组 + 治理层协同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color w:val="12263F"/>
                <w:sz w:val="21"/>
              </w:rPr>
              <w:t>线上问题能回流成 fix task；团队开始按新分工协作</w:t>
            </w:r>
          </w:p>
        </w:tc>
      </w:tr>
    </w:tbl>
    <w:p/>
    <w:p>
      <w:pPr>
        <w:pStyle w:val="SectionTitle"/>
      </w:pPr>
      <w:r>
        <w:rPr>
          <w:rFonts w:ascii="Microsoft YaHei" w:hAnsi="Microsoft YaHei" w:eastAsia="Microsoft YaHei"/>
        </w:rPr>
        <w:t>十、最后一句话给团队</w:t>
      </w:r>
    </w:p>
    <w:p>
      <w:pPr/>
      <w:r>
        <w:rPr>
          <w:rFonts w:ascii="Microsoft YaHei" w:hAnsi="Microsoft YaHei" w:eastAsia="Microsoft YaHei"/>
          <w:sz w:val="21"/>
        </w:rPr>
        <w:t>AI 时代真正要升级的，不是某个工具的使用熟练度，而是整套产研操作系统。先把需求前门、事实源、执行链路、质量门、数据回流五件事搭起来，团队的速度、稳定性和复用能力才会一起上来。</w:t>
      </w:r>
    </w:p>
    <w:p>
      <w:pPr>
        <w:pStyle w:val="SectionTitle"/>
      </w:pPr>
      <w:r>
        <w:rPr>
          <w:rFonts w:ascii="Microsoft YaHei" w:hAnsi="Microsoft YaHei" w:eastAsia="Microsoft YaHei"/>
        </w:rPr>
        <w:t>附录｜整理依据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《AI技能分享第一课》：确定了第一讲的课程定位、工具分工、Codex 基线配置、SOP 与培训语气。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《04月14日 18:59 录音_原文》：明确了当前核心问题，如风格不统一、局部满足需求、DB/API/字典沉淀不足、测试未真正落地。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《AI 软件工厂自动化落地方案（Qoder + Harness）》：提供了需求接入、交付链路、质量治理、三环境与回流设计。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《OpenClaw + 企业微信 ARobot Prompt v2》：补齐了统一入口、唯一 owner、上线窗口和组织协同规则。</w:t>
      </w:r>
    </w:p>
    <w:p>
      <w:pPr>
        <w:ind w:left="0"/>
      </w:pPr>
      <w:r>
        <w:rPr>
          <w:rFonts w:ascii="Microsoft YaHei" w:hAnsi="Microsoft YaHei" w:eastAsia="Microsoft YaHei"/>
          <w:sz w:val="21"/>
        </w:rPr>
        <w:t>• 《Skill Catalog》：说明了当前可复用的 skill 基座，可作为落地自动化的起点。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907" w:left="1020" w:header="454" w:footer="45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Noto Sans CJK SC" w:hAnsi="Noto Sans CJK SC" w:eastAsia="Noto Sans CJK SC"/>
        <w:b w:val="0"/>
        <w:i w:val="0"/>
        <w:color w:val="6B7280"/>
        <w:sz w:val="17"/>
      </w:rPr>
      <w:t>内部培训材料｜V1.0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Noto Sans CJK SC" w:hAnsi="Noto Sans CJK SC" w:eastAsia="Noto Sans CJK SC"/>
        <w:b w:val="0"/>
        <w:i w:val="0"/>
        <w:color w:val="6B7280"/>
        <w:sz w:val="17"/>
      </w:rPr>
      <w:t>AI技能分享第一课｜面向产研团队的可落地训练材料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8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Title">
    <w:name w:val="CoverTitle"/>
    <w:basedOn w:val="Normal"/>
    <w:pPr>
      <w:spacing w:before="0" w:after="40" w:line="300" w:lineRule="auto"/>
      <w:jc w:val="left"/>
    </w:pPr>
    <w:rPr>
      <w:rFonts w:ascii="Microsoft YaHei" w:hAnsi="Microsoft YaHei" w:eastAsia="Microsoft YaHei"/>
      <w:b/>
      <w:color w:val="0F2747"/>
      <w:sz w:val="48"/>
    </w:rPr>
  </w:style>
  <w:style w:type="paragraph" w:customStyle="1" w:styleId="CoverSubTitle">
    <w:name w:val="CoverSubTitle"/>
    <w:basedOn w:val="Normal"/>
    <w:pPr>
      <w:spacing w:before="0" w:after="80" w:line="300" w:lineRule="auto"/>
      <w:jc w:val="left"/>
    </w:pPr>
    <w:rPr>
      <w:rFonts w:ascii="Microsoft YaHei" w:hAnsi="Microsoft YaHei" w:eastAsia="Microsoft YaHei"/>
      <w:b w:val="0"/>
      <w:color w:val="5D6B7C"/>
      <w:sz w:val="28"/>
    </w:rPr>
  </w:style>
  <w:style w:type="paragraph" w:customStyle="1" w:styleId="SectionTitle">
    <w:name w:val="SectionTitle"/>
    <w:basedOn w:val="Normal"/>
    <w:pPr>
      <w:spacing w:before="160" w:after="160" w:line="300" w:lineRule="auto"/>
    </w:pPr>
    <w:rPr>
      <w:rFonts w:ascii="Microsoft YaHei" w:hAnsi="Microsoft YaHei" w:eastAsia="Microsoft YaHei"/>
      <w:b/>
      <w:color w:val="0F2747"/>
      <w:sz w:val="32"/>
    </w:rPr>
  </w:style>
  <w:style w:type="paragraph" w:customStyle="1" w:styleId="SubSectionTitle">
    <w:name w:val="SubSectionTitle"/>
    <w:basedOn w:val="Normal"/>
    <w:pPr>
      <w:spacing w:before="120" w:after="80" w:line="300" w:lineRule="auto"/>
    </w:pPr>
    <w:rPr>
      <w:rFonts w:ascii="Microsoft YaHei" w:hAnsi="Microsoft YaHei" w:eastAsia="Microsoft YaHei"/>
      <w:b/>
      <w:color w:val="175FE6"/>
      <w:sz w:val="25"/>
    </w:rPr>
  </w:style>
  <w:style w:type="paragraph" w:customStyle="1" w:styleId="SmallGray">
    <w:name w:val="SmallGray"/>
    <w:basedOn w:val="Normal"/>
    <w:pPr>
      <w:spacing w:before="0" w:after="80" w:line="300" w:lineRule="auto"/>
    </w:pPr>
    <w:rPr>
      <w:rFonts w:ascii="Microsoft YaHei" w:hAnsi="Microsoft YaHei" w:eastAsia="Microsoft YaHei"/>
      <w:b w:val="0"/>
      <w:color w:val="5D6B7C"/>
      <w:sz w:val="19"/>
    </w:rPr>
  </w:style>
  <w:style w:type="paragraph" w:customStyle="1" w:styleId="QuoteBox">
    <w:name w:val="QuoteBox"/>
    <w:basedOn w:val="Normal"/>
    <w:pPr>
      <w:spacing w:before="80" w:after="120" w:line="300" w:lineRule="auto"/>
    </w:pPr>
    <w:rPr>
      <w:rFonts w:ascii="Microsoft YaHei" w:hAnsi="Microsoft YaHei" w:eastAsia="Microsoft YaHei"/>
      <w:b w:val="0"/>
      <w:color w:val="12263F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clawhub.ai/JimLiuxinghai/find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