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280"/>
        <w:jc w:val="left"/>
      </w:pPr>
      <w:r>
        <w:rPr>
          <w:rFonts w:ascii="Noto Sans CJK SC" w:hAnsi="Noto Sans CJK SC" w:eastAsia="Noto Sans CJK SC"/>
          <w:b/>
          <w:color w:val="1F4E79"/>
          <w:sz w:val="44"/>
        </w:rPr>
        <w:t>智慧食堂项目：Codex 执行级待办清单</w:t>
      </w:r>
    </w:p>
    <w:p>
      <w:pPr>
        <w:spacing w:after="240"/>
        <w:jc w:val="left"/>
      </w:pPr>
      <w:r>
        <w:rPr>
          <w:rFonts w:ascii="Noto Sans CJK SC" w:hAnsi="Noto Sans CJK SC" w:eastAsia="Noto Sans CJK SC"/>
          <w:b w:val="0"/>
          <w:color w:val="606060"/>
          <w:sz w:val="23"/>
        </w:rPr>
        <w:t>技术版｜按任务卡、验收标准和建议 Prompt 拆解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4535"/>
            <w:shd w:fill="1F4E79" w:val="clear"/>
          </w:tcPr>
          <w:p>
            <w:r/>
          </w:p>
        </w:tc>
      </w:tr>
    </w:tbl>
    <w:p>
      <w:pPr>
        <w:spacing w:after="280"/>
      </w:pP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项目对象</w:t>
            </w:r>
          </w:p>
        </w:tc>
        <w:tc>
          <w:tcPr>
            <w:tcW w:type="dxa" w:w="6690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9"/>
              </w:rPr>
              <w:t>智慧食堂业务平台、微信小程序、服务器、数据库、阿里云控制台及相关安全配置</w:t>
            </w:r>
          </w:p>
        </w:tc>
      </w:tr>
      <w:tr>
        <w:tc>
          <w:tcPr>
            <w:tcW w:type="dxa" w:w="2268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输入材料</w:t>
            </w:r>
          </w:p>
        </w:tc>
        <w:tc>
          <w:tcPr>
            <w:tcW w:type="dxa" w:w="6690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9"/>
              </w:rPr>
              <w:t>差距分析报告 + 微信小程序安全检测报告 + 后续需补充的仓库/配置/资产清单</w:t>
            </w:r>
          </w:p>
        </w:tc>
      </w:tr>
      <w:tr>
        <w:tc>
          <w:tcPr>
            <w:tcW w:type="dxa" w:w="2268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整理日期</w:t>
            </w:r>
          </w:p>
        </w:tc>
        <w:tc>
          <w:tcPr>
            <w:tcW w:type="dxa" w:w="6690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9"/>
              </w:rPr>
              <w:t>2026-04-14</w:t>
            </w:r>
          </w:p>
        </w:tc>
      </w:tr>
      <w:tr>
        <w:tc>
          <w:tcPr>
            <w:tcW w:type="dxa" w:w="2268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文档定位</w:t>
            </w:r>
          </w:p>
        </w:tc>
        <w:tc>
          <w:tcPr>
            <w:tcW w:type="dxa" w:w="6690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9"/>
              </w:rPr>
              <w:t>面向技术负责人、后端/前端/运维/安全工程师，用于把整改事项直接转成 Codex 工作流</w:t>
            </w:r>
          </w:p>
        </w:tc>
      </w:tr>
    </w:tbl>
    <w:p>
      <w:pPr>
        <w:spacing w:after="12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一、先说边界：没有这些输入，Codex 只能做规划</w:t>
      </w:r>
    </w:p>
    <w:p>
      <w:pPr>
        <w:spacing w:before="0" w:after="120" w:line="300" w:lineRule="auto"/>
        <w:jc w:val="left"/>
      </w:pPr>
      <w:r>
        <w:rPr>
          <w:rFonts w:ascii="Noto Sans CJK SC" w:hAnsi="Noto Sans CJK SC" w:eastAsia="Noto Sans CJK SC"/>
          <w:b w:val="0"/>
          <w:color w:val="222222"/>
          <w:sz w:val="20"/>
        </w:rPr>
        <w:t>Codex 的强项是读代码、改代码、跑命令、跑测试、生成脚本和整理文档；前提是它拿得到真实工程上下文。当前两份报告足够用来做任务拆解，但不足以直接形成高质量生产补丁。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微信小程序前端仓库（含 build 脚本、环境变量模板、发布配置）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服务端/API 仓库（鉴权、中间件、路由、日志、配置模块）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网关/Apache/Nginx/PHP/安全设备当前配置导出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阿里云账号结构、RDS 参数组、主机清单、备份现状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现有 CI/CD 流程、lint、单测、扫描工具清单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D9EAF7" w:val="clear"/>
            <w:tcBorders>
              <w:left w:val="single" w:sz="6" w:color="D0D7DE"/>
              <w:top w:val="single" w:sz="6" w:color="D0D7DE"/>
              <w:right w:val="single" w:sz="6" w:color="D0D7DE"/>
              <w:bottom w:val="single" w:sz="6" w:color="D0D7DE"/>
            </w:tcBorders>
          </w:tcPr>
          <w:p>
            <w:pPr>
              <w:spacing w:before="40" w:after="40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1"/>
              </w:rPr>
              <w:t>最关键的前置条件</w:t>
            </w:r>
          </w:p>
          <w:p>
            <w:pPr>
              <w:spacing w:before="0" w:after="0" w:line="276" w:lineRule="auto"/>
            </w:pP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t>请至少准备：前端仓库、后端/API 仓库、Nginx/Apache 配置、数据库连接与参数组模板、CI 配置、主机清单。没有这些，Codex 只能生成“方案文档”，不能生成“可上线补丁”。</w:t>
            </w:r>
          </w:p>
        </w:tc>
      </w:tr>
    </w:tbl>
    <w:p>
      <w:pPr>
        <w:spacing w:after="4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二、使用 Codex 的执行原则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先给仓库/配置，再给任务。没有代码仓库、Nginx/Apache 配置、数据库参数组和 CI 配置，Codex 只能做规划，不能做高质量补丁。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坚持分支 + PR + 人工审批。Codex 负责起草补丁、脚本和测试，不直接替代上线审批。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默认从紧授权。先使用只读或工作目录内受限写入，只有在可信仓库和明确任务下再放宽权限。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秘钥不直接粘贴进提示词。用占位变量、示例值和环境变量方案替代真实凭证。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每个整改项必须绑定验收标准。没有“完成定义”的任务，不要直接交给 Codex。</w:t>
      </w: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三、建议的多任务并行拆分</w:t>
      </w:r>
    </w:p>
    <w:p>
      <w:pPr>
        <w:spacing w:before="0" w:after="120" w:line="300" w:lineRule="auto"/>
        <w:jc w:val="left"/>
      </w:pPr>
      <w:r>
        <w:rPr>
          <w:rFonts w:ascii="Noto Sans CJK SC" w:hAnsi="Noto Sans CJK SC" w:eastAsia="Noto Sans CJK SC"/>
          <w:b w:val="0"/>
          <w:color w:val="222222"/>
          <w:sz w:val="20"/>
        </w:rPr>
        <w:t>结合官方能力边界，Codex 适合并行拆成多个任务流：一边分析代码，一边改配置，一边补测试，一边整理文档。建议至少拆成 6 条流。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531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任务流</w:t>
            </w:r>
          </w:p>
        </w:tc>
        <w:tc>
          <w:tcPr>
            <w:tcW w:type="dxa" w:w="1928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目标</w:t>
            </w:r>
          </w:p>
        </w:tc>
        <w:tc>
          <w:tcPr>
            <w:tcW w:type="dxa" w:w="2438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典型输入</w:t>
            </w:r>
          </w:p>
        </w:tc>
        <w:tc>
          <w:tcPr>
            <w:tcW w:type="dxa" w:w="3402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主要产物</w:t>
            </w:r>
          </w:p>
        </w:tc>
      </w:tr>
      <w:tr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流 A：前后端安全编码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秘钥、明文、日志、随机数、AES、调试痕迹整改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前端/后端仓库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代码补丁、单测、扫描结果</w:t>
            </w:r>
          </w:p>
        </w:tc>
      </w:tr>
      <w:tr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流 B：鉴权与越权防护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补齐接口鉴权、资源归属校验和权限矩阵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API 路由、控制器、角色说明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中间件、权限矩阵、集成测试</w:t>
            </w:r>
          </w:p>
        </w:tc>
      </w:tr>
      <w:tr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流 C：服务端暴露面治理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关闭危险 HTTP 方法，清理 ELMAH/Apache/JSONP 暴露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网关与 Web 配置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配置 diff、验证脚本</w:t>
            </w:r>
          </w:p>
        </w:tc>
      </w:tr>
      <w:tr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流 D：账号、审计与日志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统一口令策略、日志字段、审计备份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业务平台/控制台/服务器策略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策略实现、日志模块、巡检脚本</w:t>
            </w:r>
          </w:p>
        </w:tc>
      </w:tr>
      <w:tr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流 E：备份与运维基线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备份、恢复、异地副本、主机基线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主机清单、备份现状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任务脚本、恢复演练、基线脚本</w:t>
            </w:r>
          </w:p>
        </w:tc>
      </w:tr>
      <w:tr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流 F：证据包与复测支持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把整改结果沉淀成复测证据与关闭报告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上述所有输出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证据包、闭环台账、复测模板</w:t>
            </w:r>
          </w:p>
        </w:tc>
      </w:tr>
    </w:tbl>
    <w:p>
      <w:pPr>
        <w:spacing w:after="8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四、执行级任务卡（建议直接导入 backlog）</w:t>
      </w:r>
    </w:p>
    <w:p>
      <w:pPr>
        <w:spacing w:before="0" w:after="120" w:line="300" w:lineRule="auto"/>
        <w:jc w:val="left"/>
      </w:pPr>
      <w:r>
        <w:rPr>
          <w:rFonts w:ascii="Noto Sans CJK SC" w:hAnsi="Noto Sans CJK SC" w:eastAsia="Noto Sans CJK SC"/>
          <w:b w:val="0"/>
          <w:color w:val="222222"/>
          <w:sz w:val="20"/>
        </w:rPr>
        <w:t>下面这张表可以直接拆成 issue、Epic 或 sprint backlog。每一条都已经写清楚“Codex 要产出什么”和“怎么才算做完”。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907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ID</w:t>
            </w:r>
          </w:p>
        </w:tc>
        <w:tc>
          <w:tcPr>
            <w:tcW w:type="dxa" w:w="794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优先级</w:t>
            </w:r>
          </w:p>
        </w:tc>
        <w:tc>
          <w:tcPr>
            <w:tcW w:type="dxa" w:w="1814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任务目标</w:t>
            </w:r>
          </w:p>
        </w:tc>
        <w:tc>
          <w:tcPr>
            <w:tcW w:type="dxa" w:w="2551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Codex 主要动作</w:t>
            </w:r>
          </w:p>
        </w:tc>
        <w:tc>
          <w:tcPr>
            <w:tcW w:type="dxa" w:w="1701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预期交付物</w:t>
            </w:r>
          </w:p>
        </w:tc>
        <w:tc>
          <w:tcPr>
            <w:tcW w:type="dxa" w:w="1871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验收标准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CDX-01</w:t>
            </w:r>
          </w:p>
        </w:tc>
        <w:tc>
          <w:tcPr>
            <w:tcW w:type="dxa" w:w="1606"/>
            <w:vAlign w:val="center"/>
            <w:shd w:fill="FDEBEC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P0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报告映射与问题台账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把两份报告聚类成代码、配置、权限、审计、灾备五类问题台账。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整改总表、问题-文件-资产映射矩阵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能按问题类别/资产/优先级追踪闭环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CDX-02</w:t>
            </w:r>
          </w:p>
        </w:tc>
        <w:tc>
          <w:tcPr>
            <w:tcW w:type="dxa" w:w="1606"/>
            <w:vAlign w:val="center"/>
            <w:shd w:fill="FDEBEC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P0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硬编码秘钥与敏感串扫描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扫描 WEB_API_SECRET、token、邮箱、IP、注释泄露、空密钥初始化。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扫描脚本、替换补丁、配置占位模板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仓库扫描不再出现已知秘钥/内部邮箱/明显敏感串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CDX-03</w:t>
            </w:r>
          </w:p>
        </w:tc>
        <w:tc>
          <w:tcPr>
            <w:tcW w:type="dxa" w:w="1606"/>
            <w:vAlign w:val="center"/>
            <w:shd w:fill="FDEBEC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P0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日志与明文信息清理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移除 console/log 泄露，清理注释、测试域名、无关 URL 和样例资源。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日志开关、代码 diff、清理清单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生产包不输出敏感日志，注释与测试痕迹收敛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CDX-04</w:t>
            </w:r>
          </w:p>
        </w:tc>
        <w:tc>
          <w:tcPr>
            <w:tcW w:type="dxa" w:w="1606"/>
            <w:vAlign w:val="center"/>
            <w:shd w:fill="FDEBEC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P0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API 路由盘点与权限矩阵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枚举接口、对象 ID、角色、租户边界，识别越权风险入口。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API 清单、权限矩阵、风险备注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每条关键接口都有角色/资源归属说明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CDX-05</w:t>
            </w:r>
          </w:p>
        </w:tc>
        <w:tc>
          <w:tcPr>
            <w:tcW w:type="dxa" w:w="1606"/>
            <w:vAlign w:val="center"/>
            <w:shd w:fill="FDEBEC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P0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鉴权中间件与资源归属校验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为用户、门店、企业、订单、设备等对象补齐 ownership check。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中间件代码、单测/集成测试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越权请求返回 401/403，跨对象访问被阻断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CDX-06</w:t>
            </w:r>
          </w:p>
        </w:tc>
        <w:tc>
          <w:tcPr>
            <w:tcW w:type="dxa" w:w="1606"/>
            <w:vAlign w:val="center"/>
            <w:shd w:fill="FDEBEC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P0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危险 HTTP 方法与暴露端点整改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关闭 PUT/MOVE/COPY，替换 JSONP，清理 ELMAH 和不安全 Apache 暴露。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配置补丁、验证脚本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公网探测不再返回这些暴露面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CDX-07</w:t>
            </w:r>
          </w:p>
        </w:tc>
        <w:tc>
          <w:tcPr>
            <w:tcW w:type="dxa" w:w="1606"/>
            <w:vAlign w:val="center"/>
            <w:shd w:fill="FDEBEC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P0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口令与会话策略实现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补齐密码复杂度、过期、失败锁定、超时退出。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策略实现、配置项、检查脚本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达到 8 位以上复杂度、失败锁定、30 分钟超时等要求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CDX-08</w:t>
            </w:r>
          </w:p>
        </w:tc>
        <w:tc>
          <w:tcPr>
            <w:tcW w:type="dxa" w:w="1606"/>
            <w:vAlign w:val="center"/>
            <w:shd w:fill="FDEBEC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P0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数据库与远程管理 TLS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为 RDS/数据库客户端和远程管理通道补齐 SSL/TLS 方案与验证。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参数清单、连接验证脚本、操作手册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链路已加密，验证脚本通过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CDX-09</w:t>
            </w:r>
          </w:p>
        </w:tc>
        <w:tc>
          <w:tcPr>
            <w:tcW w:type="dxa" w:w="1606"/>
            <w:vAlign w:val="center"/>
            <w:shd w:fill="FFF4D6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P1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RBAC 与分权账号设计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把单一主账号拆成管理员、审计员、业务操作员等角色。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RBAC 设计稿、账号矩阵、实施说明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角色最小权限清晰且能落地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CDX-10</w:t>
            </w:r>
          </w:p>
        </w:tc>
        <w:tc>
          <w:tcPr>
            <w:tcW w:type="dxa" w:w="1606"/>
            <w:vAlign w:val="center"/>
            <w:shd w:fill="FFF4D6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P1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审计日志模块与查询能力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补齐事件时间、主体、客体、结果等字段，并支持检索。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日志模块、索引方案、查询脚本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关键操作均可追溯且字段完整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CDX-11</w:t>
            </w:r>
          </w:p>
        </w:tc>
        <w:tc>
          <w:tcPr>
            <w:tcW w:type="dxa" w:w="1606"/>
            <w:vAlign w:val="center"/>
            <w:shd w:fill="FFF4D6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P1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审计日志备份与保留策略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设计日志备份、压缩、归档和恢复核验。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备份脚本、保留策略、恢复记录模板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日志可备份、可恢复、可抽查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CDX-12</w:t>
            </w:r>
          </w:p>
        </w:tc>
        <w:tc>
          <w:tcPr>
            <w:tcW w:type="dxa" w:w="1606"/>
            <w:vAlign w:val="center"/>
            <w:shd w:fill="FFF4D6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P1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备份与异地灾备自动化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落地全量备份、异地副本、恢复演练脚本。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任务脚本、恢复脚本、演练清单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至少形成“可恢复”证据，而非只有“已备份”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CDX-13</w:t>
            </w:r>
          </w:p>
        </w:tc>
        <w:tc>
          <w:tcPr>
            <w:tcW w:type="dxa" w:w="1606"/>
            <w:vAlign w:val="center"/>
            <w:shd w:fill="FFF4D6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P1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小程序生产构建加固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引入 strip debug、环境变量注入、代码混淆/加固前置校验。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构建脚本、发布流水线、检查项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生产包不含调试开关与明显源码暴露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CDX-14</w:t>
            </w:r>
          </w:p>
        </w:tc>
        <w:tc>
          <w:tcPr>
            <w:tcW w:type="dxa" w:w="1606"/>
            <w:vAlign w:val="center"/>
            <w:shd w:fill="FFF4D6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P1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密码学与随机数实现整改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替换不安全随机数、审查 AES 模式，把高敏密码学逻辑尽量放服务端。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代码补丁、测试用例、设计说明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关键随机与加密实现不再沿用不安全模式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CDX-15</w:t>
            </w:r>
          </w:p>
        </w:tc>
        <w:tc>
          <w:tcPr>
            <w:tcW w:type="dxa" w:w="1606"/>
            <w:vAlign w:val="center"/>
            <w:shd w:fill="EAF4EA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P2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Linux 与运维基线脚本化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固化 TMOUT、history、sshd、sudo、主机登录检查等基线。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加固脚本、巡检脚本、结果汇总模板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同类主机可批量检查和批量整改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CDX-16</w:t>
            </w:r>
          </w:p>
        </w:tc>
        <w:tc>
          <w:tcPr>
            <w:tcW w:type="dxa" w:w="1606"/>
            <w:vAlign w:val="center"/>
            <w:shd w:fill="EAF4EA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P2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安全设备与防病毒运维 SOP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整理规则库、病毒库、主机防病毒部署与检查流程。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SOP、检查脚本、更新记录模板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形成周期性检查机制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CDX-17</w:t>
            </w:r>
          </w:p>
        </w:tc>
        <w:tc>
          <w:tcPr>
            <w:tcW w:type="dxa" w:w="1606"/>
            <w:vAlign w:val="center"/>
            <w:shd w:fill="FFF4D6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P1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自动化回归与质量门禁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把 lint、单测、类型检查、配置检查、关键接口 smoke test 接到 CI。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CI 工作流、测试脚本、门禁规则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补丁必须先过自动化再进入评审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CDX-18</w:t>
            </w:r>
          </w:p>
        </w:tc>
        <w:tc>
          <w:tcPr>
            <w:tcW w:type="dxa" w:w="1606"/>
            <w:vAlign w:val="center"/>
            <w:shd w:fill="FFF4D6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P1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复测证据包与关闭报告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把 diff、截图、日志、配置核验、测试结果自动汇总成复测证据包。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证据包模板、生成脚本、关闭报告框架</w:t>
            </w:r>
          </w:p>
        </w:tc>
        <w:tc>
          <w:tcPr>
            <w:tcW w:type="dxa" w:w="1606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每个问题单有对应证据，便于复测关闭</w:t>
            </w:r>
          </w:p>
        </w:tc>
      </w:tr>
    </w:tbl>
    <w:p>
      <w:pPr>
        <w:spacing w:after="8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五、把报告问题映射到执行工单</w:t>
      </w:r>
    </w:p>
    <w:p>
      <w:pPr>
        <w:spacing w:before="0" w:after="120" w:line="300" w:lineRule="auto"/>
        <w:jc w:val="left"/>
      </w:pPr>
      <w:r>
        <w:rPr>
          <w:rFonts w:ascii="Noto Sans CJK SC" w:hAnsi="Noto Sans CJK SC" w:eastAsia="Noto Sans CJK SC"/>
          <w:b w:val="0"/>
          <w:color w:val="222222"/>
          <w:sz w:val="20"/>
        </w:rPr>
        <w:t>为了避免整改过程中“补丁做了，但不知道关掉了哪个问题”，建议在工单系统里保留问题源头映射。以下是推荐的映射思路。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1247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来源</w:t>
            </w:r>
          </w:p>
        </w:tc>
        <w:tc>
          <w:tcPr>
            <w:tcW w:type="dxa" w:w="3572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问题组</w:t>
            </w:r>
          </w:p>
        </w:tc>
        <w:tc>
          <w:tcPr>
            <w:tcW w:type="dxa" w:w="3969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对应工单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差距分析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T006/T007 身份与会话策略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CDX-07 + CDX-09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差距分析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T009/T010/T011 权限与分权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CDX-09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差距分析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T012/T013/T014 审计与日志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CDX-10 + CDX-11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差距分析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T001/T008/T018 传输加密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CDX-08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差距分析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T019/T020 备份与异地灾备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CDX-12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差距分析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T015/T021 运维基线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CDX-15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差距分析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T003/T004/T016 规则库/病毒库/防病毒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CDX-16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差距分析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T002/T005/T017 可信验证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方案类任务，可单独立项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小程序安全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0162/0164 越权与对象引用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CDX-04 + CDX-05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小程序安全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0176/0167/0166/0108/0109/0154 等信息暴露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CDX-02 + CDX-03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小程序安全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0103/0105/0106/0147/0148/0149/0119 暴露面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CDX-06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小程序安全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0165/0136 动态调试与未混淆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CDX-13 + CDX-17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小程序安全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0169/0174/0178 随机数与密码学问题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CDX-14</w:t>
            </w:r>
          </w:p>
        </w:tc>
      </w:tr>
    </w:tbl>
    <w:p>
      <w:pPr>
        <w:spacing w:after="8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六、建议直接投喂给 Codex 的 Prompt 模板</w:t>
      </w:r>
    </w:p>
    <w:p>
      <w:pPr>
        <w:spacing w:before="0" w:after="120" w:line="300" w:lineRule="auto"/>
        <w:jc w:val="left"/>
      </w:pPr>
      <w:r>
        <w:rPr>
          <w:rFonts w:ascii="Noto Sans CJK SC" w:hAnsi="Noto Sans CJK SC" w:eastAsia="Noto Sans CJK SC"/>
          <w:b w:val="0"/>
          <w:color w:val="222222"/>
          <w:sz w:val="20"/>
        </w:rPr>
        <w:t>这些 Prompt 不是让你一次性把所有事都丢给 Codex，而是建议按任务流逐个使用。每次只做一个明确目标，质量会更高。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F3F5F7" w:val="clear"/>
            <w:tcBorders>
              <w:left w:val="single" w:sz="6" w:color="D0D7DE"/>
              <w:top w:val="single" w:sz="6" w:color="D0D7DE"/>
              <w:right w:val="single" w:sz="6" w:color="D0D7DE"/>
              <w:bottom w:val="single" w:sz="6" w:color="D0D7DE"/>
            </w:tcBorders>
          </w:tcPr>
          <w:p>
            <w:pPr>
              <w:spacing w:before="40" w:after="40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1"/>
              </w:rPr>
              <w:t>Prompt A：秘钥与敏感信息清理</w:t>
            </w:r>
          </w:p>
          <w:p>
            <w:pPr>
              <w:spacing w:before="0" w:after="0" w:line="276" w:lineRule="auto"/>
            </w:pP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t>你在智慧食堂代码仓库中执行安全整改。目标：扫描并替换硬编码秘钥、内部邮箱、IP、注释中的敏感信息、空密钥/空密码初始化。输出：1）命中清单；2）建议替换方案；3）最小改动补丁；4）回归检查脚本。限制：不要引入真实生产秘钥，只用环境变量占位。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F3F5F7" w:val="clear"/>
            <w:tcBorders>
              <w:left w:val="single" w:sz="6" w:color="D0D7DE"/>
              <w:top w:val="single" w:sz="6" w:color="D0D7DE"/>
              <w:right w:val="single" w:sz="6" w:color="D0D7DE"/>
              <w:bottom w:val="single" w:sz="6" w:color="D0D7DE"/>
            </w:tcBorders>
          </w:tcPr>
          <w:p>
            <w:pPr>
              <w:spacing w:before="40" w:after="40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1"/>
              </w:rPr>
              <w:t>Prompt B：接口鉴权与 IDOR 修复</w:t>
            </w:r>
          </w:p>
          <w:p>
            <w:pPr>
              <w:spacing w:before="0" w:after="0" w:line="276" w:lineRule="auto"/>
            </w:pP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t>请遍历后端路由和控制器，列出所有以 enterpriseId/storeId/userId/orderId/deviceId 为关键对象标识的接口，补充统一鉴权与资源归属校验。输出：权限矩阵、需新增的中间件、测试用例，以及按 PR 提交粒度拆分的补丁计划。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F3F5F7" w:val="clear"/>
            <w:tcBorders>
              <w:left w:val="single" w:sz="6" w:color="D0D7DE"/>
              <w:top w:val="single" w:sz="6" w:color="D0D7DE"/>
              <w:right w:val="single" w:sz="6" w:color="D0D7DE"/>
              <w:bottom w:val="single" w:sz="6" w:color="D0D7DE"/>
            </w:tcBorders>
          </w:tcPr>
          <w:p>
            <w:pPr>
              <w:spacing w:before="40" w:after="40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1"/>
              </w:rPr>
              <w:t>Prompt C：服务端暴露面收敛</w:t>
            </w:r>
          </w:p>
          <w:p>
            <w:pPr>
              <w:spacing w:before="0" w:after="0" w:line="276" w:lineRule="auto"/>
            </w:pP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t>请检查网关和 Web 服务配置中与 PUT/MOVE/COPY、JSONP、ELMAH、Apache 暴露相关的项，给出配置 diff 与验证命令。要求：默认拒绝危险方法，仅保留业务必需项，并输出发布后验证脚本。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F3F5F7" w:val="clear"/>
            <w:tcBorders>
              <w:left w:val="single" w:sz="6" w:color="D0D7DE"/>
              <w:top w:val="single" w:sz="6" w:color="D0D7DE"/>
              <w:right w:val="single" w:sz="6" w:color="D0D7DE"/>
              <w:bottom w:val="single" w:sz="6" w:color="D0D7DE"/>
            </w:tcBorders>
          </w:tcPr>
          <w:p>
            <w:pPr>
              <w:spacing w:before="40" w:after="40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1"/>
              </w:rPr>
              <w:t>Prompt D：日志、审计与备份闭环</w:t>
            </w:r>
          </w:p>
          <w:p>
            <w:pPr>
              <w:spacing w:before="0" w:after="0" w:line="276" w:lineRule="auto"/>
            </w:pP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t>请为业务系统补齐审计日志字段，并设计日志备份、恢复测试与异地副本脚本。输出：字段定义、代码补丁、备份任务、恢复演练步骤、验收标准。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F3F5F7" w:val="clear"/>
            <w:tcBorders>
              <w:left w:val="single" w:sz="6" w:color="D0D7DE"/>
              <w:top w:val="single" w:sz="6" w:color="D0D7DE"/>
              <w:right w:val="single" w:sz="6" w:color="D0D7DE"/>
              <w:bottom w:val="single" w:sz="6" w:color="D0D7DE"/>
            </w:tcBorders>
          </w:tcPr>
          <w:p>
            <w:pPr>
              <w:spacing w:before="40" w:after="40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1"/>
              </w:rPr>
              <w:t>Prompt E：小程序生产构建加固</w:t>
            </w:r>
          </w:p>
          <w:p>
            <w:pPr>
              <w:spacing w:before="0" w:after="0" w:line="276" w:lineRule="auto"/>
            </w:pP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t>请基于小程序工程配置一套 production build hardening 流程：移除调试输出、启用环境区分、收敛无关资源、接入混淆/加固前置校验，并生成发版前检查清单。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F3F5F7" w:val="clear"/>
            <w:tcBorders>
              <w:left w:val="single" w:sz="6" w:color="D0D7DE"/>
              <w:top w:val="single" w:sz="6" w:color="D0D7DE"/>
              <w:right w:val="single" w:sz="6" w:color="D0D7DE"/>
              <w:bottom w:val="single" w:sz="6" w:color="D0D7DE"/>
            </w:tcBorders>
          </w:tcPr>
          <w:p>
            <w:pPr>
              <w:spacing w:before="40" w:after="40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1"/>
              </w:rPr>
              <w:t>Prompt F：复测证据包生成</w:t>
            </w:r>
          </w:p>
          <w:p>
            <w:pPr>
              <w:spacing w:before="0" w:after="0" w:line="276" w:lineRule="auto"/>
            </w:pP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t>请把本次整改涉及的代码 diff、配置 diff、测试结果、验证截图说明、问题编号映射关系汇总成复测证据包目录和 Markdown 报告模板，确保每个问题都能对应到整改证据。</w:t>
            </w:r>
          </w:p>
        </w:tc>
      </w:tr>
    </w:tbl>
    <w:p>
      <w:pPr>
        <w:spacing w:after="4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七、完成定义（Definition of Done）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每个工单都必须有代码或配置 diff，不能只有口头说明。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每个安全整改都必须绑定自动化检查：至少包含 lint、单测、关键接口 smoke test 或配置验证脚本。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每个风险项都必须能追溯到：问题编号 → 提交记录/PR → 测试结果 → 证据截图/日志。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与账号、主机、数据库、云控制台相关的整改，必须输出实施窗口、回滚方案和负责人。</w:t>
      </w:r>
    </w:p>
    <w:p>
      <w:pPr>
        <w:pStyle w:val="ListBullet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复测前至少完成一次“问题台账复盘”，避免出现已改代码但未关闭风险单的情况。</w:t>
      </w: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八、建议的交付顺序</w:t>
      </w:r>
    </w:p>
    <w:p>
      <w:pPr>
        <w:pStyle w:val="ListNumber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先跑 CDX-01 到 CDX-06，优先消灭越权、秘钥、暴露面这类高风险问题。</w:t>
      </w:r>
    </w:p>
    <w:p>
      <w:pPr>
        <w:pStyle w:val="ListNumber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再做 CDX-07 到 CDX-12，把身份、日志、备份、链路加密补齐。</w:t>
      </w:r>
    </w:p>
    <w:p>
      <w:pPr>
        <w:pStyle w:val="ListNumber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随后推进 CDX-13 到 CDX-16，完成加固、基线和运维 SOP。</w:t>
      </w:r>
    </w:p>
    <w:p>
      <w:pPr>
        <w:pStyle w:val="ListNumber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最后做 CDX-17 和 CDX-18，把质量门禁、证据包、复测闭环拉起来。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D9EAF7" w:val="clear"/>
            <w:tcBorders>
              <w:left w:val="single" w:sz="6" w:color="D0D7DE"/>
              <w:top w:val="single" w:sz="6" w:color="D0D7DE"/>
              <w:right w:val="single" w:sz="6" w:color="D0D7DE"/>
              <w:bottom w:val="single" w:sz="6" w:color="D0D7DE"/>
            </w:tcBorders>
          </w:tcPr>
          <w:p>
            <w:pPr>
              <w:spacing w:before="40" w:after="40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1"/>
              </w:rPr>
              <w:t>工程化建议</w:t>
            </w:r>
          </w:p>
          <w:p>
            <w:pPr>
              <w:spacing w:before="0" w:after="0" w:line="276" w:lineRule="auto"/>
            </w:pP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t>最省时间的打法不是“让 Codex 一次改完所有东西”，而是“让 Codex 分任务流并行产出 PR、脚本、测试和文档，再由负责人合并与发布”。这比传统串行整改更适合本项目。</w:t>
            </w:r>
          </w:p>
        </w:tc>
      </w:tr>
    </w:tbl>
    <w:p>
      <w:pPr>
        <w:spacing w:after="4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附录：参考资料</w:t>
      </w:r>
    </w:p>
    <w:p>
      <w:pPr>
        <w:spacing w:before="0" w:after="120" w:line="300" w:lineRule="auto"/>
        <w:jc w:val="left"/>
      </w:pPr>
      <w:r>
        <w:rPr>
          <w:rFonts w:ascii="Noto Sans CJK SC" w:hAnsi="Noto Sans CJK SC" w:eastAsia="Noto Sans CJK SC"/>
          <w:b w:val="0"/>
          <w:color w:val="222222"/>
          <w:sz w:val="20"/>
        </w:rPr>
        <w:t>以下链接用于界定 Codex 的能力边界、协作方式与安全使用基线：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Developers — Codex 概览：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https://developers.openai.com/codex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— Introducing Codex：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https://openai.com/index/introducing-codex/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Developers — Run long horizon tasks with Codex：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https://developers.openai.com/blog/run-long-horizon-tasks-with-codex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Developers — Codex CLI：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https://developers.openai.com/codex/cli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— Introducing the Codex app：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https://openai.com/index/introducing-the-codex-app/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Developers — Agent approvals &amp; security：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https://developers.openai.com/codex/agent-approvals-security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Developers — Agent internet access：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https://developers.openai.com/codex/cloud/internet-access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Developers — Best practices：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https://developers.openai.com/codex/learn/best-practices</w:t>
      </w:r>
    </w:p>
    <w:p>
      <w:pPr>
        <w:spacing w:after="8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Noto Sans CJK SC" w:hAnsi="Noto Sans CJK SC" w:eastAsia="Noto Sans CJK SC"/>
        <w:b w:val="0"/>
        <w:color w:val="606060"/>
        <w:sz w:val="17"/>
      </w:rPr>
      <w:t xml:space="preserve">第 </w:t>
    </w:r>
    <w:fldSimple w:instr="PAGE">
      <w:r>
        <w:t>1</w:t>
      </w:r>
    </w:fldSimple>
    <w:r>
      <w:rPr>
        <w:rFonts w:ascii="Noto Sans CJK SC" w:hAnsi="Noto Sans CJK SC" w:eastAsia="Noto Sans CJK SC"/>
        <w:b w:val="0"/>
        <w:color w:val="606060"/>
        <w:sz w:val="17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Noto Sans CJK SC" w:hAnsi="Noto Sans CJK SC" w:eastAsia="Noto Sans CJK SC"/>
        <w:b w:val="0"/>
        <w:color w:val="606060"/>
        <w:sz w:val="17"/>
      </w:rPr>
      <w:t>智慧食堂项目｜Codex 执行级待办清单（技术版）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