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00" w:after="280"/>
        <w:jc w:val="left"/>
      </w:pPr>
      <w:r>
        <w:rPr>
          <w:rFonts w:ascii="Noto Sans CJK SC" w:hAnsi="Noto Sans CJK SC" w:eastAsia="Noto Sans CJK SC"/>
          <w:b/>
          <w:color w:val="1F4E79"/>
          <w:sz w:val="44"/>
        </w:rPr>
        <w:t>智慧食堂项目：Codex 可承担事项总览</w:t>
      </w:r>
    </w:p>
    <w:p>
      <w:pPr>
        <w:spacing w:after="240"/>
        <w:jc w:val="left"/>
      </w:pPr>
      <w:r>
        <w:rPr>
          <w:rFonts w:ascii="Noto Sans CJK SC" w:hAnsi="Noto Sans CJK SC" w:eastAsia="Noto Sans CJK SC"/>
          <w:b w:val="0"/>
          <w:color w:val="606060"/>
          <w:sz w:val="23"/>
        </w:rPr>
        <w:t>管理版｜基于差距分析报告与微信小程序安全检测报告整理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4535"/>
            <w:shd w:fill="1F4E79" w:val="clear"/>
          </w:tcPr>
          <w:p>
            <w:r/>
          </w:p>
        </w:tc>
      </w:tr>
    </w:tbl>
    <w:p>
      <w:pPr>
        <w:spacing w:after="280"/>
      </w:pP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268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项目对象</w:t>
            </w:r>
          </w:p>
        </w:tc>
        <w:tc>
          <w:tcPr>
            <w:tcW w:type="dxa" w:w="6690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北京首通慧城科技有限公司智慧食堂相关整改与加固工作</w:t>
            </w:r>
          </w:p>
        </w:tc>
      </w:tr>
      <w:tr>
        <w:tc>
          <w:tcPr>
            <w:tcW w:type="dxa" w:w="2268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输入材料</w:t>
            </w:r>
          </w:p>
        </w:tc>
        <w:tc>
          <w:tcPr>
            <w:tcW w:type="dxa" w:w="6690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《北京首通慧城科技有限公司智慧食堂系统差距分析报告.xlsx》；《智慧食堂sthc__微信小程序安全检测报告.docx》</w:t>
            </w:r>
          </w:p>
        </w:tc>
      </w:tr>
      <w:tr>
        <w:tc>
          <w:tcPr>
            <w:tcW w:type="dxa" w:w="2268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整理日期</w:t>
            </w:r>
          </w:p>
        </w:tc>
        <w:tc>
          <w:tcPr>
            <w:tcW w:type="dxa" w:w="6690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2026-04-14</w:t>
            </w:r>
          </w:p>
        </w:tc>
      </w:tr>
      <w:tr>
        <w:tc>
          <w:tcPr>
            <w:tcW w:type="dxa" w:w="2268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文档定位</w:t>
            </w:r>
          </w:p>
        </w:tc>
        <w:tc>
          <w:tcPr>
            <w:tcW w:type="dxa" w:w="6690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9"/>
              </w:rPr>
              <w:t>面向管理层：回答“哪些整改事项适合交给 Codex，哪些仍必须由人工主导”</w:t>
            </w:r>
          </w:p>
        </w:tc>
      </w:tr>
    </w:tbl>
    <w:p>
      <w:pPr>
        <w:spacing w:after="120"/>
      </w:pPr>
    </w:p>
    <w:p>
      <w:pPr>
        <w:spacing w:before="280" w:after="120"/>
      </w:pPr>
      <w:r>
        <w:rPr>
          <w:rFonts w:ascii="Noto Sans CJK SC" w:hAnsi="Noto Sans CJK SC" w:eastAsia="Noto Sans CJK SC"/>
          <w:b/>
          <w:color w:val="1F4E79"/>
          <w:sz w:val="31"/>
        </w:rPr>
        <w:t>一、管理判断</w:t>
      </w:r>
    </w:p>
    <w:p>
      <w:pPr>
        <w:spacing w:before="0" w:after="120" w:line="300" w:lineRule="auto"/>
        <w:jc w:val="left"/>
      </w:pPr>
      <w:r>
        <w:rPr>
          <w:rFonts w:ascii="Noto Sans CJK SC" w:hAnsi="Noto Sans CJK SC" w:eastAsia="Noto Sans CJK SC"/>
          <w:b w:val="0"/>
          <w:color w:val="222222"/>
          <w:sz w:val="21"/>
        </w:rPr>
        <w:t>从已上传材料看，智慧食堂项目当前同时面临两类整改压力：一类是等保/基线类差距项，另一类是微信小程序安全整改项。差距分析表共 47 项问题，且全部处于“未整改”状态，其中高风险 13 项、中风险 27 项、低风险 7 项；微信小程序安全检测报告得分 77，共识别 23 个风险项，其中高危 4 个、中危 8 个、低危 11 个。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D9EAF7" w:val="clear"/>
            <w:tcBorders>
              <w:left w:val="single" w:sz="6" w:color="D0D7DE"/>
              <w:top w:val="single" w:sz="6" w:color="D0D7DE"/>
              <w:right w:val="single" w:sz="6" w:color="D0D7DE"/>
              <w:bottom w:val="single" w:sz="6" w:color="D0D7DE"/>
            </w:tcBorders>
          </w:tcPr>
          <w:p>
            <w:pPr>
              <w:spacing w:before="40" w:after="40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21"/>
              </w:rPr>
              <w:t>一句话结论</w:t>
            </w:r>
          </w:p>
          <w:p>
            <w:pPr>
              <w:spacing w:before="0" w:after="0" w:line="276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Codex 很适合承担“分析、起草、批量修改、测试、脚本化、文档化”这类工程执行工作，尤其适合处理代码与配置密集型整改；但它不应独立承担生产权限开通、设备采购、云控制台最终授权、第三方加固采购和最终复测签字。</w:t>
            </w:r>
          </w:p>
        </w:tc>
      </w:tr>
    </w:tbl>
    <w:p>
      <w:pPr>
        <w:spacing w:after="40"/>
      </w:pPr>
    </w:p>
    <w:p>
      <w:pPr>
        <w:spacing w:before="280" w:after="120"/>
      </w:pPr>
      <w:r>
        <w:rPr>
          <w:rFonts w:ascii="Noto Sans CJK SC" w:hAnsi="Noto Sans CJK SC" w:eastAsia="Noto Sans CJK SC"/>
          <w:b/>
          <w:color w:val="1F4E79"/>
          <w:sz w:val="31"/>
        </w:rPr>
        <w:t>二、项目信号灯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  <w:shd w:fill="FDEBEC" w:val="clear"/>
          </w:tcPr>
          <w:p>
            <w:pPr>
              <w:spacing w:after="80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22"/>
              </w:rPr>
              <w:t>差距分析总量</w:t>
            </w:r>
          </w:p>
          <w:p>
            <w:pPr>
              <w:spacing w:line="276" w:lineRule="auto" w:after="0"/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47 项未整改</w:t>
            </w: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br/>
              <w:t>高 13｜中 27｜低 7</w:t>
            </w:r>
          </w:p>
        </w:tc>
        <w:tc>
          <w:tcPr>
            <w:tcW w:type="dxa" w:w="4649"/>
            <w:shd w:fill="FFF4D6" w:val="clear"/>
          </w:tcPr>
          <w:p>
            <w:pPr>
              <w:spacing w:after="80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22"/>
              </w:rPr>
              <w:t>小程序安全检测</w:t>
            </w:r>
          </w:p>
          <w:p>
            <w:pPr>
              <w:spacing w:line="276" w:lineRule="auto" w:after="0"/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评分 77</w:t>
            </w: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br/>
              <w:t>风险项 23 个</w:t>
            </w:r>
          </w:p>
        </w:tc>
      </w:tr>
      <w:tr>
        <w:tc>
          <w:tcPr>
            <w:tcW w:type="dxa" w:w="4649"/>
            <w:shd w:fill="D9EAF7" w:val="clear"/>
          </w:tcPr>
          <w:p>
            <w:pPr>
              <w:spacing w:after="80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22"/>
              </w:rPr>
              <w:t>问题集中区</w:t>
            </w:r>
          </w:p>
          <w:p>
            <w:pPr>
              <w:spacing w:line="276" w:lineRule="auto" w:after="0"/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安全计算环境 42 项</w:t>
            </w: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br/>
              <w:t>服务器/平台/数据库最集中</w:t>
            </w:r>
          </w:p>
        </w:tc>
        <w:tc>
          <w:tcPr>
            <w:tcW w:type="dxa" w:w="4649"/>
            <w:shd w:fill="EAF4EA" w:val="clear"/>
          </w:tcPr>
          <w:p>
            <w:pPr>
              <w:spacing w:after="80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22"/>
              </w:rPr>
              <w:t>高危优先主题</w:t>
            </w:r>
          </w:p>
          <w:p>
            <w:pPr>
              <w:spacing w:line="276" w:lineRule="auto" w:after="0"/>
              <w:jc w:val="left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越权/IDOR、硬编码秘钥、动态调试、链路加密、账号策略</w:t>
            </w:r>
          </w:p>
        </w:tc>
      </w:tr>
    </w:tbl>
    <w:p>
      <w:pPr>
        <w:spacing w:after="80"/>
      </w:pPr>
    </w:p>
    <w:p>
      <w:pPr>
        <w:spacing w:before="280" w:after="120"/>
      </w:pPr>
      <w:r>
        <w:rPr>
          <w:rFonts w:ascii="Noto Sans CJK SC" w:hAnsi="Noto Sans CJK SC" w:eastAsia="Noto Sans CJK SC"/>
          <w:b/>
          <w:color w:val="1F4E79"/>
          <w:sz w:val="31"/>
        </w:rPr>
        <w:t>三、Codex 在本项目中的适配范围</w:t>
      </w:r>
    </w:p>
    <w:p>
      <w:pPr>
        <w:spacing w:before="0" w:after="120" w:line="300" w:lineRule="auto"/>
        <w:jc w:val="left"/>
      </w:pPr>
      <w:r>
        <w:rPr>
          <w:rFonts w:ascii="Noto Sans CJK SC" w:hAnsi="Noto Sans CJK SC" w:eastAsia="Noto Sans CJK SC"/>
          <w:b w:val="0"/>
          <w:color w:val="222222"/>
          <w:sz w:val="20"/>
        </w:rPr>
        <w:t>建议把整改事项先分成“代码与配置型”“平台权限型”“设备/采购型”三大类，再决定是否交给 Codex。下面这张表可以直接作为立项或排期时的决策依据。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1814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工作类型</w:t>
            </w:r>
          </w:p>
        </w:tc>
        <w:tc>
          <w:tcPr>
            <w:tcW w:type="dxa" w:w="1134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Codex 适配度</w:t>
            </w:r>
          </w:p>
        </w:tc>
        <w:tc>
          <w:tcPr>
            <w:tcW w:type="dxa" w:w="3515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适合交给 Codex 的动作</w:t>
            </w:r>
          </w:p>
        </w:tc>
        <w:tc>
          <w:tcPr>
            <w:tcW w:type="dxa" w:w="2948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必须人工把关的点</w:t>
            </w:r>
          </w:p>
        </w:tc>
      </w:tr>
      <w:tr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代码扫描与问题定位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高适配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仓库级搜索、模式匹配、风险聚类、整改建议初稿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仍需人工确认误报与业务语义</w:t>
            </w:r>
          </w:p>
        </w:tc>
      </w:tr>
      <w:tr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代码修复与重构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高适配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中间件、配置模块、日志模块、测试脚本、构建脚本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关键安全逻辑必须 PR 审核</w:t>
            </w:r>
          </w:p>
        </w:tc>
      </w:tr>
      <w:tr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配置与脚本治理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高适配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Nginx/Apache/PHP/CI/部署脚本/巡检脚本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生产变更需走窗口和审批</w:t>
            </w:r>
          </w:p>
        </w:tc>
      </w:tr>
      <w:tr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测试与复测准备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高适配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单测、集成测试、lint、类型检查、验收清单、复测证据包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最终复测报告由人工确认</w:t>
            </w:r>
          </w:p>
        </w:tc>
      </w:tr>
      <w:tr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账号开通与云资源审批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中适配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能先出 RBAC 方案和实施清单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真正授权、开账号、改控制台需人工执行</w:t>
            </w:r>
          </w:p>
        </w:tc>
      </w:tr>
      <w:tr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硬件可信根、第三方加固、设备采购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低适配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能做选型文档与采购清单</w:t>
            </w:r>
          </w:p>
        </w:tc>
        <w:tc>
          <w:tcPr>
            <w:tcW w:type="dxa" w:w="240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采购、部署、验收必须人工主导</w:t>
            </w:r>
          </w:p>
        </w:tc>
      </w:tr>
    </w:tbl>
    <w:p>
      <w:pPr>
        <w:spacing w:after="80"/>
      </w:pPr>
    </w:p>
    <w:p>
      <w:pPr>
        <w:spacing w:before="280" w:after="120"/>
      </w:pPr>
      <w:r>
        <w:rPr>
          <w:rFonts w:ascii="Noto Sans CJK SC" w:hAnsi="Noto Sans CJK SC" w:eastAsia="Noto Sans CJK SC"/>
          <w:b/>
          <w:color w:val="1F4E79"/>
          <w:sz w:val="31"/>
        </w:rPr>
        <w:t>四、把两份报告压缩成 6 条整改主线</w:t>
      </w:r>
    </w:p>
    <w:p>
      <w:pPr>
        <w:spacing w:before="0" w:after="120" w:line="300" w:lineRule="auto"/>
        <w:jc w:val="left"/>
      </w:pPr>
      <w:r>
        <w:rPr>
          <w:rFonts w:ascii="Noto Sans CJK SC" w:hAnsi="Noto Sans CJK SC" w:eastAsia="Noto Sans CJK SC"/>
          <w:b w:val="0"/>
          <w:color w:val="222222"/>
          <w:sz w:val="20"/>
        </w:rPr>
        <w:t>管理上不建议按 21 个差距编号和 23 个小程序风险项逐条排期，而应按整改主线整合。这样更利于拆分 Codex 任务、安排人力和定义里程碑。</w:t>
      </w:r>
    </w:p>
    <w:p>
      <w:pPr>
        <w:spacing w:before="200" w:after="80"/>
      </w:pPr>
      <w:r>
        <w:rPr>
          <w:rFonts w:ascii="Noto Sans CJK SC" w:hAnsi="Noto Sans CJK SC" w:eastAsia="Noto Sans CJK SC"/>
          <w:b/>
          <w:color w:val="1F4E79"/>
          <w:sz w:val="25"/>
        </w:rPr>
        <w:t>4.1 等保/基线主线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1814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主线</w:t>
            </w:r>
          </w:p>
        </w:tc>
        <w:tc>
          <w:tcPr>
            <w:tcW w:type="dxa" w:w="1361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差距编号</w:t>
            </w:r>
          </w:p>
        </w:tc>
        <w:tc>
          <w:tcPr>
            <w:tcW w:type="dxa" w:w="5896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核心问题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身份与会话治理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T006/T007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口令复杂度、口令有效期、登录失败处理、连接超时退出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权限与账号分权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T009/T010/T011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阿里云/服务器/业务系统的账号分离、专人专用、最小权限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审计与留痕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T012/T013/T014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日志审计能力、审计字段完整性、审计记录备份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网络与数据传输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T001/T008/T018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数据库通信、远程管理、数据传输链路启用 SSL/TLS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边界与终端防护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T003/T004/T015/T016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规则库/病毒库更新、接入终端范围限制、主机防病毒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备份与灾备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T019/T020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全量备份、恢复测试、异地备份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可信与主机基线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T002/T005/T017/T021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可信验证、剩余信息清除、Linux 基线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rFonts w:ascii="Noto Sans CJK SC" w:hAnsi="Noto Sans CJK SC" w:eastAsia="Noto Sans CJK SC"/>
          <w:b/>
          <w:color w:val="1F4E79"/>
          <w:sz w:val="25"/>
        </w:rPr>
        <w:t>4.2 小程序安全主线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1928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主线</w:t>
            </w:r>
          </w:p>
        </w:tc>
        <w:tc>
          <w:tcPr>
            <w:tcW w:type="dxa" w:w="2041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风险项</w:t>
            </w:r>
          </w:p>
        </w:tc>
        <w:tc>
          <w:tcPr>
            <w:tcW w:type="dxa" w:w="5102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核心问题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访问控制与接口暴露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0162/0164/0149/0147/0148/0103/0105/0106/0119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URL 访问控制、对象授权、危险 HTTP 方法、ELMAH/Apache/JSONP 暴露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客户端敏感信息与代码暴露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0176/0167/0166/0108/0109/0136/0154/0177/0178/0179/0180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硬编码密钥、明文字符串、日志、注释、内部邮箱、未混淆代码</w:t>
            </w:r>
          </w:p>
        </w:tc>
      </w:tr>
      <w:tr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客户端加固与安全实现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0165/0169/0174</w:t>
            </w:r>
          </w:p>
        </w:tc>
        <w:tc>
          <w:tcPr>
            <w:tcW w:type="dxa" w:w="3213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动态调试、随机数、AES 模式等实现问题</w:t>
            </w:r>
          </w:p>
        </w:tc>
      </w:tr>
    </w:tbl>
    <w:p>
      <w:pPr>
        <w:spacing w:after="80"/>
      </w:pPr>
    </w:p>
    <w:p>
      <w:pPr>
        <w:spacing w:before="280" w:after="120"/>
      </w:pPr>
      <w:r>
        <w:rPr>
          <w:rFonts w:ascii="Noto Sans CJK SC" w:hAnsi="Noto Sans CJK SC" w:eastAsia="Noto Sans CJK SC"/>
          <w:b/>
          <w:color w:val="1F4E79"/>
          <w:sz w:val="31"/>
        </w:rPr>
        <w:t>五、建议直接交给 Codex 的项目级待办</w:t>
      </w:r>
    </w:p>
    <w:p>
      <w:pPr>
        <w:spacing w:before="0" w:after="120" w:line="300" w:lineRule="auto"/>
        <w:jc w:val="left"/>
      </w:pPr>
      <w:r>
        <w:rPr>
          <w:rFonts w:ascii="Noto Sans CJK SC" w:hAnsi="Noto Sans CJK SC" w:eastAsia="Noto Sans CJK SC"/>
          <w:b w:val="0"/>
          <w:color w:val="222222"/>
          <w:sz w:val="20"/>
        </w:rPr>
        <w:t>以下待办已经按“业务价值 + 风险紧迫性 + Codex 适配度”排过序。原则上，P0 必须先做；P1 与 P2 可以并行推进。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77"/>
        <w:gridCol w:w="1377"/>
        <w:gridCol w:w="1377"/>
        <w:gridCol w:w="1377"/>
        <w:gridCol w:w="1377"/>
        <w:gridCol w:w="1377"/>
        <w:gridCol w:w="1377"/>
      </w:tblGrid>
      <w:tr>
        <w:tc>
          <w:tcPr>
            <w:tcW w:type="dxa" w:w="850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优先级</w:t>
            </w:r>
          </w:p>
        </w:tc>
        <w:tc>
          <w:tcPr>
            <w:tcW w:type="dxa" w:w="1191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工作流</w:t>
            </w:r>
          </w:p>
        </w:tc>
        <w:tc>
          <w:tcPr>
            <w:tcW w:type="dxa" w:w="1871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待办事项</w:t>
            </w:r>
          </w:p>
        </w:tc>
        <w:tc>
          <w:tcPr>
            <w:tcW w:type="dxa" w:w="2098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Codex 负责什么</w:t>
            </w:r>
          </w:p>
        </w:tc>
        <w:tc>
          <w:tcPr>
            <w:tcW w:type="dxa" w:w="1531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人工确认点</w:t>
            </w:r>
          </w:p>
        </w:tc>
        <w:tc>
          <w:tcPr>
            <w:tcW w:type="dxa" w:w="1531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交付物</w:t>
            </w:r>
          </w:p>
        </w:tc>
        <w:tc>
          <w:tcPr>
            <w:tcW w:type="dxa" w:w="1077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来源</w:t>
            </w:r>
          </w:p>
        </w:tc>
      </w:tr>
      <w:tr>
        <w:tc>
          <w:tcPr>
            <w:tcW w:type="dxa" w:w="1377"/>
            <w:vAlign w:val="center"/>
            <w:shd w:fill="FDEBEC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P0-1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代码与配置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秘钥与敏感信息全面清理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扫描并替换硬编码密钥、明文敏感串、内部邮箱、注释泄露与空密码/空密钥初始化。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确认正式秘钥托管方案、完成秘钥轮换。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扫描清单、替换补丁、配置样例、回归说明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小程序 0176/0167/0108/0109/0154/0177/0178/0179/0180</w:t>
            </w:r>
          </w:p>
        </w:tc>
      </w:tr>
      <w:tr>
        <w:tc>
          <w:tcPr>
            <w:tcW w:type="dxa" w:w="1377"/>
            <w:vAlign w:val="center"/>
            <w:shd w:fill="FDEBEC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P0-2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应用安全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接口访问控制与对象授权整改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梳理 API 路由，补齐鉴权中间件、资源归属校验与越权测试。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确认角色模型、审批接口权限矩阵。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接口台账、权限矩阵、代码补丁、测试用例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小程序 0162/0164</w:t>
            </w:r>
          </w:p>
        </w:tc>
      </w:tr>
      <w:tr>
        <w:tc>
          <w:tcPr>
            <w:tcW w:type="dxa" w:w="1377"/>
            <w:vAlign w:val="center"/>
            <w:shd w:fill="FDEBEC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P0-3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服务端治理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危险方法与暴露面收敛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收敛 PUT/MOVE/COPY、关闭 ELMAH/不安全 Apache 暴露，替换 JSONP。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在生产网关/主机完成配置发布。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Nginx/Apache 配置 diff、验证脚本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小程序 0103/0105/0106/0147/0148/0149</w:t>
            </w:r>
          </w:p>
        </w:tc>
      </w:tr>
      <w:tr>
        <w:tc>
          <w:tcPr>
            <w:tcW w:type="dxa" w:w="1377"/>
            <w:vAlign w:val="center"/>
            <w:shd w:fill="FDEBEC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P0-4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身份体系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口令、锁定与会话超时策略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在业务系统、服务器、数据库、控制台整理统一账号策略。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批准账号制度并推动运维执行。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策略说明、实现补丁、检查脚本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差距 T006/T007</w:t>
            </w:r>
          </w:p>
        </w:tc>
      </w:tr>
      <w:tr>
        <w:tc>
          <w:tcPr>
            <w:tcW w:type="dxa" w:w="1377"/>
            <w:vAlign w:val="center"/>
            <w:shd w:fill="FDEBEC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P0-5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数据安全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数据库与远程管理链路加密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梳理 DB 与远程管理链路，补充 SSL/TLS 配置与验证脚本。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安排数据库/运维窗口并验收联调。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参数变更清单、验证报告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差距 T001/T008/T018</w:t>
            </w:r>
          </w:p>
        </w:tc>
      </w:tr>
      <w:tr>
        <w:tc>
          <w:tcPr>
            <w:tcW w:type="dxa" w:w="1377"/>
            <w:vAlign w:val="center"/>
            <w:shd w:fill="FFF4D6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P1-1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权限治理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RBAC 与账号分权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为阿里云、服务器、业务系统设计子账号、角色与最小权限策略。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完成账号创建、授权审批与落地。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RBAC 设计稿、账号矩阵、实施说明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差距 T009/T010/T011</w:t>
            </w:r>
          </w:p>
        </w:tc>
      </w:tr>
      <w:tr>
        <w:tc>
          <w:tcPr>
            <w:tcW w:type="dxa" w:w="1377"/>
            <w:vAlign w:val="center"/>
            <w:shd w:fill="FFF4D6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P1-2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审计合规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审计日志与日志备份闭环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为业务系统补齐审计字段、日志落盘、备份与可视化查询能力。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确定日志保留周期与存储预算。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日志模块补丁、检索脚本、留存策略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差距 T012/T013/T014</w:t>
            </w:r>
          </w:p>
        </w:tc>
      </w:tr>
      <w:tr>
        <w:tc>
          <w:tcPr>
            <w:tcW w:type="dxa" w:w="1377"/>
            <w:vAlign w:val="center"/>
            <w:shd w:fill="FFF4D6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P1-3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灾备恢复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数据备份、异地备份与恢复演练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把备份任务、恢复测试、异地副本要求转成自动化脚本与检查表。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提供备份介质、执行恢复演练。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备份脚本、恢复手册、演练记录模板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差距 T019/T020</w:t>
            </w:r>
          </w:p>
        </w:tc>
      </w:tr>
      <w:tr>
        <w:tc>
          <w:tcPr>
            <w:tcW w:type="dxa" w:w="1377"/>
            <w:vAlign w:val="center"/>
            <w:shd w:fill="FFF4D6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P1-4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客户端交付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小程序构建加固与代码混淆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梳理生产构建参数，移除调试信息，接入混淆/加固流程与发布校验。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采购或启用第三方加固能力，执行发版。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构建脚本、发布检查清单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小程序 0165/0136/0166</w:t>
            </w:r>
          </w:p>
        </w:tc>
      </w:tr>
      <w:tr>
        <w:tc>
          <w:tcPr>
            <w:tcW w:type="dxa" w:w="1377"/>
            <w:vAlign w:val="center"/>
            <w:shd w:fill="FFF4D6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P1-5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安全编码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随机数/AES/密码重置相关整改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替换不安全随机数与密码学实现，检查 reset-password 相关代码路径。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确认密码学实现是否迁移到服务端。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代码补丁、单元测试、设计说明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小程序 0169/0174/0178</w:t>
            </w:r>
          </w:p>
        </w:tc>
      </w:tr>
      <w:tr>
        <w:tc>
          <w:tcPr>
            <w:tcW w:type="dxa" w:w="1377"/>
            <w:vAlign w:val="center"/>
            <w:shd w:fill="EAF4EA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P2-1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运维基线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终端接入限制与 Linux 基线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把登录来源限制、shell 历史、会话配置转成批量检查与加固脚本。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在实际主机上执行并回收结果。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基线脚本、检查报告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差距 T015/T021</w:t>
            </w:r>
          </w:p>
        </w:tc>
      </w:tr>
      <w:tr>
        <w:tc>
          <w:tcPr>
            <w:tcW w:type="dxa" w:w="1377"/>
            <w:vAlign w:val="center"/>
            <w:shd w:fill="EAF4EA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P2-2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边界防护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规则库/病毒库/主机防病毒更新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为规则更新、病毒库更新与主机防病毒部署生成 SOP 和检查脚本。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完成设备/软件更新与授权。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检查脚本、SOP、巡检表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差距 T003/T004/T016</w:t>
            </w:r>
          </w:p>
        </w:tc>
      </w:tr>
      <w:tr>
        <w:tc>
          <w:tcPr>
            <w:tcW w:type="dxa" w:w="1377"/>
            <w:vAlign w:val="center"/>
            <w:shd w:fill="EAF4EA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P2-3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可信能力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可信验证方案设计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输出可信根/可信验证的方案、改造边界、预算与采购清单。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推进设备选型、采购和实施。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方案文档、设备清单、实施计划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差距 T002/T005/T017</w:t>
            </w:r>
          </w:p>
        </w:tc>
      </w:tr>
      <w:tr>
        <w:tc>
          <w:tcPr>
            <w:tcW w:type="dxa" w:w="1377"/>
            <w:vAlign w:val="center"/>
            <w:shd w:fill="FFF4D6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P1-6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质量保障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自动化回归与复测证据包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把整改项转成测试、lint、类型检查、扫描与复测证据收集流程。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安排复测窗口并关闭问题单。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CI 流程、证据包模板、闭环报告</w:t>
            </w:r>
          </w:p>
        </w:tc>
        <w:tc>
          <w:tcPr>
            <w:tcW w:type="dxa" w:w="1377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7"/>
              </w:rPr>
              <w:t>全部</w:t>
            </w:r>
          </w:p>
        </w:tc>
      </w:tr>
    </w:tbl>
    <w:p>
      <w:pPr>
        <w:spacing w:after="80"/>
      </w:pPr>
    </w:p>
    <w:p>
      <w:pPr>
        <w:spacing w:before="280" w:after="120"/>
      </w:pPr>
      <w:r>
        <w:rPr>
          <w:rFonts w:ascii="Noto Sans CJK SC" w:hAnsi="Noto Sans CJK SC" w:eastAsia="Noto Sans CJK SC"/>
          <w:b/>
          <w:color w:val="1F4E79"/>
          <w:sz w:val="31"/>
        </w:rPr>
        <w:t>六、建议不要让 Codex 独立承担的事项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948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事项</w:t>
            </w:r>
          </w:p>
        </w:tc>
        <w:tc>
          <w:tcPr>
            <w:tcW w:type="dxa" w:w="6350"/>
            <w:vAlign w:val="center"/>
            <w:shd w:fill="D9EAF7" w:val="clea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19"/>
              </w:rPr>
              <w:t>原因</w:t>
            </w:r>
          </w:p>
        </w:tc>
      </w:tr>
      <w:tr>
        <w:tc>
          <w:tcPr>
            <w:tcW w:type="dxa" w:w="481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生产环境最终变更执行</w:t>
            </w:r>
          </w:p>
        </w:tc>
        <w:tc>
          <w:tcPr>
            <w:tcW w:type="dxa" w:w="481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涉及窗口、审批、回滚责任，不能让 Codex 独立完成</w:t>
            </w:r>
          </w:p>
        </w:tc>
      </w:tr>
      <w:tr>
        <w:tc>
          <w:tcPr>
            <w:tcW w:type="dxa" w:w="481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主账号/云控制台授权</w:t>
            </w:r>
          </w:p>
        </w:tc>
        <w:tc>
          <w:tcPr>
            <w:tcW w:type="dxa" w:w="481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涉及真实权限开通和责任划分，必须由授权人员操作</w:t>
            </w:r>
          </w:p>
        </w:tc>
      </w:tr>
      <w:tr>
        <w:tc>
          <w:tcPr>
            <w:tcW w:type="dxa" w:w="481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硬件可信根与设备采购</w:t>
            </w:r>
          </w:p>
        </w:tc>
        <w:tc>
          <w:tcPr>
            <w:tcW w:type="dxa" w:w="481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Codex 能辅助写方案，但不能替代选型、采购、上架</w:t>
            </w:r>
          </w:p>
        </w:tc>
      </w:tr>
      <w:tr>
        <w:tc>
          <w:tcPr>
            <w:tcW w:type="dxa" w:w="481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第三方加固服务或供应商协调</w:t>
            </w:r>
          </w:p>
        </w:tc>
        <w:tc>
          <w:tcPr>
            <w:tcW w:type="dxa" w:w="481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Codex 可准备材料，商务与交付协同仍需人工</w:t>
            </w:r>
          </w:p>
        </w:tc>
      </w:tr>
      <w:tr>
        <w:tc>
          <w:tcPr>
            <w:tcW w:type="dxa" w:w="481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/>
                <w:color w:val="222222"/>
                <w:sz w:val="18"/>
              </w:rPr>
              <w:t>最终复测签字与风险接受</w:t>
            </w:r>
          </w:p>
        </w:tc>
        <w:tc>
          <w:tcPr>
            <w:tcW w:type="dxa" w:w="4819"/>
            <w:vAlign w:val="center"/>
          </w:tcPr>
          <w:p>
            <w:pPr>
              <w:spacing w:before="0" w:after="40" w:line="276" w:lineRule="auto"/>
              <w:jc w:val="left"/>
            </w:pPr>
            <w:r/>
            <w:r>
              <w:rPr>
                <w:rFonts w:ascii="Noto Sans CJK SC" w:hAnsi="Noto Sans CJK SC" w:eastAsia="Noto Sans CJK SC"/>
                <w:b w:val="0"/>
                <w:color w:val="222222"/>
                <w:sz w:val="18"/>
              </w:rPr>
              <w:t>需要业务、运维、安全负责人共同确认</w:t>
            </w:r>
          </w:p>
        </w:tc>
      </w:tr>
    </w:tbl>
    <w:p>
      <w:pPr>
        <w:spacing w:after="80"/>
      </w:pPr>
    </w:p>
    <w:p>
      <w:pPr>
        <w:spacing w:before="280" w:after="120"/>
      </w:pPr>
      <w:r>
        <w:rPr>
          <w:rFonts w:ascii="Noto Sans CJK SC" w:hAnsi="Noto Sans CJK SC" w:eastAsia="Noto Sans CJK SC"/>
          <w:b/>
          <w:color w:val="1F4E79"/>
          <w:sz w:val="31"/>
        </w:rPr>
        <w:t>七、推荐组织方式与里程碑</w:t>
      </w:r>
    </w:p>
    <w:p>
      <w:pPr>
        <w:spacing w:before="0" w:after="120" w:line="300" w:lineRule="auto"/>
        <w:jc w:val="left"/>
      </w:pPr>
      <w:r>
        <w:rPr>
          <w:rFonts w:ascii="Noto Sans CJK SC" w:hAnsi="Noto Sans CJK SC" w:eastAsia="Noto Sans CJK SC"/>
          <w:b w:val="0"/>
          <w:color w:val="222222"/>
          <w:sz w:val="20"/>
        </w:rPr>
        <w:t>建议采用“1 名技术负责人 + 1 名安全负责人 + 1 名运维负责人 + 多个 Codex 并行任务流”的方式推进。管理上不要把 Codex 当成单一聊天工具，而应当把它当成工程执行加速器。</w:t>
      </w:r>
    </w:p>
    <w:p>
      <w:pPr>
        <w:pStyle w:val="ListNumber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第 0 周：补齐输入材料。把前端仓库、后端仓库、网关配置、数据库参数、CI 脚本、主机清单准备完整。</w:t>
      </w:r>
    </w:p>
    <w:p>
      <w:pPr>
        <w:pStyle w:val="ListNumber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第 1 周：完成 P0 类代码与配置整改，至少形成可评审 PR、验证脚本和回归结果。</w:t>
      </w:r>
    </w:p>
    <w:p>
      <w:pPr>
        <w:pStyle w:val="ListNumber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第 2 周：并行完成 P1 类 RBAC、审计日志、备份与构建加固。</w:t>
      </w:r>
    </w:p>
    <w:p>
      <w:pPr>
        <w:pStyle w:val="ListNumber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第 3 周：完成 P2 类运维基线、可信验证方案和设备/规则更新事项。</w:t>
      </w:r>
    </w:p>
    <w:p>
      <w:pPr>
        <w:pStyle w:val="ListNumber"/>
        <w:spacing w:before="0" w:after="60" w:line="276" w:lineRule="auto"/>
        <w:ind w:left="0"/>
      </w:pPr>
      <w:r>
        <w:rPr>
          <w:rFonts w:ascii="Noto Sans CJK SC" w:hAnsi="Noto Sans CJK SC" w:eastAsia="Noto Sans CJK SC"/>
          <w:b w:val="0"/>
          <w:color w:val="222222"/>
          <w:sz w:val="20"/>
        </w:rPr>
        <w:t>第 4 周：汇总证据包、组织复测、关闭问题单。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D9EAF7" w:val="clear"/>
            <w:tcBorders>
              <w:left w:val="single" w:sz="6" w:color="D0D7DE"/>
              <w:top w:val="single" w:sz="6" w:color="D0D7DE"/>
              <w:right w:val="single" w:sz="6" w:color="D0D7DE"/>
              <w:bottom w:val="single" w:sz="6" w:color="D0D7DE"/>
            </w:tcBorders>
          </w:tcPr>
          <w:p>
            <w:pPr>
              <w:spacing w:before="40" w:after="40"/>
            </w:pPr>
            <w:r/>
            <w:r>
              <w:rPr>
                <w:rFonts w:ascii="Noto Sans CJK SC" w:hAnsi="Noto Sans CJK SC" w:eastAsia="Noto Sans CJK SC"/>
                <w:b/>
                <w:color w:val="1F4E79"/>
                <w:sz w:val="21"/>
              </w:rPr>
              <w:t>排期建议</w:t>
            </w:r>
          </w:p>
          <w:p>
            <w:pPr>
              <w:spacing w:before="0" w:after="0" w:line="276" w:lineRule="auto"/>
            </w:pPr>
            <w:r>
              <w:rPr>
                <w:rFonts w:ascii="Noto Sans CJK SC" w:hAnsi="Noto Sans CJK SC" w:eastAsia="Noto Sans CJK SC"/>
                <w:b w:val="0"/>
                <w:color w:val="222222"/>
                <w:sz w:val="20"/>
              </w:rPr>
              <w:t>先让 Codex 清理“代码和配置里的明显问题”，再让人工推进“云平台、主机、设备和权限”的真实变更。这样做，项目会快很多，也更安全。</w:t>
            </w:r>
          </w:p>
        </w:tc>
      </w:tr>
    </w:tbl>
    <w:p>
      <w:pPr>
        <w:spacing w:after="40"/>
      </w:pPr>
    </w:p>
    <w:p>
      <w:pPr>
        <w:spacing w:before="280" w:after="120"/>
      </w:pPr>
      <w:r>
        <w:rPr>
          <w:rFonts w:ascii="Noto Sans CJK SC" w:hAnsi="Noto Sans CJK SC" w:eastAsia="Noto Sans CJK SC"/>
          <w:b/>
          <w:color w:val="1F4E79"/>
          <w:sz w:val="31"/>
        </w:rPr>
        <w:t>附录：参考资料</w:t>
      </w:r>
    </w:p>
    <w:p>
      <w:pPr>
        <w:spacing w:before="0" w:after="120" w:line="300" w:lineRule="auto"/>
        <w:jc w:val="left"/>
      </w:pPr>
      <w:r>
        <w:rPr>
          <w:rFonts w:ascii="Noto Sans CJK SC" w:hAnsi="Noto Sans CJK SC" w:eastAsia="Noto Sans CJK SC"/>
          <w:b w:val="0"/>
          <w:color w:val="222222"/>
          <w:sz w:val="20"/>
        </w:rPr>
        <w:t>以下链接用于界定 Codex 的能力边界、协作方式与安全使用基线：</w:t>
      </w:r>
    </w:p>
    <w:p>
      <w:pPr>
        <w:pStyle w:val="ListBullet"/>
        <w:spacing w:before="0" w:after="40" w:line="264" w:lineRule="auto"/>
      </w:pPr>
      <w:r>
        <w:rPr>
          <w:rFonts w:ascii="Noto Sans CJK SC" w:hAnsi="Noto Sans CJK SC" w:eastAsia="Noto Sans CJK SC"/>
          <w:b/>
          <w:color w:val="222222"/>
          <w:sz w:val="19"/>
        </w:rPr>
        <w:t>OpenAI Developers — Codex 概览：</w:t>
      </w:r>
      <w:r>
        <w:rPr>
          <w:rFonts w:ascii="Noto Sans CJK SC" w:hAnsi="Noto Sans CJK SC" w:eastAsia="Noto Sans CJK SC"/>
          <w:b w:val="0"/>
          <w:color w:val="1F4E79"/>
          <w:sz w:val="18"/>
        </w:rPr>
        <w:t>https://developers.openai.com/codex</w:t>
      </w:r>
    </w:p>
    <w:p>
      <w:pPr>
        <w:pStyle w:val="ListBullet"/>
        <w:spacing w:before="0" w:after="40" w:line="264" w:lineRule="auto"/>
      </w:pPr>
      <w:r>
        <w:rPr>
          <w:rFonts w:ascii="Noto Sans CJK SC" w:hAnsi="Noto Sans CJK SC" w:eastAsia="Noto Sans CJK SC"/>
          <w:b/>
          <w:color w:val="222222"/>
          <w:sz w:val="19"/>
        </w:rPr>
        <w:t>OpenAI — Introducing Codex：</w:t>
      </w:r>
      <w:r>
        <w:rPr>
          <w:rFonts w:ascii="Noto Sans CJK SC" w:hAnsi="Noto Sans CJK SC" w:eastAsia="Noto Sans CJK SC"/>
          <w:b w:val="0"/>
          <w:color w:val="1F4E79"/>
          <w:sz w:val="18"/>
        </w:rPr>
        <w:t>https://openai.com/index/introducing-codex/</w:t>
      </w:r>
    </w:p>
    <w:p>
      <w:pPr>
        <w:pStyle w:val="ListBullet"/>
        <w:spacing w:before="0" w:after="40" w:line="264" w:lineRule="auto"/>
      </w:pPr>
      <w:r>
        <w:rPr>
          <w:rFonts w:ascii="Noto Sans CJK SC" w:hAnsi="Noto Sans CJK SC" w:eastAsia="Noto Sans CJK SC"/>
          <w:b/>
          <w:color w:val="222222"/>
          <w:sz w:val="19"/>
        </w:rPr>
        <w:t>OpenAI Developers — Run long horizon tasks with Codex：</w:t>
      </w:r>
      <w:r>
        <w:rPr>
          <w:rFonts w:ascii="Noto Sans CJK SC" w:hAnsi="Noto Sans CJK SC" w:eastAsia="Noto Sans CJK SC"/>
          <w:b w:val="0"/>
          <w:color w:val="1F4E79"/>
          <w:sz w:val="18"/>
        </w:rPr>
        <w:t>https://developers.openai.com/blog/run-long-horizon-tasks-with-codex</w:t>
      </w:r>
    </w:p>
    <w:p>
      <w:pPr>
        <w:pStyle w:val="ListBullet"/>
        <w:spacing w:before="0" w:after="40" w:line="264" w:lineRule="auto"/>
      </w:pPr>
      <w:r>
        <w:rPr>
          <w:rFonts w:ascii="Noto Sans CJK SC" w:hAnsi="Noto Sans CJK SC" w:eastAsia="Noto Sans CJK SC"/>
          <w:b/>
          <w:color w:val="222222"/>
          <w:sz w:val="19"/>
        </w:rPr>
        <w:t>OpenAI Developers — Codex CLI：</w:t>
      </w:r>
      <w:r>
        <w:rPr>
          <w:rFonts w:ascii="Noto Sans CJK SC" w:hAnsi="Noto Sans CJK SC" w:eastAsia="Noto Sans CJK SC"/>
          <w:b w:val="0"/>
          <w:color w:val="1F4E79"/>
          <w:sz w:val="18"/>
        </w:rPr>
        <w:t>https://developers.openai.com/codex/cli</w:t>
      </w:r>
    </w:p>
    <w:p>
      <w:pPr>
        <w:pStyle w:val="ListBullet"/>
        <w:spacing w:before="0" w:after="40" w:line="264" w:lineRule="auto"/>
      </w:pPr>
      <w:r>
        <w:rPr>
          <w:rFonts w:ascii="Noto Sans CJK SC" w:hAnsi="Noto Sans CJK SC" w:eastAsia="Noto Sans CJK SC"/>
          <w:b/>
          <w:color w:val="222222"/>
          <w:sz w:val="19"/>
        </w:rPr>
        <w:t>OpenAI — Introducing the Codex app：</w:t>
      </w:r>
      <w:r>
        <w:rPr>
          <w:rFonts w:ascii="Noto Sans CJK SC" w:hAnsi="Noto Sans CJK SC" w:eastAsia="Noto Sans CJK SC"/>
          <w:b w:val="0"/>
          <w:color w:val="1F4E79"/>
          <w:sz w:val="18"/>
        </w:rPr>
        <w:t>https://openai.com/index/introducing-the-codex-app/</w:t>
      </w:r>
    </w:p>
    <w:p>
      <w:pPr>
        <w:pStyle w:val="ListBullet"/>
        <w:spacing w:before="0" w:after="40" w:line="264" w:lineRule="auto"/>
      </w:pPr>
      <w:r>
        <w:rPr>
          <w:rFonts w:ascii="Noto Sans CJK SC" w:hAnsi="Noto Sans CJK SC" w:eastAsia="Noto Sans CJK SC"/>
          <w:b/>
          <w:color w:val="222222"/>
          <w:sz w:val="19"/>
        </w:rPr>
        <w:t>OpenAI Developers — Agent approvals &amp; security：</w:t>
      </w:r>
      <w:r>
        <w:rPr>
          <w:rFonts w:ascii="Noto Sans CJK SC" w:hAnsi="Noto Sans CJK SC" w:eastAsia="Noto Sans CJK SC"/>
          <w:b w:val="0"/>
          <w:color w:val="1F4E79"/>
          <w:sz w:val="18"/>
        </w:rPr>
        <w:t>https://developers.openai.com/codex/agent-approvals-security</w:t>
      </w:r>
    </w:p>
    <w:p>
      <w:pPr>
        <w:pStyle w:val="ListBullet"/>
        <w:spacing w:before="0" w:after="40" w:line="264" w:lineRule="auto"/>
      </w:pPr>
      <w:r>
        <w:rPr>
          <w:rFonts w:ascii="Noto Sans CJK SC" w:hAnsi="Noto Sans CJK SC" w:eastAsia="Noto Sans CJK SC"/>
          <w:b/>
          <w:color w:val="222222"/>
          <w:sz w:val="19"/>
        </w:rPr>
        <w:t>OpenAI Developers — Agent internet access：</w:t>
      </w:r>
      <w:r>
        <w:rPr>
          <w:rFonts w:ascii="Noto Sans CJK SC" w:hAnsi="Noto Sans CJK SC" w:eastAsia="Noto Sans CJK SC"/>
          <w:b w:val="0"/>
          <w:color w:val="1F4E79"/>
          <w:sz w:val="18"/>
        </w:rPr>
        <w:t>https://developers.openai.com/codex/cloud/internet-access</w:t>
      </w:r>
    </w:p>
    <w:p>
      <w:pPr>
        <w:pStyle w:val="ListBullet"/>
        <w:spacing w:before="0" w:after="40" w:line="264" w:lineRule="auto"/>
      </w:pPr>
      <w:r>
        <w:rPr>
          <w:rFonts w:ascii="Noto Sans CJK SC" w:hAnsi="Noto Sans CJK SC" w:eastAsia="Noto Sans CJK SC"/>
          <w:b/>
          <w:color w:val="222222"/>
          <w:sz w:val="19"/>
        </w:rPr>
        <w:t>OpenAI Developers — Best practices：</w:t>
      </w:r>
      <w:r>
        <w:rPr>
          <w:rFonts w:ascii="Noto Sans CJK SC" w:hAnsi="Noto Sans CJK SC" w:eastAsia="Noto Sans CJK SC"/>
          <w:b w:val="0"/>
          <w:color w:val="1F4E79"/>
          <w:sz w:val="18"/>
        </w:rPr>
        <w:t>https://developers.openai.com/codex/learn/best-practices</w:t>
      </w:r>
    </w:p>
    <w:p>
      <w:pPr>
        <w:spacing w:after="8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Noto Sans CJK SC" w:hAnsi="Noto Sans CJK SC" w:eastAsia="Noto Sans CJK SC"/>
        <w:b w:val="0"/>
        <w:color w:val="606060"/>
        <w:sz w:val="17"/>
      </w:rPr>
      <w:t xml:space="preserve">第 </w:t>
    </w:r>
    <w:fldSimple w:instr="PAGE">
      <w:r>
        <w:t>1</w:t>
      </w:r>
    </w:fldSimple>
    <w:r>
      <w:rPr>
        <w:rFonts w:ascii="Noto Sans CJK SC" w:hAnsi="Noto Sans CJK SC" w:eastAsia="Noto Sans CJK SC"/>
        <w:b w:val="0"/>
        <w:color w:val="606060"/>
        <w:sz w:val="17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Noto Sans CJK SC" w:hAnsi="Noto Sans CJK SC" w:eastAsia="Noto Sans CJK SC"/>
        <w:b w:val="0"/>
        <w:color w:val="606060"/>
        <w:sz w:val="17"/>
      </w:rPr>
      <w:t>智慧食堂项目｜Codex 可承担事项总览（管理版）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