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600" w:after="280"/>
        <w:jc w:val="left"/>
      </w:pPr>
      <w:r>
        <w:rPr>
          <w:rFonts w:ascii="Noto Sans CJK SC" w:hAnsi="Noto Sans CJK SC" w:eastAsia="Noto Sans CJK SC"/>
          <w:b/>
          <w:color w:val="1F4E79"/>
          <w:sz w:val="44"/>
        </w:rPr>
        <w:t>智慧食堂项目：Codex 可承担事项总览</w:t>
      </w:r>
    </w:p>
    <w:p>
      <w:pPr>
        <w:spacing w:after="240"/>
        <w:jc w:val="left"/>
      </w:pPr>
      <w:r>
        <w:rPr>
          <w:rFonts w:ascii="Noto Sans CJK SC" w:hAnsi="Noto Sans CJK SC" w:eastAsia="Noto Sans CJK SC"/>
          <w:b w:val="0"/>
          <w:color w:val="606060"/>
          <w:sz w:val="23"/>
        </w:rPr>
        <w:t>管理版｜基于差距分析报告与微信小程序安全检测报告整理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4535"/>
            <w:shd w:fill="1F4E79" w:val="clear"/>
          </w:tcPr>
          <w:p>
            <w:r/>
          </w:p>
        </w:tc>
      </w:tr>
    </w:tbl>
    <w:p>
      <w:pPr>
        <w:spacing w:after="280"/>
      </w:pP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  <w:vAlign w:val="center"/>
            <w:shd w:fill="D9EAF7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19"/>
              </w:rPr>
              <w:t>项目对象</w:t>
            </w:r>
          </w:p>
        </w:tc>
        <w:tc>
          <w:tcPr>
            <w:tcW w:type="dxa" w:w="6690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9"/>
              </w:rPr>
              <w:t>北京首通慧城科技有限公司智慧食堂相关整改与加固工作</w:t>
            </w:r>
          </w:p>
        </w:tc>
      </w:tr>
      <w:tr>
        <w:tc>
          <w:tcPr>
            <w:tcW w:type="dxa" w:w="2268"/>
            <w:vAlign w:val="center"/>
            <w:shd w:fill="D9EAF7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19"/>
              </w:rPr>
              <w:t>输入材料</w:t>
            </w:r>
          </w:p>
        </w:tc>
        <w:tc>
          <w:tcPr>
            <w:tcW w:type="dxa" w:w="6690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9"/>
              </w:rPr>
              <w:t>《北京首通慧城科技有限公司智慧食堂系统差距分析报告.xlsx》；《智慧食堂sthc__微信小程序安全检测报告.docx》</w:t>
            </w:r>
          </w:p>
        </w:tc>
      </w:tr>
      <w:tr>
        <w:tc>
          <w:tcPr>
            <w:tcW w:type="dxa" w:w="2268"/>
            <w:vAlign w:val="center"/>
            <w:shd w:fill="D9EAF7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19"/>
              </w:rPr>
              <w:t>整理日期</w:t>
            </w:r>
          </w:p>
        </w:tc>
        <w:tc>
          <w:tcPr>
            <w:tcW w:type="dxa" w:w="6690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9"/>
              </w:rPr>
              <w:t>2026-04-14</w:t>
            </w:r>
          </w:p>
        </w:tc>
      </w:tr>
      <w:tr>
        <w:tc>
          <w:tcPr>
            <w:tcW w:type="dxa" w:w="2268"/>
            <w:vAlign w:val="center"/>
            <w:shd w:fill="D9EAF7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19"/>
              </w:rPr>
              <w:t>文档定位</w:t>
            </w:r>
          </w:p>
        </w:tc>
        <w:tc>
          <w:tcPr>
            <w:tcW w:type="dxa" w:w="6690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9"/>
              </w:rPr>
              <w:t>面向管理层：回答“哪些整改事项适合交给 Codex，哪些仍必须由人工主导”</w:t>
            </w:r>
          </w:p>
        </w:tc>
      </w:tr>
    </w:tbl>
    <w:p>
      <w:pPr>
        <w:spacing w:after="120"/>
      </w:pPr>
    </w:p>
    <w:p>
      <w:pPr>
        <w:spacing w:before="280" w:after="120"/>
      </w:pPr>
      <w:r>
        <w:rPr>
          <w:rFonts w:ascii="Noto Sans CJK SC" w:hAnsi="Noto Sans CJK SC" w:eastAsia="Noto Sans CJK SC"/>
          <w:b/>
          <w:color w:val="1F4E79"/>
          <w:sz w:val="31"/>
        </w:rPr>
        <w:t>一、管理判断</w:t>
      </w:r>
    </w:p>
    <w:p>
      <w:pPr>
        <w:spacing w:before="0" w:after="120" w:line="300" w:lineRule="auto"/>
        <w:jc w:val="left"/>
      </w:pPr>
      <w:r>
        <w:rPr>
          <w:rFonts w:ascii="Noto Sans CJK SC" w:hAnsi="Noto Sans CJK SC" w:eastAsia="Noto Sans CJK SC"/>
          <w:b w:val="0"/>
          <w:color w:val="222222"/>
          <w:sz w:val="21"/>
        </w:rPr>
        <w:t>从已上传材料看，智慧食堂项目当前同时面临两类整改压力：一类是等保/基线类差距项，另一类是微信小程序安全整改项。差距分析表共 47 项问题，且全部处于“未整改”状态，其中高风险 13 项、中风险 27 项、低风险 7 项；微信小程序安全检测报告得分 77，共识别 23 个风险项，其中高危 4 个、中危 8 个、低危 11 个。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fill="D9EAF7" w:val="clear"/>
            <w:tcBorders>
              <w:left w:val="single" w:sz="6" w:color="D0D7DE"/>
              <w:top w:val="single" w:sz="6" w:color="D0D7DE"/>
              <w:right w:val="single" w:sz="6" w:color="D0D7DE"/>
              <w:bottom w:val="single" w:sz="6" w:color="D0D7DE"/>
            </w:tcBorders>
          </w:tcPr>
          <w:p>
            <w:pPr>
              <w:spacing w:before="40" w:after="40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21"/>
              </w:rPr>
              <w:t>一句话结论</w:t>
            </w:r>
          </w:p>
          <w:p>
            <w:pPr>
              <w:spacing w:before="0" w:after="0" w:line="276" w:lineRule="auto"/>
            </w:pPr>
            <w:r>
              <w:rPr>
                <w:rFonts w:ascii="Noto Sans CJK SC" w:hAnsi="Noto Sans CJK SC" w:eastAsia="Noto Sans CJK SC"/>
                <w:b w:val="0"/>
                <w:color w:val="222222"/>
                <w:sz w:val="20"/>
              </w:rPr>
              <w:t>Codex 很适合承担“分析、起草、批量修改、测试、脚本化、文档化”这类工程执行工作，尤其适合处理代码与配置密集型整改；但它不应独立承担生产权限开通、设备采购、云控制台最终授权、第三方加固采购和最终复测签字。</w:t>
            </w:r>
          </w:p>
        </w:tc>
      </w:tr>
    </w:tbl>
    <w:p>
      <w:pPr>
        <w:spacing w:after="40"/>
      </w:pPr>
    </w:p>
    <w:p>
      <w:pPr>
        <w:spacing w:before="280" w:after="120"/>
      </w:pPr>
      <w:r>
        <w:rPr>
          <w:rFonts w:ascii="Noto Sans CJK SC" w:hAnsi="Noto Sans CJK SC" w:eastAsia="Noto Sans CJK SC"/>
          <w:b/>
          <w:color w:val="1F4E79"/>
          <w:sz w:val="31"/>
        </w:rPr>
        <w:t>二、项目信号灯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649"/>
            <w:shd w:fill="FDEBEC" w:val="clear"/>
          </w:tcPr>
          <w:p>
            <w:pPr>
              <w:spacing w:after="80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22"/>
              </w:rPr>
              <w:t>差距分析总量</w:t>
            </w:r>
          </w:p>
          <w:p>
            <w:pPr>
              <w:spacing w:line="276" w:lineRule="auto" w:after="0"/>
              <w:jc w:val="left"/>
            </w:pPr>
            <w:r>
              <w:rPr>
                <w:rFonts w:ascii="Noto Sans CJK SC" w:hAnsi="Noto Sans CJK SC" w:eastAsia="Noto Sans CJK SC"/>
                <w:b w:val="0"/>
                <w:color w:val="222222"/>
                <w:sz w:val="20"/>
              </w:rPr>
              <w:t>47 项未整改</w:t>
            </w:r>
            <w:r>
              <w:rPr>
                <w:rFonts w:ascii="Noto Sans CJK SC" w:hAnsi="Noto Sans CJK SC" w:eastAsia="Noto Sans CJK SC"/>
                <w:b w:val="0"/>
                <w:color w:val="222222"/>
                <w:sz w:val="20"/>
              </w:rPr>
              <w:br/>
              <w:t>高 13｜中 27｜低 7</w:t>
            </w:r>
          </w:p>
        </w:tc>
        <w:tc>
          <w:tcPr>
            <w:tcW w:type="dxa" w:w="4649"/>
            <w:shd w:fill="FFF4D6" w:val="clear"/>
          </w:tcPr>
          <w:p>
            <w:pPr>
              <w:spacing w:after="80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22"/>
              </w:rPr>
              <w:t>小程序安全检测</w:t>
            </w:r>
          </w:p>
          <w:p>
            <w:pPr>
              <w:spacing w:line="276" w:lineRule="auto" w:after="0"/>
              <w:jc w:val="left"/>
            </w:pPr>
            <w:r>
              <w:rPr>
                <w:rFonts w:ascii="Noto Sans CJK SC" w:hAnsi="Noto Sans CJK SC" w:eastAsia="Noto Sans CJK SC"/>
                <w:b w:val="0"/>
                <w:color w:val="222222"/>
                <w:sz w:val="20"/>
              </w:rPr>
              <w:t>评分 77</w:t>
            </w:r>
            <w:r>
              <w:rPr>
                <w:rFonts w:ascii="Noto Sans CJK SC" w:hAnsi="Noto Sans CJK SC" w:eastAsia="Noto Sans CJK SC"/>
                <w:b w:val="0"/>
                <w:color w:val="222222"/>
                <w:sz w:val="20"/>
              </w:rPr>
              <w:br/>
              <w:t>风险项 23 个</w:t>
            </w:r>
          </w:p>
        </w:tc>
      </w:tr>
      <w:tr>
        <w:tc>
          <w:tcPr>
            <w:tcW w:type="dxa" w:w="4649"/>
            <w:shd w:fill="D9EAF7" w:val="clear"/>
          </w:tcPr>
          <w:p>
            <w:pPr>
              <w:spacing w:after="80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22"/>
              </w:rPr>
              <w:t>问题集中区</w:t>
            </w:r>
          </w:p>
          <w:p>
            <w:pPr>
              <w:spacing w:line="276" w:lineRule="auto" w:after="0"/>
              <w:jc w:val="left"/>
            </w:pPr>
            <w:r>
              <w:rPr>
                <w:rFonts w:ascii="Noto Sans CJK SC" w:hAnsi="Noto Sans CJK SC" w:eastAsia="Noto Sans CJK SC"/>
                <w:b w:val="0"/>
                <w:color w:val="222222"/>
                <w:sz w:val="20"/>
              </w:rPr>
              <w:t>安全计算环境 42 项</w:t>
            </w:r>
            <w:r>
              <w:rPr>
                <w:rFonts w:ascii="Noto Sans CJK SC" w:hAnsi="Noto Sans CJK SC" w:eastAsia="Noto Sans CJK SC"/>
                <w:b w:val="0"/>
                <w:color w:val="222222"/>
                <w:sz w:val="20"/>
              </w:rPr>
              <w:br/>
              <w:t>服务器/平台/数据库最集中</w:t>
            </w:r>
          </w:p>
        </w:tc>
        <w:tc>
          <w:tcPr>
            <w:tcW w:type="dxa" w:w="4649"/>
            <w:shd w:fill="EAF4EA" w:val="clear"/>
          </w:tcPr>
          <w:p>
            <w:pPr>
              <w:spacing w:after="80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22"/>
              </w:rPr>
              <w:t>高危优先主题</w:t>
            </w:r>
          </w:p>
          <w:p>
            <w:pPr>
              <w:spacing w:line="276" w:lineRule="auto" w:after="0"/>
              <w:jc w:val="left"/>
            </w:pPr>
            <w:r>
              <w:rPr>
                <w:rFonts w:ascii="Noto Sans CJK SC" w:hAnsi="Noto Sans CJK SC" w:eastAsia="Noto Sans CJK SC"/>
                <w:b w:val="0"/>
                <w:color w:val="222222"/>
                <w:sz w:val="20"/>
              </w:rPr>
              <w:t>越权/IDOR、硬编码秘钥、动态调试、链路加密、账号策略</w:t>
            </w:r>
          </w:p>
        </w:tc>
      </w:tr>
    </w:tbl>
    <w:p>
      <w:pPr>
        <w:spacing w:after="80"/>
      </w:pPr>
    </w:p>
    <w:p>
      <w:pPr>
        <w:spacing w:before="280" w:after="120"/>
      </w:pPr>
      <w:r>
        <w:rPr>
          <w:rFonts w:ascii="Noto Sans CJK SC" w:hAnsi="Noto Sans CJK SC" w:eastAsia="Noto Sans CJK SC"/>
          <w:b/>
          <w:color w:val="1F4E79"/>
          <w:sz w:val="31"/>
        </w:rPr>
        <w:t>三、Codex 在本项目中的适配范围</w:t>
      </w:r>
    </w:p>
    <w:p>
      <w:pPr>
        <w:spacing w:before="0" w:after="120" w:line="300" w:lineRule="auto"/>
        <w:jc w:val="left"/>
      </w:pPr>
      <w:r>
        <w:rPr>
          <w:rFonts w:ascii="Noto Sans CJK SC" w:hAnsi="Noto Sans CJK SC" w:eastAsia="Noto Sans CJK SC"/>
          <w:b w:val="0"/>
          <w:color w:val="222222"/>
          <w:sz w:val="20"/>
        </w:rPr>
        <w:t>建议把整改事项先分成“代码与配置型”“平台权限型”“设备/采购型”三大类，再决定是否交给 Codex。下面这张表可以直接作为立项或排期时的决策依据。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814"/>
            <w:vAlign w:val="center"/>
            <w:shd w:fill="D9EAF7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19"/>
              </w:rPr>
              <w:t>工作类型</w:t>
            </w:r>
          </w:p>
        </w:tc>
        <w:tc>
          <w:tcPr>
            <w:tcW w:type="dxa" w:w="1134"/>
            <w:vAlign w:val="center"/>
            <w:shd w:fill="D9EAF7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19"/>
              </w:rPr>
              <w:t>Codex 适配度</w:t>
            </w:r>
          </w:p>
        </w:tc>
        <w:tc>
          <w:tcPr>
            <w:tcW w:type="dxa" w:w="3515"/>
            <w:vAlign w:val="center"/>
            <w:shd w:fill="D9EAF7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19"/>
              </w:rPr>
              <w:t>适合交给 Codex 的动作</w:t>
            </w:r>
          </w:p>
        </w:tc>
        <w:tc>
          <w:tcPr>
            <w:tcW w:type="dxa" w:w="2948"/>
            <w:vAlign w:val="center"/>
            <w:shd w:fill="D9EAF7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19"/>
              </w:rPr>
              <w:t>必须人工把关的点</w:t>
            </w:r>
          </w:p>
        </w:tc>
      </w:tr>
      <w:tr>
        <w:tc>
          <w:tcPr>
            <w:tcW w:type="dxa" w:w="240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222222"/>
                <w:sz w:val="18"/>
              </w:rPr>
              <w:t>代码扫描与问题定位</w:t>
            </w:r>
          </w:p>
        </w:tc>
        <w:tc>
          <w:tcPr>
            <w:tcW w:type="dxa" w:w="240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高适配</w:t>
            </w:r>
          </w:p>
        </w:tc>
        <w:tc>
          <w:tcPr>
            <w:tcW w:type="dxa" w:w="240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仓库级搜索、模式匹配、风险聚类、整改建议初稿</w:t>
            </w:r>
          </w:p>
        </w:tc>
        <w:tc>
          <w:tcPr>
            <w:tcW w:type="dxa" w:w="240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仍需人工确认误报与业务语义</w:t>
            </w:r>
          </w:p>
        </w:tc>
      </w:tr>
      <w:tr>
        <w:tc>
          <w:tcPr>
            <w:tcW w:type="dxa" w:w="240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222222"/>
                <w:sz w:val="18"/>
              </w:rPr>
              <w:t>代码修复与重构</w:t>
            </w:r>
          </w:p>
        </w:tc>
        <w:tc>
          <w:tcPr>
            <w:tcW w:type="dxa" w:w="240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高适配</w:t>
            </w:r>
          </w:p>
        </w:tc>
        <w:tc>
          <w:tcPr>
            <w:tcW w:type="dxa" w:w="240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中间件、配置模块、日志模块、测试脚本、构建脚本</w:t>
            </w:r>
          </w:p>
        </w:tc>
        <w:tc>
          <w:tcPr>
            <w:tcW w:type="dxa" w:w="240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关键安全逻辑必须 PR 审核</w:t>
            </w:r>
          </w:p>
        </w:tc>
      </w:tr>
      <w:tr>
        <w:tc>
          <w:tcPr>
            <w:tcW w:type="dxa" w:w="240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222222"/>
                <w:sz w:val="18"/>
              </w:rPr>
              <w:t>配置与脚本治理</w:t>
            </w:r>
          </w:p>
        </w:tc>
        <w:tc>
          <w:tcPr>
            <w:tcW w:type="dxa" w:w="240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高适配</w:t>
            </w:r>
          </w:p>
        </w:tc>
        <w:tc>
          <w:tcPr>
            <w:tcW w:type="dxa" w:w="240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Nginx/Apache/PHP/CI/部署脚本/巡检脚本</w:t>
            </w:r>
          </w:p>
        </w:tc>
        <w:tc>
          <w:tcPr>
            <w:tcW w:type="dxa" w:w="240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生产变更需走窗口和审批</w:t>
            </w:r>
          </w:p>
        </w:tc>
      </w:tr>
      <w:tr>
        <w:tc>
          <w:tcPr>
            <w:tcW w:type="dxa" w:w="240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222222"/>
                <w:sz w:val="18"/>
              </w:rPr>
              <w:t>测试与复测准备</w:t>
            </w:r>
          </w:p>
        </w:tc>
        <w:tc>
          <w:tcPr>
            <w:tcW w:type="dxa" w:w="240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高适配</w:t>
            </w:r>
          </w:p>
        </w:tc>
        <w:tc>
          <w:tcPr>
            <w:tcW w:type="dxa" w:w="240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单测、集成测试、lint、类型检查、验收清单、复测证据包</w:t>
            </w:r>
          </w:p>
        </w:tc>
        <w:tc>
          <w:tcPr>
            <w:tcW w:type="dxa" w:w="240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最终复测报告由人工确认</w:t>
            </w:r>
          </w:p>
        </w:tc>
      </w:tr>
      <w:tr>
        <w:tc>
          <w:tcPr>
            <w:tcW w:type="dxa" w:w="240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222222"/>
                <w:sz w:val="18"/>
              </w:rPr>
              <w:t>账号开通与云资源审批</w:t>
            </w:r>
          </w:p>
        </w:tc>
        <w:tc>
          <w:tcPr>
            <w:tcW w:type="dxa" w:w="240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中适配</w:t>
            </w:r>
          </w:p>
        </w:tc>
        <w:tc>
          <w:tcPr>
            <w:tcW w:type="dxa" w:w="240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能先出 RBAC 方案和实施清单</w:t>
            </w:r>
          </w:p>
        </w:tc>
        <w:tc>
          <w:tcPr>
            <w:tcW w:type="dxa" w:w="240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真正授权、开账号、改控制台需人工执行</w:t>
            </w:r>
          </w:p>
        </w:tc>
      </w:tr>
      <w:tr>
        <w:tc>
          <w:tcPr>
            <w:tcW w:type="dxa" w:w="240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222222"/>
                <w:sz w:val="18"/>
              </w:rPr>
              <w:t>硬件可信根、第三方加固、设备采购</w:t>
            </w:r>
          </w:p>
        </w:tc>
        <w:tc>
          <w:tcPr>
            <w:tcW w:type="dxa" w:w="240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低适配</w:t>
            </w:r>
          </w:p>
        </w:tc>
        <w:tc>
          <w:tcPr>
            <w:tcW w:type="dxa" w:w="240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能做选型文档与采购清单</w:t>
            </w:r>
          </w:p>
        </w:tc>
        <w:tc>
          <w:tcPr>
            <w:tcW w:type="dxa" w:w="240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采购、部署、验收必须人工主导</w:t>
            </w:r>
          </w:p>
        </w:tc>
      </w:tr>
    </w:tbl>
    <w:p>
      <w:pPr>
        <w:spacing w:after="80"/>
      </w:pPr>
    </w:p>
    <w:p>
      <w:pPr>
        <w:spacing w:before="280" w:after="120"/>
      </w:pPr>
      <w:r>
        <w:rPr>
          <w:rFonts w:ascii="Noto Sans CJK SC" w:hAnsi="Noto Sans CJK SC" w:eastAsia="Noto Sans CJK SC"/>
          <w:b/>
          <w:color w:val="1F4E79"/>
          <w:sz w:val="31"/>
        </w:rPr>
        <w:t>四、把两份报告压缩成 6 条整改主线</w:t>
      </w:r>
    </w:p>
    <w:p>
      <w:pPr>
        <w:spacing w:before="0" w:after="120" w:line="300" w:lineRule="auto"/>
        <w:jc w:val="left"/>
      </w:pPr>
      <w:r>
        <w:rPr>
          <w:rFonts w:ascii="Noto Sans CJK SC" w:hAnsi="Noto Sans CJK SC" w:eastAsia="Noto Sans CJK SC"/>
          <w:b w:val="0"/>
          <w:color w:val="222222"/>
          <w:sz w:val="20"/>
        </w:rPr>
        <w:t>管理上不建议按 21 个差距编号和 23 个小程序风险项逐条排期，而应按整改主线整合。这样更利于拆分 Codex 任务、安排人力和定义里程碑。</w:t>
      </w:r>
    </w:p>
    <w:p>
      <w:pPr>
        <w:spacing w:before="200" w:after="80"/>
      </w:pPr>
      <w:r>
        <w:rPr>
          <w:rFonts w:ascii="Noto Sans CJK SC" w:hAnsi="Noto Sans CJK SC" w:eastAsia="Noto Sans CJK SC"/>
          <w:b/>
          <w:color w:val="1F4E79"/>
          <w:sz w:val="25"/>
        </w:rPr>
        <w:t>4.1 等保/基线主线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1814"/>
            <w:vAlign w:val="center"/>
            <w:shd w:fill="D9EAF7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19"/>
              </w:rPr>
              <w:t>主线</w:t>
            </w:r>
          </w:p>
        </w:tc>
        <w:tc>
          <w:tcPr>
            <w:tcW w:type="dxa" w:w="1361"/>
            <w:vAlign w:val="center"/>
            <w:shd w:fill="D9EAF7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19"/>
              </w:rPr>
              <w:t>差距编号</w:t>
            </w:r>
          </w:p>
        </w:tc>
        <w:tc>
          <w:tcPr>
            <w:tcW w:type="dxa" w:w="5896"/>
            <w:vAlign w:val="center"/>
            <w:shd w:fill="D9EAF7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19"/>
              </w:rPr>
              <w:t>核心问题</w:t>
            </w:r>
          </w:p>
        </w:tc>
      </w:tr>
      <w:tr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222222"/>
                <w:sz w:val="18"/>
              </w:rPr>
              <w:t>身份与会话治理</w:t>
            </w:r>
          </w:p>
        </w:tc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T006/T007</w:t>
            </w:r>
          </w:p>
        </w:tc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口令复杂度、口令有效期、登录失败处理、连接超时退出</w:t>
            </w:r>
          </w:p>
        </w:tc>
      </w:tr>
      <w:tr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222222"/>
                <w:sz w:val="18"/>
              </w:rPr>
              <w:t>权限与账号分权</w:t>
            </w:r>
          </w:p>
        </w:tc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T009/T010/T011</w:t>
            </w:r>
          </w:p>
        </w:tc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阿里云/服务器/业务系统的账号分离、专人专用、最小权限</w:t>
            </w:r>
          </w:p>
        </w:tc>
      </w:tr>
      <w:tr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222222"/>
                <w:sz w:val="18"/>
              </w:rPr>
              <w:t>审计与留痕</w:t>
            </w:r>
          </w:p>
        </w:tc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T012/T013/T014</w:t>
            </w:r>
          </w:p>
        </w:tc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日志审计能力、审计字段完整性、审计记录备份</w:t>
            </w:r>
          </w:p>
        </w:tc>
      </w:tr>
      <w:tr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222222"/>
                <w:sz w:val="18"/>
              </w:rPr>
              <w:t>网络与数据传输</w:t>
            </w:r>
          </w:p>
        </w:tc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T001/T008/T018</w:t>
            </w:r>
          </w:p>
        </w:tc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数据库通信、远程管理、数据传输链路启用 SSL/TLS</w:t>
            </w:r>
          </w:p>
        </w:tc>
      </w:tr>
      <w:tr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222222"/>
                <w:sz w:val="18"/>
              </w:rPr>
              <w:t>边界与终端防护</w:t>
            </w:r>
          </w:p>
        </w:tc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T003/T004/T015/T016</w:t>
            </w:r>
          </w:p>
        </w:tc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规则库/病毒库更新、接入终端范围限制、主机防病毒</w:t>
            </w:r>
          </w:p>
        </w:tc>
      </w:tr>
      <w:tr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222222"/>
                <w:sz w:val="18"/>
              </w:rPr>
              <w:t>备份与灾备</w:t>
            </w:r>
          </w:p>
        </w:tc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T019/T020</w:t>
            </w:r>
          </w:p>
        </w:tc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全量备份、恢复测试、异地备份</w:t>
            </w:r>
          </w:p>
        </w:tc>
      </w:tr>
      <w:tr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222222"/>
                <w:sz w:val="18"/>
              </w:rPr>
              <w:t>可信与主机基线</w:t>
            </w:r>
          </w:p>
        </w:tc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T002/T005/T017/T021</w:t>
            </w:r>
          </w:p>
        </w:tc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可信验证、剩余信息清除、Linux 基线</w:t>
            </w:r>
          </w:p>
        </w:tc>
      </w:tr>
    </w:tbl>
    <w:p>
      <w:pPr>
        <w:spacing w:after="80"/>
      </w:pPr>
    </w:p>
    <w:p>
      <w:pPr>
        <w:spacing w:before="200" w:after="80"/>
      </w:pPr>
      <w:r>
        <w:rPr>
          <w:rFonts w:ascii="Noto Sans CJK SC" w:hAnsi="Noto Sans CJK SC" w:eastAsia="Noto Sans CJK SC"/>
          <w:b/>
          <w:color w:val="1F4E79"/>
          <w:sz w:val="25"/>
        </w:rPr>
        <w:t>4.2 小程序安全主线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1928"/>
            <w:vAlign w:val="center"/>
            <w:shd w:fill="D9EAF7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19"/>
              </w:rPr>
              <w:t>主线</w:t>
            </w:r>
          </w:p>
        </w:tc>
        <w:tc>
          <w:tcPr>
            <w:tcW w:type="dxa" w:w="2041"/>
            <w:vAlign w:val="center"/>
            <w:shd w:fill="D9EAF7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19"/>
              </w:rPr>
              <w:t>风险项</w:t>
            </w:r>
          </w:p>
        </w:tc>
        <w:tc>
          <w:tcPr>
            <w:tcW w:type="dxa" w:w="5102"/>
            <w:vAlign w:val="center"/>
            <w:shd w:fill="D9EAF7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19"/>
              </w:rPr>
              <w:t>核心问题</w:t>
            </w:r>
          </w:p>
        </w:tc>
      </w:tr>
      <w:tr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222222"/>
                <w:sz w:val="18"/>
              </w:rPr>
              <w:t>访问控制与接口暴露</w:t>
            </w:r>
          </w:p>
        </w:tc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0162/0164/0149/0147/0148/0103/0105/0106/0119</w:t>
            </w:r>
          </w:p>
        </w:tc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URL 访问控制、对象授权、危险 HTTP 方法、ELMAH/Apache/JSONP 暴露</w:t>
            </w:r>
          </w:p>
        </w:tc>
      </w:tr>
      <w:tr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222222"/>
                <w:sz w:val="18"/>
              </w:rPr>
              <w:t>客户端敏感信息与代码暴露</w:t>
            </w:r>
          </w:p>
        </w:tc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0176/0167/0166/0108/0109/0136/0154/0177/0178/0179/0180</w:t>
            </w:r>
          </w:p>
        </w:tc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硬编码密钥、明文字符串、日志、注释、内部邮箱、未混淆代码</w:t>
            </w:r>
          </w:p>
        </w:tc>
      </w:tr>
      <w:tr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222222"/>
                <w:sz w:val="18"/>
              </w:rPr>
              <w:t>客户端加固与安全实现</w:t>
            </w:r>
          </w:p>
        </w:tc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0165/0169/0174</w:t>
            </w:r>
          </w:p>
        </w:tc>
        <w:tc>
          <w:tcPr>
            <w:tcW w:type="dxa" w:w="3213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动态调试、随机数、AES 模式等实现问题</w:t>
            </w:r>
          </w:p>
        </w:tc>
      </w:tr>
    </w:tbl>
    <w:p>
      <w:pPr>
        <w:spacing w:after="80"/>
      </w:pPr>
    </w:p>
    <w:p>
      <w:pPr>
        <w:spacing w:before="280" w:after="120"/>
      </w:pPr>
      <w:r>
        <w:rPr>
          <w:rFonts w:ascii="Noto Sans CJK SC" w:hAnsi="Noto Sans CJK SC" w:eastAsia="Noto Sans CJK SC"/>
          <w:b/>
          <w:color w:val="1F4E79"/>
          <w:sz w:val="31"/>
        </w:rPr>
        <w:t>五、建议直接交给 Codex 的项目级待办</w:t>
      </w:r>
    </w:p>
    <w:p>
      <w:pPr>
        <w:spacing w:before="0" w:after="120" w:line="300" w:lineRule="auto"/>
        <w:jc w:val="left"/>
      </w:pPr>
      <w:r>
        <w:rPr>
          <w:rFonts w:ascii="Noto Sans CJK SC" w:hAnsi="Noto Sans CJK SC" w:eastAsia="Noto Sans CJK SC"/>
          <w:b w:val="0"/>
          <w:color w:val="222222"/>
          <w:sz w:val="20"/>
        </w:rPr>
        <w:t>以下待办已经按“业务价值 + 风险紧迫性 + Codex 适配度”排过序。原则上，P0 必须先做；P1 与 P2 可以并行推进。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377"/>
        <w:gridCol w:w="1377"/>
        <w:gridCol w:w="1377"/>
        <w:gridCol w:w="1377"/>
        <w:gridCol w:w="1377"/>
        <w:gridCol w:w="1377"/>
        <w:gridCol w:w="1377"/>
      </w:tblGrid>
      <w:tr>
        <w:tc>
          <w:tcPr>
            <w:tcW w:type="dxa" w:w="850"/>
            <w:vAlign w:val="center"/>
            <w:shd w:fill="D9EAF7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19"/>
              </w:rPr>
              <w:t>优先级</w:t>
            </w:r>
          </w:p>
        </w:tc>
        <w:tc>
          <w:tcPr>
            <w:tcW w:type="dxa" w:w="1191"/>
            <w:vAlign w:val="center"/>
            <w:shd w:fill="D9EAF7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19"/>
              </w:rPr>
              <w:t>工作流</w:t>
            </w:r>
          </w:p>
        </w:tc>
        <w:tc>
          <w:tcPr>
            <w:tcW w:type="dxa" w:w="1871"/>
            <w:vAlign w:val="center"/>
            <w:shd w:fill="D9EAF7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19"/>
              </w:rPr>
              <w:t>待办事项</w:t>
            </w:r>
          </w:p>
        </w:tc>
        <w:tc>
          <w:tcPr>
            <w:tcW w:type="dxa" w:w="2098"/>
            <w:vAlign w:val="center"/>
            <w:shd w:fill="D9EAF7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19"/>
              </w:rPr>
              <w:t>Codex 负责什么</w:t>
            </w:r>
          </w:p>
        </w:tc>
        <w:tc>
          <w:tcPr>
            <w:tcW w:type="dxa" w:w="1531"/>
            <w:vAlign w:val="center"/>
            <w:shd w:fill="D9EAF7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19"/>
              </w:rPr>
              <w:t>人工确认点</w:t>
            </w:r>
          </w:p>
        </w:tc>
        <w:tc>
          <w:tcPr>
            <w:tcW w:type="dxa" w:w="1531"/>
            <w:vAlign w:val="center"/>
            <w:shd w:fill="D9EAF7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19"/>
              </w:rPr>
              <w:t>交付物</w:t>
            </w:r>
          </w:p>
        </w:tc>
        <w:tc>
          <w:tcPr>
            <w:tcW w:type="dxa" w:w="1077"/>
            <w:vAlign w:val="center"/>
            <w:shd w:fill="D9EAF7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19"/>
              </w:rPr>
              <w:t>来源</w:t>
            </w:r>
          </w:p>
        </w:tc>
      </w:tr>
      <w:tr>
        <w:tc>
          <w:tcPr>
            <w:tcW w:type="dxa" w:w="1377"/>
            <w:vAlign w:val="center"/>
            <w:shd w:fill="FDEBEC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P0-1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代码与配置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秘钥与敏感信息全面清理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扫描并替换硬编码密钥、明文敏感串、内部邮箱、注释泄露与空密码/空密钥初始化。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确认正式秘钥托管方案、完成秘钥轮换。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扫描清单、替换补丁、配置样例、回归说明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小程序 0176/0167/0108/0109/0154/0177/0178/0179/0180</w:t>
            </w:r>
          </w:p>
        </w:tc>
      </w:tr>
      <w:tr>
        <w:tc>
          <w:tcPr>
            <w:tcW w:type="dxa" w:w="1377"/>
            <w:vAlign w:val="center"/>
            <w:shd w:fill="FDEBEC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P0-2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应用安全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接口访问控制与对象授权整改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梳理 API 路由，补齐鉴权中间件、资源归属校验与越权测试。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确认角色模型、审批接口权限矩阵。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接口台账、权限矩阵、代码补丁、测试用例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小程序 0162/0164</w:t>
            </w:r>
          </w:p>
        </w:tc>
      </w:tr>
      <w:tr>
        <w:tc>
          <w:tcPr>
            <w:tcW w:type="dxa" w:w="1377"/>
            <w:vAlign w:val="center"/>
            <w:shd w:fill="FDEBEC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P0-3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服务端治理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危险方法与暴露面收敛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收敛 PUT/MOVE/COPY、关闭 ELMAH/不安全 Apache 暴露，替换 JSONP。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在生产网关/主机完成配置发布。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Nginx/Apache 配置 diff、验证脚本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小程序 0103/0105/0106/0147/0148/0149</w:t>
            </w:r>
          </w:p>
        </w:tc>
      </w:tr>
      <w:tr>
        <w:tc>
          <w:tcPr>
            <w:tcW w:type="dxa" w:w="1377"/>
            <w:vAlign w:val="center"/>
            <w:shd w:fill="FDEBEC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P0-4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身份体系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口令、锁定与会话超时策略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在业务系统、服务器、数据库、控制台整理统一账号策略。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批准账号制度并推动运维执行。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策略说明、实现补丁、检查脚本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差距 T006/T007</w:t>
            </w:r>
          </w:p>
        </w:tc>
      </w:tr>
      <w:tr>
        <w:tc>
          <w:tcPr>
            <w:tcW w:type="dxa" w:w="1377"/>
            <w:vAlign w:val="center"/>
            <w:shd w:fill="FDEBEC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P0-5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数据安全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数据库与远程管理链路加密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梳理 DB 与远程管理链路，补充 SSL/TLS 配置与验证脚本。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安排数据库/运维窗口并验收联调。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参数变更清单、验证报告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差距 T001/T008/T018</w:t>
            </w:r>
          </w:p>
        </w:tc>
      </w:tr>
      <w:tr>
        <w:tc>
          <w:tcPr>
            <w:tcW w:type="dxa" w:w="1377"/>
            <w:vAlign w:val="center"/>
            <w:shd w:fill="FFF4D6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P1-1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权限治理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RBAC 与账号分权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为阿里云、服务器、业务系统设计子账号、角色与最小权限策略。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完成账号创建、授权审批与落地。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RBAC 设计稿、账号矩阵、实施说明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差距 T009/T010/T011</w:t>
            </w:r>
          </w:p>
        </w:tc>
      </w:tr>
      <w:tr>
        <w:tc>
          <w:tcPr>
            <w:tcW w:type="dxa" w:w="1377"/>
            <w:vAlign w:val="center"/>
            <w:shd w:fill="FFF4D6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P1-2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审计合规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审计日志与日志备份闭环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为业务系统补齐审计字段、日志落盘、备份与可视化查询能力。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确定日志保留周期与存储预算。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日志模块补丁、检索脚本、留存策略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差距 T012/T013/T014</w:t>
            </w:r>
          </w:p>
        </w:tc>
      </w:tr>
      <w:tr>
        <w:tc>
          <w:tcPr>
            <w:tcW w:type="dxa" w:w="1377"/>
            <w:vAlign w:val="center"/>
            <w:shd w:fill="FFF4D6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P1-3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灾备恢复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数据备份、异地备份与恢复演练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把备份任务、恢复测试、异地副本要求转成自动化脚本与检查表。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提供备份介质、执行恢复演练。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备份脚本、恢复手册、演练记录模板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差距 T019/T020</w:t>
            </w:r>
          </w:p>
        </w:tc>
      </w:tr>
      <w:tr>
        <w:tc>
          <w:tcPr>
            <w:tcW w:type="dxa" w:w="1377"/>
            <w:vAlign w:val="center"/>
            <w:shd w:fill="FFF4D6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P1-4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客户端交付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小程序构建加固与代码混淆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梳理生产构建参数，移除调试信息，接入混淆/加固流程与发布校验。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采购或启用第三方加固能力，执行发版。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构建脚本、发布检查清单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小程序 0165/0136/0166</w:t>
            </w:r>
          </w:p>
        </w:tc>
      </w:tr>
      <w:tr>
        <w:tc>
          <w:tcPr>
            <w:tcW w:type="dxa" w:w="1377"/>
            <w:vAlign w:val="center"/>
            <w:shd w:fill="FFF4D6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P1-5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安全编码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随机数/AES/密码重置相关整改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替换不安全随机数与密码学实现，检查 reset-password 相关代码路径。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确认密码学实现是否迁移到服务端。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代码补丁、单元测试、设计说明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小程序 0169/0174/0178</w:t>
            </w:r>
          </w:p>
        </w:tc>
      </w:tr>
      <w:tr>
        <w:tc>
          <w:tcPr>
            <w:tcW w:type="dxa" w:w="1377"/>
            <w:vAlign w:val="center"/>
            <w:shd w:fill="EAF4EA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P2-1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运维基线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终端接入限制与 Linux 基线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把登录来源限制、shell 历史、会话配置转成批量检查与加固脚本。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在实际主机上执行并回收结果。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基线脚本、检查报告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差距 T015/T021</w:t>
            </w:r>
          </w:p>
        </w:tc>
      </w:tr>
      <w:tr>
        <w:tc>
          <w:tcPr>
            <w:tcW w:type="dxa" w:w="1377"/>
            <w:vAlign w:val="center"/>
            <w:shd w:fill="EAF4EA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P2-2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边界防护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规则库/病毒库/主机防病毒更新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为规则更新、病毒库更新与主机防病毒部署生成 SOP 和检查脚本。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完成设备/软件更新与授权。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检查脚本、SOP、巡检表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差距 T003/T004/T016</w:t>
            </w:r>
          </w:p>
        </w:tc>
      </w:tr>
      <w:tr>
        <w:tc>
          <w:tcPr>
            <w:tcW w:type="dxa" w:w="1377"/>
            <w:vAlign w:val="center"/>
            <w:shd w:fill="EAF4EA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P2-3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可信能力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可信验证方案设计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输出可信根/可信验证的方案、改造边界、预算与采购清单。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推进设备选型、采购和实施。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方案文档、设备清单、实施计划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差距 T002/T005/T017</w:t>
            </w:r>
          </w:p>
        </w:tc>
      </w:tr>
      <w:tr>
        <w:tc>
          <w:tcPr>
            <w:tcW w:type="dxa" w:w="1377"/>
            <w:vAlign w:val="center"/>
            <w:shd w:fill="FFF4D6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P1-6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质量保障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自动化回归与复测证据包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把整改项转成测试、lint、类型检查、扫描与复测证据收集流程。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安排复测窗口并关闭问题单。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CI 流程、证据包模板、闭环报告</w:t>
            </w:r>
          </w:p>
        </w:tc>
        <w:tc>
          <w:tcPr>
            <w:tcW w:type="dxa" w:w="1377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7"/>
              </w:rPr>
              <w:t>全部</w:t>
            </w:r>
          </w:p>
        </w:tc>
      </w:tr>
    </w:tbl>
    <w:p>
      <w:pPr>
        <w:spacing w:after="80"/>
      </w:pPr>
    </w:p>
    <w:p>
      <w:pPr>
        <w:spacing w:before="280" w:after="120"/>
      </w:pPr>
      <w:r>
        <w:rPr>
          <w:rFonts w:ascii="Noto Sans CJK SC" w:hAnsi="Noto Sans CJK SC" w:eastAsia="Noto Sans CJK SC"/>
          <w:b/>
          <w:color w:val="1F4E79"/>
          <w:sz w:val="31"/>
        </w:rPr>
        <w:t>六、建议不要让 Codex 独立承担的事项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948"/>
            <w:vAlign w:val="center"/>
            <w:shd w:fill="D9EAF7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19"/>
              </w:rPr>
              <w:t>事项</w:t>
            </w:r>
          </w:p>
        </w:tc>
        <w:tc>
          <w:tcPr>
            <w:tcW w:type="dxa" w:w="6350"/>
            <w:vAlign w:val="center"/>
            <w:shd w:fill="D9EAF7" w:val="clea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19"/>
              </w:rPr>
              <w:t>原因</w:t>
            </w:r>
          </w:p>
        </w:tc>
      </w:tr>
      <w:tr>
        <w:tc>
          <w:tcPr>
            <w:tcW w:type="dxa" w:w="481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222222"/>
                <w:sz w:val="18"/>
              </w:rPr>
              <w:t>生产环境最终变更执行</w:t>
            </w:r>
          </w:p>
        </w:tc>
        <w:tc>
          <w:tcPr>
            <w:tcW w:type="dxa" w:w="481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涉及窗口、审批、回滚责任，不能让 Codex 独立完成</w:t>
            </w:r>
          </w:p>
        </w:tc>
      </w:tr>
      <w:tr>
        <w:tc>
          <w:tcPr>
            <w:tcW w:type="dxa" w:w="481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222222"/>
                <w:sz w:val="18"/>
              </w:rPr>
              <w:t>主账号/云控制台授权</w:t>
            </w:r>
          </w:p>
        </w:tc>
        <w:tc>
          <w:tcPr>
            <w:tcW w:type="dxa" w:w="481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涉及真实权限开通和责任划分，必须由授权人员操作</w:t>
            </w:r>
          </w:p>
        </w:tc>
      </w:tr>
      <w:tr>
        <w:tc>
          <w:tcPr>
            <w:tcW w:type="dxa" w:w="481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222222"/>
                <w:sz w:val="18"/>
              </w:rPr>
              <w:t>硬件可信根与设备采购</w:t>
            </w:r>
          </w:p>
        </w:tc>
        <w:tc>
          <w:tcPr>
            <w:tcW w:type="dxa" w:w="481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Codex 能辅助写方案，但不能替代选型、采购、上架</w:t>
            </w:r>
          </w:p>
        </w:tc>
      </w:tr>
      <w:tr>
        <w:tc>
          <w:tcPr>
            <w:tcW w:type="dxa" w:w="481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222222"/>
                <w:sz w:val="18"/>
              </w:rPr>
              <w:t>第三方加固服务或供应商协调</w:t>
            </w:r>
          </w:p>
        </w:tc>
        <w:tc>
          <w:tcPr>
            <w:tcW w:type="dxa" w:w="481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Codex 可准备材料，商务与交付协同仍需人工</w:t>
            </w:r>
          </w:p>
        </w:tc>
      </w:tr>
      <w:tr>
        <w:tc>
          <w:tcPr>
            <w:tcW w:type="dxa" w:w="481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/>
                <w:color w:val="222222"/>
                <w:sz w:val="18"/>
              </w:rPr>
              <w:t>最终复测签字与风险接受</w:t>
            </w:r>
          </w:p>
        </w:tc>
        <w:tc>
          <w:tcPr>
            <w:tcW w:type="dxa" w:w="4819"/>
            <w:vAlign w:val="center"/>
          </w:tcPr>
          <w:p>
            <w:pPr>
              <w:spacing w:before="0" w:after="40" w:line="276" w:lineRule="auto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222222"/>
                <w:sz w:val="18"/>
              </w:rPr>
              <w:t>需要业务、运维、安全负责人共同确认</w:t>
            </w:r>
          </w:p>
        </w:tc>
      </w:tr>
    </w:tbl>
    <w:p>
      <w:pPr>
        <w:spacing w:after="80"/>
      </w:pPr>
    </w:p>
    <w:p>
      <w:pPr>
        <w:spacing w:before="280" w:after="120"/>
      </w:pPr>
      <w:r>
        <w:rPr>
          <w:rFonts w:ascii="Noto Sans CJK SC" w:hAnsi="Noto Sans CJK SC" w:eastAsia="Noto Sans CJK SC"/>
          <w:b/>
          <w:color w:val="1F4E79"/>
          <w:sz w:val="31"/>
        </w:rPr>
        <w:t>七、推荐组织方式与里程碑</w:t>
      </w:r>
    </w:p>
    <w:p>
      <w:pPr>
        <w:spacing w:before="0" w:after="120" w:line="300" w:lineRule="auto"/>
        <w:jc w:val="left"/>
      </w:pPr>
      <w:r>
        <w:rPr>
          <w:rFonts w:ascii="Noto Sans CJK SC" w:hAnsi="Noto Sans CJK SC" w:eastAsia="Noto Sans CJK SC"/>
          <w:b w:val="0"/>
          <w:color w:val="222222"/>
          <w:sz w:val="20"/>
        </w:rPr>
        <w:t>建议采用“1 名技术负责人 + 1 名安全负责人 + 1 名运维负责人 + 多个 Codex 并行任务流”的方式推进。管理上不要把 Codex 当成单一聊天工具，而应当把它当成工程执行加速器。</w:t>
      </w:r>
    </w:p>
    <w:p>
      <w:pPr>
        <w:pStyle w:val="ListNumber"/>
        <w:spacing w:before="0" w:after="60" w:line="276" w:lineRule="auto"/>
        <w:ind w:left="0"/>
      </w:pPr>
      <w:r>
        <w:rPr>
          <w:rFonts w:ascii="Noto Sans CJK SC" w:hAnsi="Noto Sans CJK SC" w:eastAsia="Noto Sans CJK SC"/>
          <w:b w:val="0"/>
          <w:color w:val="222222"/>
          <w:sz w:val="20"/>
        </w:rPr>
        <w:t>第 0 周：补齐输入材料。把前端仓库、后端仓库、网关配置、数据库参数、CI 脚本、主机清单准备完整。</w:t>
      </w:r>
    </w:p>
    <w:p>
      <w:pPr>
        <w:pStyle w:val="ListNumber"/>
        <w:spacing w:before="0" w:after="60" w:line="276" w:lineRule="auto"/>
        <w:ind w:left="0"/>
      </w:pPr>
      <w:r>
        <w:rPr>
          <w:rFonts w:ascii="Noto Sans CJK SC" w:hAnsi="Noto Sans CJK SC" w:eastAsia="Noto Sans CJK SC"/>
          <w:b w:val="0"/>
          <w:color w:val="222222"/>
          <w:sz w:val="20"/>
        </w:rPr>
        <w:t>第 1 周：完成 P0 类代码与配置整改，至少形成可评审 PR、验证脚本和回归结果。</w:t>
      </w:r>
    </w:p>
    <w:p>
      <w:pPr>
        <w:pStyle w:val="ListNumber"/>
        <w:spacing w:before="0" w:after="60" w:line="276" w:lineRule="auto"/>
        <w:ind w:left="0"/>
      </w:pPr>
      <w:r>
        <w:rPr>
          <w:rFonts w:ascii="Noto Sans CJK SC" w:hAnsi="Noto Sans CJK SC" w:eastAsia="Noto Sans CJK SC"/>
          <w:b w:val="0"/>
          <w:color w:val="222222"/>
          <w:sz w:val="20"/>
        </w:rPr>
        <w:t>第 2 周：并行完成 P1 类 RBAC、审计日志、备份与构建加固。</w:t>
      </w:r>
    </w:p>
    <w:p>
      <w:pPr>
        <w:pStyle w:val="ListNumber"/>
        <w:spacing w:before="0" w:after="60" w:line="276" w:lineRule="auto"/>
        <w:ind w:left="0"/>
      </w:pPr>
      <w:r>
        <w:rPr>
          <w:rFonts w:ascii="Noto Sans CJK SC" w:hAnsi="Noto Sans CJK SC" w:eastAsia="Noto Sans CJK SC"/>
          <w:b w:val="0"/>
          <w:color w:val="222222"/>
          <w:sz w:val="20"/>
        </w:rPr>
        <w:t>第 3 周：完成 P2 类运维基线、可信验证方案和设备/规则更新事项。</w:t>
      </w:r>
    </w:p>
    <w:p>
      <w:pPr>
        <w:pStyle w:val="ListNumber"/>
        <w:spacing w:before="0" w:after="60" w:line="276" w:lineRule="auto"/>
        <w:ind w:left="0"/>
      </w:pPr>
      <w:r>
        <w:rPr>
          <w:rFonts w:ascii="Noto Sans CJK SC" w:hAnsi="Noto Sans CJK SC" w:eastAsia="Noto Sans CJK SC"/>
          <w:b w:val="0"/>
          <w:color w:val="222222"/>
          <w:sz w:val="20"/>
        </w:rPr>
        <w:t>第 4 周：汇总证据包、组织复测、关闭问题单。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fill="D9EAF7" w:val="clear"/>
            <w:tcBorders>
              <w:left w:val="single" w:sz="6" w:color="D0D7DE"/>
              <w:top w:val="single" w:sz="6" w:color="D0D7DE"/>
              <w:right w:val="single" w:sz="6" w:color="D0D7DE"/>
              <w:bottom w:val="single" w:sz="6" w:color="D0D7DE"/>
            </w:tcBorders>
          </w:tcPr>
          <w:p>
            <w:pPr>
              <w:spacing w:before="40" w:after="40"/>
            </w:pPr>
            <w:r/>
            <w:r>
              <w:rPr>
                <w:rFonts w:ascii="Noto Sans CJK SC" w:hAnsi="Noto Sans CJK SC" w:eastAsia="Noto Sans CJK SC"/>
                <w:b/>
                <w:color w:val="1F4E79"/>
                <w:sz w:val="21"/>
              </w:rPr>
              <w:t>排期建议</w:t>
            </w:r>
          </w:p>
          <w:p>
            <w:pPr>
              <w:spacing w:before="0" w:after="0" w:line="276" w:lineRule="auto"/>
            </w:pPr>
            <w:r>
              <w:rPr>
                <w:rFonts w:ascii="Noto Sans CJK SC" w:hAnsi="Noto Sans CJK SC" w:eastAsia="Noto Sans CJK SC"/>
                <w:b w:val="0"/>
                <w:color w:val="222222"/>
                <w:sz w:val="20"/>
              </w:rPr>
              <w:t>先让 Codex 清理“代码和配置里的明显问题”，再让人工推进“云平台、主机、设备和权限”的真实变更。这样做，项目会快很多，也更安全。</w:t>
            </w:r>
          </w:p>
        </w:tc>
      </w:tr>
    </w:tbl>
    <w:p>
      <w:pPr>
        <w:spacing w:after="40"/>
      </w:pPr>
    </w:p>
    <w:p>
      <w:pPr>
        <w:spacing w:before="280" w:after="120"/>
      </w:pPr>
      <w:r>
        <w:rPr>
          <w:rFonts w:ascii="Noto Sans CJK SC" w:hAnsi="Noto Sans CJK SC" w:eastAsia="Noto Sans CJK SC"/>
          <w:b/>
          <w:color w:val="1F4E79"/>
          <w:sz w:val="31"/>
        </w:rPr>
        <w:t>附录：参考资料</w:t>
      </w:r>
    </w:p>
    <w:p>
      <w:pPr>
        <w:spacing w:before="0" w:after="120" w:line="300" w:lineRule="auto"/>
        <w:jc w:val="left"/>
      </w:pPr>
      <w:r>
        <w:rPr>
          <w:rFonts w:ascii="Noto Sans CJK SC" w:hAnsi="Noto Sans CJK SC" w:eastAsia="Noto Sans CJK SC"/>
          <w:b w:val="0"/>
          <w:color w:val="222222"/>
          <w:sz w:val="20"/>
        </w:rPr>
        <w:t>以下链接用于界定 Codex 的能力边界、协作方式与安全使用基线：</w:t>
      </w:r>
    </w:p>
    <w:p>
      <w:pPr>
        <w:pStyle w:val="ListBullet"/>
        <w:spacing w:before="0" w:after="40" w:line="264" w:lineRule="auto"/>
      </w:pPr>
      <w:r>
        <w:rPr>
          <w:rFonts w:ascii="Noto Sans CJK SC" w:hAnsi="Noto Sans CJK SC" w:eastAsia="Noto Sans CJK SC"/>
          <w:b/>
          <w:color w:val="222222"/>
          <w:sz w:val="19"/>
        </w:rPr>
        <w:t>OpenAI Developers — Codex 概览：</w:t>
      </w:r>
      <w:r>
        <w:rPr>
          <w:rFonts w:ascii="Noto Sans CJK SC" w:hAnsi="Noto Sans CJK SC" w:eastAsia="Noto Sans CJK SC"/>
          <w:b w:val="0"/>
          <w:color w:val="1F4E79"/>
          <w:sz w:val="18"/>
        </w:rPr>
        <w:t>https://developers.openai.com/codex</w:t>
      </w:r>
    </w:p>
    <w:p>
      <w:pPr>
        <w:pStyle w:val="ListBullet"/>
        <w:spacing w:before="0" w:after="40" w:line="264" w:lineRule="auto"/>
      </w:pPr>
      <w:r>
        <w:rPr>
          <w:rFonts w:ascii="Noto Sans CJK SC" w:hAnsi="Noto Sans CJK SC" w:eastAsia="Noto Sans CJK SC"/>
          <w:b/>
          <w:color w:val="222222"/>
          <w:sz w:val="19"/>
        </w:rPr>
        <w:t>OpenAI — Introducing Codex：</w:t>
      </w:r>
      <w:r>
        <w:rPr>
          <w:rFonts w:ascii="Noto Sans CJK SC" w:hAnsi="Noto Sans CJK SC" w:eastAsia="Noto Sans CJK SC"/>
          <w:b w:val="0"/>
          <w:color w:val="1F4E79"/>
          <w:sz w:val="18"/>
        </w:rPr>
        <w:t>https://openai.com/index/introducing-codex/</w:t>
      </w:r>
    </w:p>
    <w:p>
      <w:pPr>
        <w:pStyle w:val="ListBullet"/>
        <w:spacing w:before="0" w:after="40" w:line="264" w:lineRule="auto"/>
      </w:pPr>
      <w:r>
        <w:rPr>
          <w:rFonts w:ascii="Noto Sans CJK SC" w:hAnsi="Noto Sans CJK SC" w:eastAsia="Noto Sans CJK SC"/>
          <w:b/>
          <w:color w:val="222222"/>
          <w:sz w:val="19"/>
        </w:rPr>
        <w:t>OpenAI Developers — Run long horizon tasks with Codex：</w:t>
      </w:r>
      <w:r>
        <w:rPr>
          <w:rFonts w:ascii="Noto Sans CJK SC" w:hAnsi="Noto Sans CJK SC" w:eastAsia="Noto Sans CJK SC"/>
          <w:b w:val="0"/>
          <w:color w:val="1F4E79"/>
          <w:sz w:val="18"/>
        </w:rPr>
        <w:t>https://developers.openai.com/blog/run-long-horizon-tasks-with-codex</w:t>
      </w:r>
    </w:p>
    <w:p>
      <w:pPr>
        <w:pStyle w:val="ListBullet"/>
        <w:spacing w:before="0" w:after="40" w:line="264" w:lineRule="auto"/>
      </w:pPr>
      <w:r>
        <w:rPr>
          <w:rFonts w:ascii="Noto Sans CJK SC" w:hAnsi="Noto Sans CJK SC" w:eastAsia="Noto Sans CJK SC"/>
          <w:b/>
          <w:color w:val="222222"/>
          <w:sz w:val="19"/>
        </w:rPr>
        <w:t>OpenAI Developers — Codex CLI：</w:t>
      </w:r>
      <w:r>
        <w:rPr>
          <w:rFonts w:ascii="Noto Sans CJK SC" w:hAnsi="Noto Sans CJK SC" w:eastAsia="Noto Sans CJK SC"/>
          <w:b w:val="0"/>
          <w:color w:val="1F4E79"/>
          <w:sz w:val="18"/>
        </w:rPr>
        <w:t>https://developers.openai.com/codex/cli</w:t>
      </w:r>
    </w:p>
    <w:p>
      <w:pPr>
        <w:pStyle w:val="ListBullet"/>
        <w:spacing w:before="0" w:after="40" w:line="264" w:lineRule="auto"/>
      </w:pPr>
      <w:r>
        <w:rPr>
          <w:rFonts w:ascii="Noto Sans CJK SC" w:hAnsi="Noto Sans CJK SC" w:eastAsia="Noto Sans CJK SC"/>
          <w:b/>
          <w:color w:val="222222"/>
          <w:sz w:val="19"/>
        </w:rPr>
        <w:t>OpenAI — Introducing the Codex app：</w:t>
      </w:r>
      <w:r>
        <w:rPr>
          <w:rFonts w:ascii="Noto Sans CJK SC" w:hAnsi="Noto Sans CJK SC" w:eastAsia="Noto Sans CJK SC"/>
          <w:b w:val="0"/>
          <w:color w:val="1F4E79"/>
          <w:sz w:val="18"/>
        </w:rPr>
        <w:t>https://openai.com/index/introducing-the-codex-app/</w:t>
      </w:r>
    </w:p>
    <w:p>
      <w:pPr>
        <w:pStyle w:val="ListBullet"/>
        <w:spacing w:before="0" w:after="40" w:line="264" w:lineRule="auto"/>
      </w:pPr>
      <w:r>
        <w:rPr>
          <w:rFonts w:ascii="Noto Sans CJK SC" w:hAnsi="Noto Sans CJK SC" w:eastAsia="Noto Sans CJK SC"/>
          <w:b/>
          <w:color w:val="222222"/>
          <w:sz w:val="19"/>
        </w:rPr>
        <w:t>OpenAI Developers — Agent approvals &amp; security：</w:t>
      </w:r>
      <w:r>
        <w:rPr>
          <w:rFonts w:ascii="Noto Sans CJK SC" w:hAnsi="Noto Sans CJK SC" w:eastAsia="Noto Sans CJK SC"/>
          <w:b w:val="0"/>
          <w:color w:val="1F4E79"/>
          <w:sz w:val="18"/>
        </w:rPr>
        <w:t>https://developers.openai.com/codex/agent-approvals-security</w:t>
      </w:r>
    </w:p>
    <w:p>
      <w:pPr>
        <w:pStyle w:val="ListBullet"/>
        <w:spacing w:before="0" w:after="40" w:line="264" w:lineRule="auto"/>
      </w:pPr>
      <w:r>
        <w:rPr>
          <w:rFonts w:ascii="Noto Sans CJK SC" w:hAnsi="Noto Sans CJK SC" w:eastAsia="Noto Sans CJK SC"/>
          <w:b/>
          <w:color w:val="222222"/>
          <w:sz w:val="19"/>
        </w:rPr>
        <w:t>OpenAI Developers — Agent internet access：</w:t>
      </w:r>
      <w:r>
        <w:rPr>
          <w:rFonts w:ascii="Noto Sans CJK SC" w:hAnsi="Noto Sans CJK SC" w:eastAsia="Noto Sans CJK SC"/>
          <w:b w:val="0"/>
          <w:color w:val="1F4E79"/>
          <w:sz w:val="18"/>
        </w:rPr>
        <w:t>https://developers.openai.com/codex/cloud/internet-access</w:t>
      </w:r>
    </w:p>
    <w:p>
      <w:pPr>
        <w:pStyle w:val="ListBullet"/>
        <w:spacing w:before="0" w:after="40" w:line="264" w:lineRule="auto"/>
      </w:pPr>
      <w:r>
        <w:rPr>
          <w:rFonts w:ascii="Noto Sans CJK SC" w:hAnsi="Noto Sans CJK SC" w:eastAsia="Noto Sans CJK SC"/>
          <w:b/>
          <w:color w:val="222222"/>
          <w:sz w:val="19"/>
        </w:rPr>
        <w:t>OpenAI Developers — Best practices：</w:t>
      </w:r>
      <w:r>
        <w:rPr>
          <w:rFonts w:ascii="Noto Sans CJK SC" w:hAnsi="Noto Sans CJK SC" w:eastAsia="Noto Sans CJK SC"/>
          <w:b w:val="0"/>
          <w:color w:val="1F4E79"/>
          <w:sz w:val="18"/>
        </w:rPr>
        <w:t>https://developers.openai.com/codex/learn/best-practices</w:t>
      </w:r>
    </w:p>
    <w:p>
      <w:pPr>
        <w:spacing w:after="80"/>
      </w:pPr>
    </w:p>
    <w:sectPr w:rsidR="00FC693F" w:rsidRPr="0006063C" w:rsidSect="00034616">
      <w:headerReference w:type="default" r:id="rId9"/>
      <w:footerReference w:type="default" r:id="rId10"/>
      <w:pgSz w:w="11906" w:h="16838"/>
      <w:pgMar w:top="1134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/>
      <w:jc w:val="center"/>
    </w:pPr>
    <w:r>
      <w:rPr>
        <w:rFonts w:ascii="Noto Sans CJK SC" w:hAnsi="Noto Sans CJK SC" w:eastAsia="Noto Sans CJK SC"/>
        <w:b w:val="0"/>
        <w:color w:val="606060"/>
        <w:sz w:val="17"/>
      </w:rPr>
      <w:t xml:space="preserve">第 </w:t>
    </w:r>
    <w:fldSimple w:instr="PAGE">
      <w:r>
        <w:t>1</w:t>
      </w:r>
    </w:fldSimple>
    <w:r>
      <w:rPr>
        <w:rFonts w:ascii="Noto Sans CJK SC" w:hAnsi="Noto Sans CJK SC" w:eastAsia="Noto Sans CJK SC"/>
        <w:b w:val="0"/>
        <w:color w:val="606060"/>
        <w:sz w:val="17"/>
      </w:rPr>
      <w:t xml:space="preserve"> 页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>
      <w:rPr>
        <w:rFonts w:ascii="Noto Sans CJK SC" w:hAnsi="Noto Sans CJK SC" w:eastAsia="Noto Sans CJK SC"/>
        <w:b w:val="0"/>
        <w:color w:val="606060"/>
        <w:sz w:val="17"/>
      </w:rPr>
      <w:t>智慧食堂项目｜Codex 可承担事项总览（管理版）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