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400" w:after="200"/>
        <w:jc w:val="center"/>
      </w:pPr>
      <w:r>
        <w:rPr>
          <w:rFonts w:ascii="Noto Sans CJK SC" w:hAnsi="Noto Sans CJK SC" w:eastAsia="Noto Sans CJK SC" w:cs="Noto Sans CJK SC"/>
          <w:b/>
          <w:color w:val="173860"/>
          <w:sz w:val="44"/>
        </w:rPr>
        <w:t>Codex 待办清单（整改执行版）</w:t>
      </w:r>
    </w:p>
    <w:p>
      <w:pPr>
        <w:spacing w:after="360"/>
        <w:jc w:val="center"/>
      </w:pPr>
      <w:r>
        <w:rPr>
          <w:rFonts w:ascii="Noto Sans CJK SC" w:hAnsi="Noto Sans CJK SC" w:eastAsia="Noto Sans CJK SC" w:cs="Noto Sans CJK SC"/>
          <w:b w:val="0"/>
          <w:color w:val="2F5496"/>
          <w:sz w:val="22"/>
        </w:rPr>
        <w:t>基于首通慧城现有差距分析、微信小程序安全检测、渗透测试与漏洞扫描材料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184"/>
            <w:shd w:fill="EAF3FF"/>
            <w:tcMar>
              <w:top w:w="140" w:type="dxa"/>
              <w:start w:w="140" w:type="dxa"/>
              <w:bottom w:w="140" w:type="dxa"/>
              <w:end w:w="140" w:type="dxa"/>
            </w:tcMar>
          </w:tcPr>
          <w:p>
            <w:pPr>
              <w:spacing w:after="80" w:before="0" w:line="298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21"/>
              </w:rPr>
              <w:t>• 本次新上传的 zip 不是源码包，而是安全报告包；因此本版待办以“整改落地 backlog”为主，不是“文件/函数级修复清单”。</w:t>
            </w:r>
          </w:p>
          <w:p>
            <w:pPr>
              <w:spacing w:after="80" w:before="0" w:line="298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21"/>
              </w:rPr>
              <w:t>• 当前问题结构很明确：管理后台存在 2 个高危垂直越权，微信小程序存在 23 个风险项（其中 4 个高危），差距分析表还有 47 项未整改项。</w:t>
            </w:r>
          </w:p>
          <w:p>
            <w:pPr>
              <w:spacing w:after="80" w:before="0" w:line="298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21"/>
              </w:rPr>
              <w:t>• 执行策略必须三线并行：权限与鉴权整改、客户端与接口暴露面收敛、基础设施与管理控制补齐。</w:t>
            </w:r>
          </w:p>
        </w:tc>
      </w:tr>
    </w:tbl>
    <w:p/>
    <w:p>
      <w:pPr>
        <w:jc w:val="center"/>
      </w:pPr>
      <w:r>
        <w:rPr>
          <w:rFonts w:ascii="Noto Sans CJK SC" w:hAnsi="Noto Sans CJK SC" w:eastAsia="Noto Sans CJK SC" w:cs="Noto Sans CJK SC"/>
          <w:b w:val="0"/>
          <w:color w:val="6E6E6E"/>
          <w:sz w:val="18"/>
        </w:rPr>
        <w:t>北京首通慧城科技有限公司  |  生成日期：2026-04-15</w:t>
      </w:r>
    </w:p>
    <w:p>
      <w:pPr>
        <w:sectPr>
          <w:footerReference w:type="default" r:id="rId9"/>
          <w:pgSz w:w="11906" w:h="16838"/>
          <w:pgMar w:top="1020" w:right="1020" w:bottom="1020" w:left="1020" w:header="720" w:footer="720" w:gutter="0"/>
          <w:cols w:space="720"/>
          <w:docGrid w:linePitch="360"/>
        </w:sectPr>
      </w:pPr>
    </w:p>
    <w:p>
      <w:pPr>
        <w:spacing w:before="80" w:after="160"/>
      </w:pPr>
      <w:r>
        <w:rPr>
          <w:rFonts w:ascii="Noto Sans CJK SC" w:hAnsi="Noto Sans CJK SC" w:eastAsia="Noto Sans CJK SC" w:cs="Noto Sans CJK SC"/>
          <w:b/>
          <w:color w:val="173860"/>
          <w:sz w:val="30"/>
        </w:rPr>
        <w:t>一、输入材料与判断</w:t>
      </w:r>
    </w:p>
    <w:p>
      <w:pPr>
        <w:spacing w:after="100" w:before="0" w:line="307" w:lineRule="auto"/>
      </w:pPr>
      <w:r>
        <w:rPr>
          <w:rFonts w:ascii="Noto Sans CJK SC" w:hAnsi="Noto Sans CJK SC" w:eastAsia="Noto Sans CJK SC" w:cs="Noto Sans CJK SC"/>
          <w:b w:val="0"/>
          <w:sz w:val="20"/>
        </w:rPr>
        <w:t>已综合差距分析表、微信小程序安全检测报告，以及 zip 中的《渗透测试报告》《漏洞扫描报告》与漏扫包。最关键的新判断是：当前 zip 为安全评估材料，而非源码，因此现阶段最有价值的输出是“可直接排期、可分配责任人、可验证关闭”的整改待办。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869"/>
        <w:gridCol w:w="3869"/>
        <w:gridCol w:w="3869"/>
        <w:gridCol w:w="3869"/>
      </w:tblGrid>
      <w:tr>
        <w:tc>
          <w:tcPr>
            <w:tcW w:type="dxa" w:w="147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F4E78"/>
          </w:tcPr>
          <w:p>
            <w:pPr>
              <w:spacing w:after="0" w:before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材料</w:t>
            </w:r>
          </w:p>
        </w:tc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F4E78"/>
          </w:tcPr>
          <w:p>
            <w:pPr>
              <w:spacing w:after="0" w:before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核心结论</w:t>
            </w:r>
          </w:p>
        </w:tc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F4E78"/>
          </w:tcPr>
          <w:p>
            <w:pPr>
              <w:spacing w:after="0" w:before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当前状态</w:t>
            </w:r>
          </w:p>
        </w:tc>
        <w:tc>
          <w:tcPr>
            <w:tcW w:type="dxa" w:w="86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F4E78"/>
          </w:tcPr>
          <w:p>
            <w:pPr>
              <w:spacing w:after="0" w:before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对待办的影响</w:t>
            </w:r>
          </w:p>
        </w:tc>
      </w:tr>
      <w:tr>
        <w:tc>
          <w:tcPr>
            <w:tcW w:type="dxa" w:w="147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差距分析表</w:t>
            </w:r>
          </w:p>
        </w:tc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共 47 项，且均为未整改</w:t>
            </w:r>
          </w:p>
        </w:tc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高/中问题并存</w:t>
            </w:r>
          </w:p>
        </w:tc>
        <w:tc>
          <w:tcPr>
            <w:tcW w:type="dxa" w:w="86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要补齐账号策略、审计、备份、权限分离、数据库 SSL、运维控制等基础项</w:t>
            </w:r>
          </w:p>
        </w:tc>
      </w:tr>
      <w:tr>
        <w:tc>
          <w:tcPr>
            <w:tcW w:type="dxa" w:w="147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小程序安全检测</w:t>
            </w:r>
          </w:p>
        </w:tc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23 个风险项；4 高、8 中、11 低</w:t>
            </w:r>
          </w:p>
        </w:tc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客户端暴露面较大</w:t>
            </w:r>
          </w:p>
        </w:tc>
        <w:tc>
          <w:tcPr>
            <w:tcW w:type="dxa" w:w="86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要优先处理硬编码密钥、越权、接口暴露、危险 HTTP 方法、日志/源码暴露</w:t>
            </w:r>
          </w:p>
        </w:tc>
      </w:tr>
      <w:tr>
        <w:tc>
          <w:tcPr>
            <w:tcW w:type="dxa" w:w="147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渗透测试 + 漏扫</w:t>
            </w:r>
          </w:p>
        </w:tc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管理后台有 2 个高危垂直越权；Web 与服务器存在若干中低风险暴露项</w:t>
            </w:r>
          </w:p>
        </w:tc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存在立即可利用问题</w:t>
            </w:r>
          </w:p>
        </w:tc>
        <w:tc>
          <w:tcPr>
            <w:tcW w:type="dxa" w:w="861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先堵越权，再收口头部、目录、错误页、敏感信息与服务器暴露面</w:t>
            </w:r>
          </w:p>
        </w:tc>
      </w:tr>
    </w:tbl>
    <w:p/>
    <w:p>
      <w:pPr>
        <w:spacing w:before="80" w:after="160"/>
      </w:pPr>
      <w:r>
        <w:rPr>
          <w:rFonts w:ascii="Noto Sans CJK SC" w:hAnsi="Noto Sans CJK SC" w:eastAsia="Noto Sans CJK SC" w:cs="Noto Sans CJK SC"/>
          <w:b/>
          <w:color w:val="173860"/>
          <w:sz w:val="30"/>
        </w:rPr>
        <w:t>二、优先级总览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869"/>
        <w:gridCol w:w="3869"/>
        <w:gridCol w:w="3869"/>
        <w:gridCol w:w="3869"/>
      </w:tblGrid>
      <w:tr>
        <w:tc>
          <w:tcPr>
            <w:tcW w:type="dxa" w:w="113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F4E78"/>
          </w:tcPr>
          <w:p>
            <w:pPr>
              <w:spacing w:after="0" w:before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级别</w:t>
            </w:r>
          </w:p>
        </w:tc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F4E78"/>
          </w:tcPr>
          <w:p>
            <w:pPr>
              <w:spacing w:after="0" w:before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时间窗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F4E78"/>
          </w:tcPr>
          <w:p>
            <w:pPr>
              <w:spacing w:after="0" w:before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目标</w:t>
            </w:r>
          </w:p>
        </w:tc>
        <w:tc>
          <w:tcPr>
            <w:tcW w:type="dxa" w:w="612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F4E78"/>
          </w:tcPr>
          <w:p>
            <w:pPr>
              <w:spacing w:after="0" w:before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本阶段重点输出</w:t>
            </w:r>
          </w:p>
        </w:tc>
      </w:tr>
      <w:tr>
        <w:tc>
          <w:tcPr>
            <w:tcW w:type="dxa" w:w="113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CCCC"/>
          </w:tcPr>
          <w:p>
            <w:pPr>
              <w:spacing w:after="0" w:before="0" w:line="240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sz w:val="20"/>
              </w:rPr>
              <w:t>P0</w:t>
            </w:r>
          </w:p>
        </w:tc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72 小时内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先堵住可直接被利用的洞</w:t>
            </w:r>
          </w:p>
        </w:tc>
        <w:tc>
          <w:tcPr>
            <w:tcW w:type="dxa" w:w="612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权限校验、硬编码密钥下线与轮换、危险 HTTP 方法关闭、敏感信息/错误信息收敛、安全响应头补齐</w:t>
            </w:r>
          </w:p>
        </w:tc>
      </w:tr>
      <w:tr>
        <w:tc>
          <w:tcPr>
            <w:tcW w:type="dxa" w:w="113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FF2CC"/>
          </w:tcPr>
          <w:p>
            <w:pPr>
              <w:spacing w:after="0" w:before="0" w:line="240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sz w:val="20"/>
              </w:rPr>
              <w:t>P1</w:t>
            </w:r>
          </w:p>
        </w:tc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2 周内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把系统从“能被打穿”改成“有基本防线”</w:t>
            </w:r>
          </w:p>
        </w:tc>
        <w:tc>
          <w:tcPr>
            <w:tcW w:type="dxa" w:w="612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账号口令策略、登录失败锁定与超时、审计日志、备份与恢复验证、依赖升级、小程序加固</w:t>
            </w:r>
          </w:p>
        </w:tc>
      </w:tr>
      <w:tr>
        <w:tc>
          <w:tcPr>
            <w:tcW w:type="dxa" w:w="113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D9EAD3"/>
          </w:tcPr>
          <w:p>
            <w:pPr>
              <w:spacing w:after="0" w:before="0" w:line="240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sz w:val="20"/>
              </w:rPr>
              <w:t>P2</w:t>
            </w:r>
          </w:p>
        </w:tc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1 个月内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补齐等保与运维治理短板</w:t>
            </w:r>
          </w:p>
        </w:tc>
        <w:tc>
          <w:tcPr>
            <w:tcW w:type="dxa" w:w="612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IAM 分权、管理终端 IP 白名单、证书与 TLS 清理、WAF/病毒库更新流程、可信验证路线</w:t>
            </w:r>
          </w:p>
        </w:tc>
      </w:tr>
    </w:tbl>
    <w:p/>
    <w:p>
      <w:pPr>
        <w:spacing w:before="80" w:after="160"/>
      </w:pPr>
      <w:r>
        <w:rPr>
          <w:rFonts w:ascii="Noto Sans CJK SC" w:hAnsi="Noto Sans CJK SC" w:eastAsia="Noto Sans CJK SC" w:cs="Noto Sans CJK SC"/>
          <w:b/>
          <w:color w:val="173860"/>
          <w:sz w:val="30"/>
        </w:rPr>
        <w:t>三、Codex 直接执行 TODO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096"/>
        <w:gridCol w:w="3096"/>
        <w:gridCol w:w="3096"/>
        <w:gridCol w:w="3096"/>
        <w:gridCol w:w="3096"/>
      </w:tblGrid>
      <w:tr>
        <w:tc>
          <w:tcPr>
            <w:tcW w:type="dxa" w:w="7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F4E78"/>
          </w:tcPr>
          <w:p>
            <w:pPr>
              <w:spacing w:after="0" w:before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  <w:t>ID</w:t>
            </w:r>
          </w:p>
        </w:tc>
        <w:tc>
          <w:tcPr>
            <w:tcW w:type="dxa" w:w="243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F4E78"/>
          </w:tcPr>
          <w:p>
            <w:pPr>
              <w:spacing w:after="0" w:before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  <w:t>待办事项</w:t>
            </w:r>
          </w:p>
        </w:tc>
        <w:tc>
          <w:tcPr>
            <w:tcW w:type="dxa" w:w="49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F4E78"/>
          </w:tcPr>
          <w:p>
            <w:pPr>
              <w:spacing w:after="0" w:before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  <w:t>Codex 先做什么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F4E78"/>
          </w:tcPr>
          <w:p>
            <w:pPr>
              <w:spacing w:after="0" w:before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  <w:t>主要交付物</w:t>
            </w:r>
          </w:p>
        </w:tc>
        <w:tc>
          <w:tcPr>
            <w:tcW w:type="dxa" w:w="391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F4E78"/>
          </w:tcPr>
          <w:p>
            <w:pPr>
              <w:spacing w:after="0" w:before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  <w:t>验收标准</w:t>
            </w:r>
          </w:p>
        </w:tc>
      </w:tr>
      <w:tr>
        <w:tc>
          <w:tcPr>
            <w:tcW w:type="dxa" w:w="7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D9EAD3"/>
          </w:tcPr>
          <w:p>
            <w:pPr>
              <w:spacing w:after="0" w:before="0" w:line="240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sz w:val="18"/>
              </w:rPr>
              <w:t>C01</w:t>
            </w:r>
          </w:p>
        </w:tc>
        <w:tc>
          <w:tcPr>
            <w:tcW w:type="dxa" w:w="243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修复后台垂直越权与 IDOR</w:t>
            </w:r>
          </w:p>
        </w:tc>
        <w:tc>
          <w:tcPr>
            <w:tcW w:type="dxa" w:w="49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针对 /dist/#/reportManagement/personnel 与 /dist/#/integratedManagement/identity，补齐服务端权限校验；同时对后台所有菜单、路由、接口做一轮越权审计。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统一 RBAC 权限中间件、接口鉴权拦截器、权限矩阵清单、回归测试用例</w:t>
            </w:r>
          </w:p>
        </w:tc>
        <w:tc>
          <w:tcPr>
            <w:tcW w:type="dxa" w:w="391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低权限账号访问上述页面和对应接口时全部返回未授权；新增身份等写操作无法越权生效</w:t>
            </w:r>
          </w:p>
        </w:tc>
      </w:tr>
      <w:tr>
        <w:tc>
          <w:tcPr>
            <w:tcW w:type="dxa" w:w="7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D9EAD3"/>
          </w:tcPr>
          <w:p>
            <w:pPr>
              <w:spacing w:after="0" w:before="0" w:line="240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sz w:val="18"/>
              </w:rPr>
              <w:t>C02</w:t>
            </w:r>
          </w:p>
        </w:tc>
        <w:tc>
          <w:tcPr>
            <w:tcW w:type="dxa" w:w="243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下线客户端硬编码密钥与敏感常量</w:t>
            </w:r>
          </w:p>
        </w:tc>
        <w:tc>
          <w:tcPr>
            <w:tcW w:type="dxa" w:w="49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清理小程序中暴露的 WEB_API_SECRET、enterpriseNo、环境标识、测试域名等；把签名、鉴权、密钥逻辑移回服务端，并同步执行密钥轮换。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密钥检索清单、配置抽离改造、密钥轮换说明、回滚方案</w:t>
            </w:r>
          </w:p>
        </w:tc>
        <w:tc>
          <w:tcPr>
            <w:tcW w:type="dxa" w:w="391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客户端包内不再出现真实密钥；旧密钥失效；服务端签名校验仍正常</w:t>
            </w:r>
          </w:p>
        </w:tc>
      </w:tr>
      <w:tr>
        <w:tc>
          <w:tcPr>
            <w:tcW w:type="dxa" w:w="7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D9EAD3"/>
          </w:tcPr>
          <w:p>
            <w:pPr>
              <w:spacing w:after="0" w:before="0" w:line="240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sz w:val="18"/>
              </w:rPr>
              <w:t>C03</w:t>
            </w:r>
          </w:p>
        </w:tc>
        <w:tc>
          <w:tcPr>
            <w:tcW w:type="dxa" w:w="243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收敛源码暴露面</w:t>
            </w:r>
          </w:p>
        </w:tc>
        <w:tc>
          <w:tcPr>
            <w:tcW w:type="dxa" w:w="49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关闭 sourceMap、删除调试注释、移除调试日志和无业务意义的文档链接/邮箱/示例图片链接；整理并清理明文字符串、注释中的敏感信息。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构建配置修改、日志封装、清理脚本、敏感信息扫描规则</w:t>
            </w:r>
          </w:p>
        </w:tc>
        <w:tc>
          <w:tcPr>
            <w:tcW w:type="dxa" w:w="391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发布包不含 sourceMappingURL、敏感注释、调试日志、示例依赖和无关外链</w:t>
            </w:r>
          </w:p>
        </w:tc>
      </w:tr>
      <w:tr>
        <w:tc>
          <w:tcPr>
            <w:tcW w:type="dxa" w:w="7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D9EAD3"/>
          </w:tcPr>
          <w:p>
            <w:pPr>
              <w:spacing w:after="0" w:before="0" w:line="240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sz w:val="18"/>
              </w:rPr>
              <w:t>C04</w:t>
            </w:r>
          </w:p>
        </w:tc>
        <w:tc>
          <w:tcPr>
            <w:tcW w:type="dxa" w:w="243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关闭危险 HTTP 方法与默认暴露目录</w:t>
            </w:r>
          </w:p>
        </w:tc>
        <w:tc>
          <w:tcPr>
            <w:tcW w:type="dxa" w:w="49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针对 PUT / MOVE / COPY、.htaccess / .htpasswd、elmah.axd / errorlog.axd、默认目录等暴露项，产出并落地 Nginx / Apache / WAF 配置。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Web 服务器配置补丁、发布说明、验证脚本</w:t>
            </w:r>
          </w:p>
        </w:tc>
        <w:tc>
          <w:tcPr>
            <w:tcW w:type="dxa" w:w="391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危险方法返回 405 或 403；默认目录与日志端点不可直接访问</w:t>
            </w:r>
          </w:p>
        </w:tc>
      </w:tr>
      <w:tr>
        <w:tc>
          <w:tcPr>
            <w:tcW w:type="dxa" w:w="7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D9EAD3"/>
          </w:tcPr>
          <w:p>
            <w:pPr>
              <w:spacing w:after="0" w:before="0" w:line="240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sz w:val="18"/>
              </w:rPr>
              <w:t>C05</w:t>
            </w:r>
          </w:p>
        </w:tc>
        <w:tc>
          <w:tcPr>
            <w:tcW w:type="dxa" w:w="243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补齐安全响应头与点击劫持防护</w:t>
            </w:r>
          </w:p>
        </w:tc>
        <w:tc>
          <w:tcPr>
            <w:tcW w:type="dxa" w:w="49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为管理后台与 Web 端统一增加 HSTS、X-Frame-Options、Referrer-Policy、X-Download-Options、X-Permitted-Cross-Domain-Policies 等头。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网关或应用层中间件配置</w:t>
            </w:r>
          </w:p>
        </w:tc>
        <w:tc>
          <w:tcPr>
            <w:tcW w:type="dxa" w:w="391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响应头核验通过；页面功能无副作用；点击劫持扫描项消失</w:t>
            </w:r>
          </w:p>
        </w:tc>
      </w:tr>
      <w:tr>
        <w:tc>
          <w:tcPr>
            <w:tcW w:type="dxa" w:w="7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D9EAD3"/>
          </w:tcPr>
          <w:p>
            <w:pPr>
              <w:spacing w:after="0" w:before="0" w:line="240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sz w:val="18"/>
              </w:rPr>
              <w:t>C06</w:t>
            </w:r>
          </w:p>
        </w:tc>
        <w:tc>
          <w:tcPr>
            <w:tcW w:type="dxa" w:w="243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修复信息泄露与错误处理</w:t>
            </w:r>
          </w:p>
        </w:tc>
        <w:tc>
          <w:tcPr>
            <w:tcW w:type="dxa" w:w="49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隐藏数据库异常、收敛错误页、清理 Cookie 引用、对身份证号/手机号做脱敏显示；前后端统一错误码，不再把数据库或服务器细节暴露给客户端。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统一异常处理、脱敏函数、错误页模板、测试样例</w:t>
            </w:r>
          </w:p>
        </w:tc>
        <w:tc>
          <w:tcPr>
            <w:tcW w:type="dxa" w:w="391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扫描不再识别数据库报错信息，敏感字段默认脱敏，错误页不暴露技术栈</w:t>
            </w:r>
          </w:p>
        </w:tc>
      </w:tr>
      <w:tr>
        <w:tc>
          <w:tcPr>
            <w:tcW w:type="dxa" w:w="7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D9EAD3"/>
          </w:tcPr>
          <w:p>
            <w:pPr>
              <w:spacing w:after="0" w:before="0" w:line="240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sz w:val="18"/>
              </w:rPr>
              <w:t>C07</w:t>
            </w:r>
          </w:p>
        </w:tc>
        <w:tc>
          <w:tcPr>
            <w:tcW w:type="dxa" w:w="243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升级前端依赖与框架库</w:t>
            </w:r>
          </w:p>
        </w:tc>
        <w:tc>
          <w:tcPr>
            <w:tcW w:type="dxa" w:w="49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定位 Web 端存在漏洞的 JavaScript 框架库，统一升级到稳定版本，并处理兼容性。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依赖升级 PR、变更记录、冒烟测试清单</w:t>
            </w:r>
          </w:p>
        </w:tc>
        <w:tc>
          <w:tcPr>
            <w:tcW w:type="dxa" w:w="391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中风险框架库漏洞消失，关键页面功能回归通过</w:t>
            </w:r>
          </w:p>
        </w:tc>
      </w:tr>
      <w:tr>
        <w:tc>
          <w:tcPr>
            <w:tcW w:type="dxa" w:w="7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D9EAD3"/>
          </w:tcPr>
          <w:p>
            <w:pPr>
              <w:spacing w:after="0" w:before="0" w:line="240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sz w:val="18"/>
              </w:rPr>
              <w:t>C08</w:t>
            </w:r>
          </w:p>
        </w:tc>
        <w:tc>
          <w:tcPr>
            <w:tcW w:type="dxa" w:w="243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加固小程序构建与运行时</w:t>
            </w:r>
          </w:p>
        </w:tc>
        <w:tc>
          <w:tcPr>
            <w:tcW w:type="dxa" w:w="49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引入构建压缩 / 混淆、发布环境日志裁剪、敏感字符串保护、反调试/加固方案接入；同时替换不安全随机数实现。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构建脚本、加固接入方案、发布 checklist</w:t>
            </w:r>
          </w:p>
        </w:tc>
        <w:tc>
          <w:tcPr>
            <w:tcW w:type="dxa" w:w="391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发布包可读性显著下降；Math.random 不再承担安全用途；安全检测得分提升</w:t>
            </w:r>
          </w:p>
        </w:tc>
      </w:tr>
      <w:tr>
        <w:tc>
          <w:tcPr>
            <w:tcW w:type="dxa" w:w="7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D9EAD3"/>
          </w:tcPr>
          <w:p>
            <w:pPr>
              <w:spacing w:after="0" w:before="0" w:line="240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sz w:val="18"/>
              </w:rPr>
              <w:t>C09</w:t>
            </w:r>
          </w:p>
        </w:tc>
        <w:tc>
          <w:tcPr>
            <w:tcW w:type="dxa" w:w="243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建立账号与会话控制能力</w:t>
            </w:r>
          </w:p>
        </w:tc>
        <w:tc>
          <w:tcPr>
            <w:tcW w:type="dxa" w:w="49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在业务系统实现口令复杂度、口令有效期、登录失败锁定、会话超时、强制改密等能力，覆盖后台与需要认证的管理端。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认证模块改造、参数化配置、管理界面或配置项</w:t>
            </w:r>
          </w:p>
        </w:tc>
        <w:tc>
          <w:tcPr>
            <w:tcW w:type="dxa" w:w="391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满足复杂口令、失败次数限制、锁定时长、30 分钟超时等规则</w:t>
            </w:r>
          </w:p>
        </w:tc>
      </w:tr>
      <w:tr>
        <w:tc>
          <w:tcPr>
            <w:tcW w:type="dxa" w:w="79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D9EAD3"/>
          </w:tcPr>
          <w:p>
            <w:pPr>
              <w:spacing w:after="0" w:before="0" w:line="240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sz w:val="18"/>
              </w:rPr>
              <w:t>C10</w:t>
            </w:r>
          </w:p>
        </w:tc>
        <w:tc>
          <w:tcPr>
            <w:tcW w:type="dxa" w:w="243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补齐业务审计与日志留存</w:t>
            </w:r>
          </w:p>
        </w:tc>
        <w:tc>
          <w:tcPr>
            <w:tcW w:type="dxa" w:w="49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实现用户登录、登出、关键增删改查、权限变更、失败操作的安全审计，并提供基础可视化查询能力；同时产生日志备份策略。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审计表结构、埋点改造、查询界面、备份脚本</w:t>
            </w:r>
          </w:p>
        </w:tc>
        <w:tc>
          <w:tcPr>
            <w:tcW w:type="dxa" w:w="391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7"/>
              </w:rPr>
              <w:t>可按时间、用户、事件类型追溯；日志不可随意覆盖；具备备份与恢复验证记录</w:t>
            </w:r>
          </w:p>
        </w:tc>
      </w:tr>
    </w:tbl>
    <w:p/>
    <w:p>
      <w:pPr>
        <w:spacing w:before="80" w:after="160"/>
      </w:pPr>
      <w:r>
        <w:rPr>
          <w:rFonts w:ascii="Noto Sans CJK SC" w:hAnsi="Noto Sans CJK SC" w:eastAsia="Noto Sans CJK SC" w:cs="Noto Sans CJK SC"/>
          <w:b/>
          <w:color w:val="173860"/>
          <w:sz w:val="30"/>
        </w:rPr>
        <w:t>四、需要运维 / 安全 / 管理侧并行推进的 TODO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096"/>
        <w:gridCol w:w="3096"/>
        <w:gridCol w:w="3096"/>
        <w:gridCol w:w="3096"/>
        <w:gridCol w:w="3096"/>
      </w:tblGrid>
      <w:tr>
        <w:tc>
          <w:tcPr>
            <w:tcW w:type="dxa" w:w="8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F4E78"/>
          </w:tcPr>
          <w:p>
            <w:pPr>
              <w:spacing w:after="0" w:before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ID</w:t>
            </w:r>
          </w:p>
        </w:tc>
        <w:tc>
          <w:tcPr>
            <w:tcW w:type="dxa" w:w="317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F4E78"/>
          </w:tcPr>
          <w:p>
            <w:pPr>
              <w:spacing w:after="0" w:before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事项</w:t>
            </w:r>
          </w:p>
        </w:tc>
        <w:tc>
          <w:tcPr>
            <w:tcW w:type="dxa" w:w="583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F4E78"/>
          </w:tcPr>
          <w:p>
            <w:pPr>
              <w:spacing w:after="0" w:before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说明</w:t>
            </w:r>
          </w:p>
        </w:tc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F4E78"/>
          </w:tcPr>
          <w:p>
            <w:pPr>
              <w:spacing w:after="0" w:before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责任侧</w:t>
            </w:r>
          </w:p>
        </w:tc>
        <w:tc>
          <w:tcPr>
            <w:tcW w:type="dxa" w:w="430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F4E78"/>
          </w:tcPr>
          <w:p>
            <w:pPr>
              <w:spacing w:after="0" w:before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完成标志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CE5CD"/>
          </w:tcPr>
          <w:p>
            <w:pPr>
              <w:spacing w:after="0" w:before="0" w:line="240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sz w:val="18"/>
              </w:rPr>
              <w:t>M01</w:t>
            </w:r>
          </w:p>
        </w:tc>
        <w:tc>
          <w:tcPr>
            <w:tcW w:type="dxa" w:w="317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开启数据库 SSL / TLS</w:t>
            </w:r>
          </w:p>
        </w:tc>
        <w:tc>
          <w:tcPr>
            <w:tcW w:type="dxa" w:w="583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RDS 数据传输与远程管理均需启用 SSL，并联动应用侧连接串与证书配置。</w:t>
            </w:r>
          </w:p>
        </w:tc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运维 + 开发</w:t>
            </w:r>
          </w:p>
        </w:tc>
        <w:tc>
          <w:tcPr>
            <w:tcW w:type="dxa" w:w="430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数据库通信与远程管理链路均为加密；应用连接不报错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CE5CD"/>
          </w:tcPr>
          <w:p>
            <w:pPr>
              <w:spacing w:after="0" w:before="0" w:line="240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sz w:val="18"/>
              </w:rPr>
              <w:t>M02</w:t>
            </w:r>
          </w:p>
        </w:tc>
        <w:tc>
          <w:tcPr>
            <w:tcW w:type="dxa" w:w="317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更新 WAF / 入侵检测规则库与病毒库</w:t>
            </w:r>
          </w:p>
        </w:tc>
        <w:tc>
          <w:tcPr>
            <w:tcW w:type="dxa" w:w="583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边界设备已部署，但规则库与病毒库未及时更新。</w:t>
            </w:r>
          </w:p>
        </w:tc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安全运维</w:t>
            </w:r>
          </w:p>
        </w:tc>
        <w:tc>
          <w:tcPr>
            <w:tcW w:type="dxa" w:w="430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规则版本更新到最新，并形成月度更新机制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CE5CD"/>
          </w:tcPr>
          <w:p>
            <w:pPr>
              <w:spacing w:after="0" w:before="0" w:line="240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sz w:val="18"/>
              </w:rPr>
              <w:t>M03</w:t>
            </w:r>
          </w:p>
        </w:tc>
        <w:tc>
          <w:tcPr>
            <w:tcW w:type="dxa" w:w="317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服务器部署防病毒软件</w:t>
            </w:r>
          </w:p>
        </w:tc>
        <w:tc>
          <w:tcPr>
            <w:tcW w:type="dxa" w:w="583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应用服务器当前未部署防病毒能力。</w:t>
            </w:r>
          </w:p>
        </w:tc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运维</w:t>
            </w:r>
          </w:p>
        </w:tc>
        <w:tc>
          <w:tcPr>
            <w:tcW w:type="dxa" w:w="430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上线后有中心策略、有告警、有版本更新记录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CE5CD"/>
          </w:tcPr>
          <w:p>
            <w:pPr>
              <w:spacing w:after="0" w:before="0" w:line="240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sz w:val="18"/>
              </w:rPr>
              <w:t>M04</w:t>
            </w:r>
          </w:p>
        </w:tc>
        <w:tc>
          <w:tcPr>
            <w:tcW w:type="dxa" w:w="317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阿里云与服务器分权管理</w:t>
            </w:r>
          </w:p>
        </w:tc>
        <w:tc>
          <w:tcPr>
            <w:tcW w:type="dxa" w:w="583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拆分主账户、创建子账户、落实三员分离与最小权限，禁止多人共用超级账号。</w:t>
            </w:r>
          </w:p>
        </w:tc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管理 + 云平台运维</w:t>
            </w:r>
          </w:p>
        </w:tc>
        <w:tc>
          <w:tcPr>
            <w:tcW w:type="dxa" w:w="430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账户一人一号；高权限操作可追溯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CE5CD"/>
          </w:tcPr>
          <w:p>
            <w:pPr>
              <w:spacing w:after="0" w:before="0" w:line="240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sz w:val="18"/>
              </w:rPr>
              <w:t>M05</w:t>
            </w:r>
          </w:p>
        </w:tc>
        <w:tc>
          <w:tcPr>
            <w:tcW w:type="dxa" w:w="317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管理终端 IP / 网段限制</w:t>
            </w:r>
          </w:p>
        </w:tc>
        <w:tc>
          <w:tcPr>
            <w:tcW w:type="dxa" w:w="583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阿里云控制台、服务器、云管平台需要固定出口或白名单登录。</w:t>
            </w:r>
          </w:p>
        </w:tc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运维</w:t>
            </w:r>
          </w:p>
        </w:tc>
        <w:tc>
          <w:tcPr>
            <w:tcW w:type="dxa" w:w="430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非白名单 IP 无法管理登录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CE5CD"/>
          </w:tcPr>
          <w:p>
            <w:pPr>
              <w:spacing w:after="0" w:before="0" w:line="240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sz w:val="18"/>
              </w:rPr>
              <w:t>M06</w:t>
            </w:r>
          </w:p>
        </w:tc>
        <w:tc>
          <w:tcPr>
            <w:tcW w:type="dxa" w:w="317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备份、异地备份与恢复演练</w:t>
            </w:r>
          </w:p>
        </w:tc>
        <w:tc>
          <w:tcPr>
            <w:tcW w:type="dxa" w:w="583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云管平台、业务系统、服务器、数据库都要有定时备份与恢复测试。</w:t>
            </w:r>
          </w:p>
        </w:tc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运维 + DBA</w:t>
            </w:r>
          </w:p>
        </w:tc>
        <w:tc>
          <w:tcPr>
            <w:tcW w:type="dxa" w:w="430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存在备份策略、异地副本与恢复演练记录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CE5CD"/>
          </w:tcPr>
          <w:p>
            <w:pPr>
              <w:spacing w:after="0" w:before="0" w:line="240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sz w:val="18"/>
              </w:rPr>
              <w:t>M07</w:t>
            </w:r>
          </w:p>
        </w:tc>
        <w:tc>
          <w:tcPr>
            <w:tcW w:type="dxa" w:w="317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证书与 TLS 清理</w:t>
            </w:r>
          </w:p>
        </w:tc>
        <w:tc>
          <w:tcPr>
            <w:tcW w:type="dxa" w:w="583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处理自签名、链不完整、信任问题与不必要的弱算法暴露。</w:t>
            </w:r>
          </w:p>
        </w:tc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运维</w:t>
            </w:r>
          </w:p>
        </w:tc>
        <w:tc>
          <w:tcPr>
            <w:tcW w:type="dxa" w:w="430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证书链完整、浏览器与扫描工具均通过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CE5CD"/>
          </w:tcPr>
          <w:p>
            <w:pPr>
              <w:spacing w:after="0" w:before="0" w:line="240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sz w:val="18"/>
              </w:rPr>
              <w:t>M08</w:t>
            </w:r>
          </w:p>
        </w:tc>
        <w:tc>
          <w:tcPr>
            <w:tcW w:type="dxa" w:w="317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网络与主机面信息暴露收敛</w:t>
            </w:r>
          </w:p>
        </w:tc>
        <w:tc>
          <w:tcPr>
            <w:tcW w:type="dxa" w:w="583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处理 SSH banner、Traceroute、ICMP timestamp、robots 等低风险但可枚举信息。</w:t>
            </w:r>
          </w:p>
        </w:tc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运维</w:t>
            </w:r>
          </w:p>
        </w:tc>
        <w:tc>
          <w:tcPr>
            <w:tcW w:type="dxa" w:w="430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外部枚举面收敛，低风险告警明显下降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CE5CD"/>
          </w:tcPr>
          <w:p>
            <w:pPr>
              <w:spacing w:after="0" w:before="0" w:line="240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sz w:val="18"/>
              </w:rPr>
              <w:t>M09</w:t>
            </w:r>
          </w:p>
        </w:tc>
        <w:tc>
          <w:tcPr>
            <w:tcW w:type="dxa" w:w="317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可信验证路线评估</w:t>
            </w:r>
          </w:p>
        </w:tc>
        <w:tc>
          <w:tcPr>
            <w:tcW w:type="dxa" w:w="583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差距分析中多处涉及可信根 / 可信验证，这类问题通常不是单次代码修复，需要设备与架构决策。</w:t>
            </w:r>
          </w:p>
        </w:tc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管理 + 安全架构</w:t>
            </w:r>
          </w:p>
        </w:tc>
        <w:tc>
          <w:tcPr>
            <w:tcW w:type="dxa" w:w="430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形成是否建设、如何建设、何时建设的专项决策</w:t>
            </w:r>
          </w:p>
        </w:tc>
      </w:tr>
    </w:tbl>
    <w:p/>
    <w:p>
      <w:pPr>
        <w:spacing w:before="80" w:after="160"/>
      </w:pPr>
      <w:r>
        <w:rPr>
          <w:rFonts w:ascii="Noto Sans CJK SC" w:hAnsi="Noto Sans CJK SC" w:eastAsia="Noto Sans CJK SC" w:cs="Noto Sans CJK SC"/>
          <w:b/>
          <w:color w:val="173860"/>
          <w:sz w:val="30"/>
        </w:rPr>
        <w:t>五、建议排期（两周冲刺）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869"/>
        <w:gridCol w:w="3869"/>
        <w:gridCol w:w="3869"/>
        <w:gridCol w:w="3869"/>
      </w:tblGrid>
      <w:tr>
        <w:tc>
          <w:tcPr>
            <w:tcW w:type="dxa" w:w="170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F4E78"/>
          </w:tcPr>
          <w:p>
            <w:pPr>
              <w:spacing w:after="0" w:before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时间段</w:t>
            </w:r>
          </w:p>
        </w:tc>
        <w:tc>
          <w:tcPr>
            <w:tcW w:type="dxa" w:w="317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F4E78"/>
          </w:tcPr>
          <w:p>
            <w:pPr>
              <w:spacing w:after="0" w:before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阶段目标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F4E78"/>
          </w:tcPr>
          <w:p>
            <w:pPr>
              <w:spacing w:after="0" w:before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建议动作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F4E78"/>
          </w:tcPr>
          <w:p>
            <w:pPr>
              <w:spacing w:after="0" w:before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8"/>
              </w:rPr>
              <w:t>产出</w:t>
            </w:r>
          </w:p>
        </w:tc>
      </w:tr>
      <w:tr>
        <w:tc>
          <w:tcPr>
            <w:tcW w:type="dxa" w:w="170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D1-D2</w:t>
            </w:r>
          </w:p>
        </w:tc>
        <w:tc>
          <w:tcPr>
            <w:tcW w:type="dxa" w:w="317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快速封堵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先修越权、下线密钥、关闭危险 HTTP 方法与默认暴露端点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一轮快速补丁发布与复测</w:t>
            </w:r>
          </w:p>
        </w:tc>
      </w:tr>
      <w:tr>
        <w:tc>
          <w:tcPr>
            <w:tcW w:type="dxa" w:w="170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D3-D5</w:t>
            </w:r>
          </w:p>
        </w:tc>
        <w:tc>
          <w:tcPr>
            <w:tcW w:type="dxa" w:w="317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客户端与 Web 面清理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清注释、清日志、补安全头、统一异常处理、做数据脱敏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发布包与站点暴露面明显收缩</w:t>
            </w:r>
          </w:p>
        </w:tc>
      </w:tr>
      <w:tr>
        <w:tc>
          <w:tcPr>
            <w:tcW w:type="dxa" w:w="170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D6-D8</w:t>
            </w:r>
          </w:p>
        </w:tc>
        <w:tc>
          <w:tcPr>
            <w:tcW w:type="dxa" w:w="317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认证与审计能力补齐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口令策略、登录失败锁定、会话超时、审计日志与可视化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后台进入“可管、可控、可追溯”状态</w:t>
            </w:r>
          </w:p>
        </w:tc>
      </w:tr>
      <w:tr>
        <w:tc>
          <w:tcPr>
            <w:tcW w:type="dxa" w:w="170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D9-D11</w:t>
            </w:r>
          </w:p>
        </w:tc>
        <w:tc>
          <w:tcPr>
            <w:tcW w:type="dxa" w:w="317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依赖与加固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升级框架库、小程序构建加固、随机数与敏感字符串整改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扫描项下降，构建链路更稳</w:t>
            </w:r>
          </w:p>
        </w:tc>
      </w:tr>
      <w:tr>
        <w:tc>
          <w:tcPr>
            <w:tcW w:type="dxa" w:w="170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D12-D14</w:t>
            </w:r>
          </w:p>
        </w:tc>
        <w:tc>
          <w:tcPr>
            <w:tcW w:type="dxa" w:w="317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联动运维闭环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数据库 SSL、备份恢复验证、IAM 分权、IP 白名单、证书收口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before="0" w:line="269" w:lineRule="auto"/>
            </w:pPr>
            <w:r>
              <w:rPr>
                <w:rFonts w:ascii="Noto Sans CJK SC" w:hAnsi="Noto Sans CJK SC" w:eastAsia="Noto Sans CJK SC" w:cs="Noto Sans CJK SC"/>
                <w:b w:val="0"/>
                <w:sz w:val="18"/>
              </w:rPr>
              <w:t>形成第二轮整改证据与复测包</w:t>
            </w:r>
          </w:p>
        </w:tc>
      </w:tr>
    </w:tbl>
    <w:p/>
    <w:p>
      <w:pPr>
        <w:spacing w:before="80" w:after="160"/>
      </w:pPr>
      <w:r>
        <w:rPr>
          <w:rFonts w:ascii="Noto Sans CJK SC" w:hAnsi="Noto Sans CJK SC" w:eastAsia="Noto Sans CJK SC" w:cs="Noto Sans CJK SC"/>
          <w:b/>
          <w:color w:val="173860"/>
          <w:sz w:val="30"/>
        </w:rPr>
        <w:t>六、我建议你立刻拍板的首批事项</w:t>
      </w:r>
    </w:p>
    <w:p>
      <w:pPr>
        <w:spacing w:after="80" w:before="0" w:line="302" w:lineRule="auto"/>
      </w:pPr>
      <w:r>
        <w:rPr>
          <w:rFonts w:ascii="Noto Sans CJK SC" w:hAnsi="Noto Sans CJK SC" w:eastAsia="Noto Sans CJK SC" w:cs="Noto Sans CJK SC"/>
          <w:b w:val="0"/>
          <w:sz w:val="20"/>
        </w:rPr>
        <w:t>□ 把 C01、C02、C04 定为阻断项，要求 72 小时内完成首轮上线。</w:t>
      </w:r>
    </w:p>
    <w:p>
      <w:pPr>
        <w:spacing w:after="80" w:before="0" w:line="302" w:lineRule="auto"/>
      </w:pPr>
      <w:r>
        <w:rPr>
          <w:rFonts w:ascii="Noto Sans CJK SC" w:hAnsi="Noto Sans CJK SC" w:eastAsia="Noto Sans CJK SC" w:cs="Noto Sans CJK SC"/>
          <w:b w:val="0"/>
          <w:sz w:val="20"/>
        </w:rPr>
        <w:t>□ 把 C09、C10 与 M01、M06 定为第二优先级，避免系统继续处于“弱认证 + 无审计 + 无恢复验证”的状态。</w:t>
      </w:r>
    </w:p>
    <w:p>
      <w:pPr>
        <w:spacing w:after="80" w:before="0" w:line="302" w:lineRule="auto"/>
      </w:pPr>
      <w:r>
        <w:rPr>
          <w:rFonts w:ascii="Noto Sans CJK SC" w:hAnsi="Noto Sans CJK SC" w:eastAsia="Noto Sans CJK SC" w:cs="Noto Sans CJK SC"/>
          <w:b w:val="0"/>
          <w:sz w:val="20"/>
        </w:rPr>
        <w:t>□ 把“补充真实源码包”单独列为前置动作；只有拿到源码后，Codex 才能把当前待办进一步细化到接口、文件、迁移脚本和测试用例级别。</w:t>
      </w:r>
    </w:p>
    <w:sectPr w:rsidR="00FC693F" w:rsidRPr="0006063C" w:rsidSect="00034616">
      <w:pgSz w:w="16838" w:h="11906" w:orient="landscape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SC" w:hAnsi="Noto Sans CJK SC" w:eastAsia="Noto Sans CJK SC" w:cs="Noto Sans CJK SC"/>
        <w:b w:val="0"/>
        <w:color w:val="787878"/>
        <w:sz w:val="17"/>
      </w:rPr>
      <w:t xml:space="preserve">第 </w:t>
    </w:r>
    <w:r>
      <w:rPr>
        <w:rFonts w:ascii="Noto Sans CJK SC" w:hAnsi="Noto Sans CJK SC" w:eastAsia="Noto Sans CJK SC" w:cs="Noto Sans CJK SC"/>
        <w:sz w:val="17"/>
      </w:rPr>
      <w:fldChar w:fldCharType="begin"/>
      <w:instrText xml:space="preserve"> PAGE </w:instrText>
      <w:fldChar w:fldCharType="end"/>
    </w:r>
    <w:r>
      <w:rPr>
        <w:rFonts w:ascii="Noto Sans CJK SC" w:hAnsi="Noto Sans CJK SC" w:eastAsia="Noto Sans CJK SC" w:cs="Noto Sans CJK SC"/>
        <w:b w:val="0"/>
        <w:color w:val="787878"/>
        <w:sz w:val="17"/>
      </w:rPr>
      <w:t xml:space="preserve"> 页</w:t>
    </w:r>
    <w:r>
      <w:rPr>
        <w:rFonts w:ascii="Noto Sans CJK SC" w:hAnsi="Noto Sans CJK SC" w:eastAsia="Noto Sans CJK SC" w:cs="Noto Sans CJK SC"/>
        <w:b w:val="0"/>
        <w:color w:val="787878"/>
        <w:sz w:val="17"/>
      </w:rPr>
      <w:t xml:space="preserve">第 </w:t>
    </w:r>
    <w:r>
      <w:rPr>
        <w:rFonts w:ascii="Noto Sans CJK SC" w:hAnsi="Noto Sans CJK SC" w:eastAsia="Noto Sans CJK SC" w:cs="Noto Sans CJK SC"/>
        <w:sz w:val="17"/>
      </w:rPr>
      <w:fldChar w:fldCharType="begin"/>
      <w:instrText xml:space="preserve"> PAGE </w:instrText>
      <w:fldChar w:fldCharType="end"/>
    </w:r>
    <w:r>
      <w:rPr>
        <w:rFonts w:ascii="Noto Sans CJK SC" w:hAnsi="Noto Sans CJK SC" w:eastAsia="Noto Sans CJK SC" w:cs="Noto Sans CJK SC"/>
        <w:b w:val="0"/>
        <w:color w:val="787878"/>
        <w:sz w:val="17"/>
      </w:rPr>
      <w:t xml:space="preserve"> 页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