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Arial" w:hAnsi="Arial" w:eastAsia="Noto Sans CJK SC"/>
          <w:b/>
          <w:color w:val="1F4E79"/>
          <w:sz w:val="44"/>
        </w:rPr>
        <w:t>产品开发部规划蓝图</w:t>
      </w:r>
    </w:p>
    <w:p>
      <w:pPr>
        <w:spacing w:after="240"/>
        <w:jc w:val="center"/>
      </w:pPr>
      <w:r>
        <w:rPr>
          <w:rFonts w:ascii="Arial" w:hAnsi="Arial" w:eastAsia="Noto Sans CJK SC"/>
          <w:b/>
          <w:color w:val="666666"/>
          <w:sz w:val="22"/>
        </w:rPr>
        <w:t>逻辑重构版：一总五分，让软件、硬件、AI工程和交付能力进入同一张图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370"/>
      </w:tblGrid>
      <w:tr>
        <w:tc>
          <w:tcPr>
            <w:tcW w:type="dxa" w:w="10370"/>
            <w:shd w:fill="EAF2F8"/>
            <w:tcBorders>
              <w:top w:val="single" w:color="9EADCC" w:sz="6"/>
              <w:left w:val="single" w:color="9EADCC" w:sz="6"/>
              <w:bottom w:val="single" w:color="9EADCC" w:sz="6"/>
              <w:right w:val="single" w:color="9EADCC" w:sz="6"/>
            </w:tcBorders>
            <w:tcMar>
              <w:top w:w="160" w:type="dxa"/>
              <w:start w:w="180" w:type="dxa"/>
              <w:bottom w:w="160" w:type="dxa"/>
              <w:end w:w="180" w:type="dxa"/>
            </w:tcMar>
          </w:tcPr>
          <w:p>
            <w:pPr>
              <w:spacing w:after="60"/>
            </w:pPr>
            <w:r>
              <w:rPr>
                <w:rFonts w:ascii="Arial" w:hAnsi="Arial" w:eastAsia="Noto Sans CJK SC"/>
                <w:b/>
                <w:color w:val="1F4E79"/>
                <w:sz w:val="22"/>
              </w:rPr>
              <w:t>本稿采用的结构</w:t>
            </w:r>
          </w:p>
          <w:p>
            <w:pPr>
              <w:spacing w:after="40"/>
            </w:pPr>
            <w:r>
              <w:rPr>
                <w:rFonts w:ascii="Arial" w:hAnsi="Arial" w:eastAsia="Noto Sans CJK SC"/>
                <w:b/>
                <w:color w:val="000000"/>
                <w:sz w:val="26"/>
              </w:rPr>
              <w:t>一总五分：一个总目标 + 五个建设模块 + 一套个人填空公式</w:t>
            </w:r>
          </w:p>
          <w:p>
            <w:pPr>
              <w:spacing w:after="0"/>
            </w:pPr>
            <w:r>
              <w:rPr>
                <w:rFonts w:ascii="Arial" w:hAnsi="Arial" w:eastAsia="Noto Sans CJK SC"/>
                <w:color w:val="444444"/>
                <w:sz w:val="20"/>
              </w:rPr>
              <w:t>目的：不再罗列项目进度，而是让所有工作都能被放进统一蓝图、统一口径和统一交付闭环。</w:t>
            </w:r>
          </w:p>
        </w:tc>
      </w:tr>
    </w:tbl>
    <w:p>
      <w:pPr>
        <w:spacing w:after="40"/>
      </w:pPr>
    </w:p>
    <w:p>
      <w:pPr>
        <w:pStyle w:val="Heading1"/>
        <w:spacing w:before="200" w:after="100"/>
      </w:pPr>
      <w:r>
        <w:rPr>
          <w:rFonts w:ascii="Arial" w:hAnsi="Arial" w:eastAsia="Noto Sans CJK SC"/>
          <w:b/>
          <w:color w:val="1F4E79"/>
          <w:sz w:val="30"/>
        </w:rPr>
        <w:t>一、总纲：先讲清楚“我们到底在建什么”</w:t>
      </w:r>
    </w:p>
    <w:p>
      <w:pPr>
        <w:spacing w:after="120" w:line="278" w:lineRule="auto"/>
      </w:pPr>
      <w:r>
        <w:rPr>
          <w:rFonts w:ascii="Arial" w:hAnsi="Arial" w:eastAsia="Noto Sans CJK SC"/>
          <w:sz w:val="21"/>
        </w:rPr>
        <w:t>建议把产品开发部的规划先收束成一句话：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370"/>
      </w:tblGrid>
      <w:tr>
        <w:tc>
          <w:tcPr>
            <w:tcW w:type="dxa" w:w="10370"/>
            <w:shd w:fill="EAF2F8"/>
            <w:tcBorders>
              <w:top w:val="single" w:color="9EADCC" w:sz="6"/>
              <w:left w:val="single" w:color="9EADCC" w:sz="6"/>
              <w:bottom w:val="single" w:color="9EADCC" w:sz="6"/>
              <w:right w:val="single" w:color="9EADCC" w:sz="6"/>
            </w:tcBorders>
            <w:tcMar>
              <w:top w:w="160" w:type="dxa"/>
              <w:start w:w="180" w:type="dxa"/>
              <w:bottom w:w="160" w:type="dxa"/>
              <w:end w:w="180" w:type="dxa"/>
            </w:tcMar>
          </w:tcPr>
          <w:p>
            <w:pPr>
              <w:spacing w:after="60"/>
            </w:pPr>
            <w:r>
              <w:rPr>
                <w:rFonts w:ascii="Arial" w:hAnsi="Arial" w:eastAsia="Noto Sans CJK SC"/>
                <w:b/>
                <w:color w:val="1F4E79"/>
                <w:sz w:val="22"/>
              </w:rPr>
              <w:t>一句话定位</w:t>
            </w:r>
          </w:p>
          <w:p>
            <w:pPr>
              <w:spacing w:after="40"/>
            </w:pPr>
            <w:r>
              <w:rPr>
                <w:rFonts w:ascii="Arial" w:hAnsi="Arial" w:eastAsia="Noto Sans CJK SC"/>
                <w:b/>
                <w:color w:val="000000"/>
                <w:sz w:val="26"/>
              </w:rPr>
              <w:t>产品开发部要从“项目制开发团队”，升级为“AI原生的软硬一体产品交付组织”。</w:t>
            </w:r>
          </w:p>
          <w:p>
            <w:pPr>
              <w:spacing w:after="0"/>
            </w:pPr>
            <w:r>
              <w:rPr>
                <w:rFonts w:ascii="Arial" w:hAnsi="Arial" w:eastAsia="Noto Sans CJK SC"/>
                <w:color w:val="444444"/>
                <w:sz w:val="20"/>
              </w:rPr>
              <w:t>它不是前端、后端、安卓、硬件各自为战，而是围绕客户场景，把软件入口、硬件设备、AI工程能力和交付资产打通。</w:t>
            </w:r>
          </w:p>
        </w:tc>
      </w:tr>
    </w:tbl>
    <w:p>
      <w:pPr>
        <w:spacing w:after="40"/>
      </w:pPr>
    </w:p>
    <w:p>
      <w:pPr>
        <w:spacing w:after="120" w:line="278" w:lineRule="auto"/>
      </w:pPr>
      <w:r>
        <w:rPr>
          <w:rFonts w:ascii="Arial" w:hAnsi="Arial" w:eastAsia="Noto Sans CJK SC"/>
          <w:sz w:val="21"/>
        </w:rPr>
        <w:t>总逻辑可以用下面这条主线表达。后面所有项目、人员、软件、硬件，都必须能填进这条主线里。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370"/>
      </w:tblGrid>
      <w:tr>
        <w:tc>
          <w:tcPr>
            <w:tcW w:type="dxa" w:w="10370"/>
            <w:shd w:fill="EAF2F8"/>
            <w:tcBorders>
              <w:top w:val="single" w:color="9EADCC" w:sz="6"/>
              <w:left w:val="single" w:color="9EADCC" w:sz="6"/>
              <w:bottom w:val="single" w:color="9EADCC" w:sz="6"/>
              <w:right w:val="single" w:color="9EADCC" w:sz="6"/>
            </w:tcBorders>
            <w:tcMar>
              <w:top w:w="160" w:type="dxa"/>
              <w:start w:w="180" w:type="dxa"/>
              <w:bottom w:w="160" w:type="dxa"/>
              <w:end w:w="180" w:type="dxa"/>
            </w:tcMar>
          </w:tcPr>
          <w:p>
            <w:pPr>
              <w:spacing w:after="60"/>
            </w:pPr>
            <w:r>
              <w:rPr>
                <w:rFonts w:ascii="Arial" w:hAnsi="Arial" w:eastAsia="Noto Sans CJK SC"/>
                <w:b/>
                <w:color w:val="1F4E79"/>
                <w:sz w:val="22"/>
              </w:rPr>
              <w:t>总公式</w:t>
            </w:r>
          </w:p>
          <w:p>
            <w:pPr>
              <w:spacing w:after="40"/>
            </w:pPr>
            <w:r>
              <w:rPr>
                <w:rFonts w:ascii="Arial" w:hAnsi="Arial" w:eastAsia="Noto Sans CJK SC"/>
                <w:b/>
                <w:color w:val="000000"/>
                <w:sz w:val="26"/>
              </w:rPr>
              <w:t>客户场景 → 软件入口 → 硬件能力 → AI工程底座 → 交付资产</w:t>
            </w:r>
          </w:p>
          <w:p>
            <w:pPr>
              <w:spacing w:after="0"/>
            </w:pPr>
            <w:r>
              <w:rPr>
                <w:rFonts w:ascii="Arial" w:hAnsi="Arial" w:eastAsia="Noto Sans CJK SC"/>
                <w:color w:val="444444"/>
                <w:sz w:val="20"/>
              </w:rPr>
              <w:t>场景决定做什么，软件决定用户怎么用，硬件决定产品壁垒，AI决定研发效率，交付资产决定能否复制和规模化。</w:t>
            </w:r>
          </w:p>
        </w:tc>
      </w:tr>
    </w:tbl>
    <w:p>
      <w:pPr>
        <w:spacing w:after="40"/>
      </w:pPr>
    </w:p>
    <w:p>
      <w:pPr>
        <w:spacing w:after="120" w:line="278" w:lineRule="auto"/>
      </w:pPr>
      <w:r>
        <w:rPr>
          <w:rFonts w:ascii="Arial" w:hAnsi="Arial" w:eastAsia="Noto Sans CJK SC"/>
          <w:b/>
          <w:sz w:val="21"/>
        </w:rPr>
        <w:t>这套结构解决三个问题：</w:t>
      </w:r>
    </w:p>
    <w:p>
      <w:pPr>
        <w:pStyle w:val="ListBullet"/>
        <w:spacing w:after="60" w:line="269" w:lineRule="auto"/>
      </w:pPr>
      <w:r>
        <w:rPr>
          <w:rFonts w:ascii="Arial" w:hAnsi="Arial" w:eastAsia="Noto Sans CJK SC"/>
          <w:sz w:val="21"/>
        </w:rPr>
        <w:t>让管理层和团队看懂：我们不是在做零散需求，而是在搭建一套软硬一体产品体系。</w:t>
      </w:r>
    </w:p>
    <w:p>
      <w:pPr>
        <w:pStyle w:val="ListBullet"/>
        <w:spacing w:after="60" w:line="269" w:lineRule="auto"/>
      </w:pPr>
      <w:r>
        <w:rPr>
          <w:rFonts w:ascii="Arial" w:hAnsi="Arial" w:eastAsia="Noto Sans CJK SC"/>
          <w:sz w:val="21"/>
        </w:rPr>
        <w:t>让每个成员看懂：我的任务不是孤立事项，而是蓝图中的一个“模块、入口、设备或资产”。</w:t>
      </w:r>
    </w:p>
    <w:p>
      <w:pPr>
        <w:pStyle w:val="ListBullet"/>
        <w:spacing w:after="60" w:line="269" w:lineRule="auto"/>
      </w:pPr>
      <w:r>
        <w:rPr>
          <w:rFonts w:ascii="Arial" w:hAnsi="Arial" w:eastAsia="Noto Sans CJK SC"/>
          <w:sz w:val="21"/>
        </w:rPr>
        <w:t>让交付可度量：每件事最后都要有代码、演示、文档、指标或可复用能力。</w:t>
      </w:r>
    </w:p>
    <w:p>
      <w:r>
        <w:br w:type="page"/>
      </w:r>
    </w:p>
    <w:p>
      <w:pPr>
        <w:pStyle w:val="Heading1"/>
        <w:spacing w:before="200" w:after="100"/>
      </w:pPr>
      <w:r>
        <w:rPr>
          <w:rFonts w:ascii="Arial" w:hAnsi="Arial" w:eastAsia="Noto Sans CJK SC"/>
          <w:b/>
          <w:color w:val="1F4E79"/>
          <w:sz w:val="30"/>
        </w:rPr>
        <w:t>二、五个建设模块：并列不超过五个，且每个模块都可填空</w:t>
      </w:r>
    </w:p>
    <w:p>
      <w:pPr>
        <w:spacing w:after="120" w:line="278" w:lineRule="auto"/>
      </w:pPr>
      <w:r>
        <w:rPr>
          <w:rFonts w:ascii="Arial" w:hAnsi="Arial" w:eastAsia="Noto Sans CJK SC"/>
          <w:sz w:val="21"/>
        </w:rPr>
        <w:t>五个模块是并列关系，但前后有自然顺序：先有场景，再有软件入口，再接硬件能力，再用 AI 工程提效，最后沉淀成交付资产。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1701"/>
            <w:shd w:fill="1F4E79"/>
            <w:vAlign w:val="center"/>
            <w:tcMar>
              <w:top w:w="100" w:type="dxa"/>
              <w:start w:w="100" w:type="dxa"/>
              <w:bottom w:w="100" w:type="dxa"/>
              <w:end w:w="100" w:type="dxa"/>
            </w:tcMar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8"/>
              </w:rPr>
              <w:t>模块</w:t>
            </w:r>
          </w:p>
        </w:tc>
        <w:tc>
          <w:tcPr>
            <w:tcW w:type="dxa" w:w="1814"/>
            <w:shd w:fill="1F4E79"/>
            <w:vAlign w:val="center"/>
            <w:tcMar>
              <w:top w:w="100" w:type="dxa"/>
              <w:start w:w="100" w:type="dxa"/>
              <w:bottom w:w="100" w:type="dxa"/>
              <w:end w:w="100" w:type="dxa"/>
            </w:tcMar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8"/>
              </w:rPr>
              <w:t>核心问题</w:t>
            </w:r>
          </w:p>
        </w:tc>
        <w:tc>
          <w:tcPr>
            <w:tcW w:type="dxa" w:w="3118"/>
            <w:shd w:fill="1F4E79"/>
            <w:vAlign w:val="center"/>
            <w:tcMar>
              <w:top w:w="100" w:type="dxa"/>
              <w:start w:w="100" w:type="dxa"/>
              <w:bottom w:w="100" w:type="dxa"/>
              <w:end w:w="100" w:type="dxa"/>
            </w:tcMar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8"/>
              </w:rPr>
              <w:t>公式</w:t>
            </w:r>
          </w:p>
        </w:tc>
        <w:tc>
          <w:tcPr>
            <w:tcW w:type="dxa" w:w="3175"/>
            <w:shd w:fill="1F4E79"/>
            <w:vAlign w:val="center"/>
            <w:tcMar>
              <w:top w:w="100" w:type="dxa"/>
              <w:start w:w="100" w:type="dxa"/>
              <w:bottom w:w="100" w:type="dxa"/>
              <w:end w:w="100" w:type="dxa"/>
            </w:tcMar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8"/>
              </w:rPr>
              <w:t>会议对应内容</w:t>
            </w:r>
          </w:p>
        </w:tc>
      </w:tr>
      <w:tr>
        <w:tc>
          <w:tcPr>
            <w:tcW w:type="dxa" w:w="1701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1. 场景产品化</w:t>
            </w:r>
          </w:p>
        </w:tc>
        <w:tc>
          <w:tcPr>
            <w:tcW w:type="dxa" w:w="1814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回答“服务谁、解决什么问题”</w:t>
            </w:r>
          </w:p>
        </w:tc>
        <w:tc>
          <w:tcPr>
            <w:tcW w:type="dxa" w:w="3118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一个场景 = 客户/角色 + 业务流程 + 软硬触点 + 验收指标</w:t>
            </w:r>
          </w:p>
        </w:tc>
        <w:tc>
          <w:tcPr>
            <w:tcW w:type="dxa" w:w="3175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前厅、后厨、运动健康、体质健康、团三标准产品、206 项目、4 号项目、排山权限等</w:t>
            </w:r>
          </w:p>
        </w:tc>
      </w:tr>
      <w:tr>
        <w:tc>
          <w:tcPr>
            <w:tcW w:type="dxa" w:w="1701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shd w:fill="F8FBFD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2. 软件平台化</w:t>
            </w:r>
          </w:p>
        </w:tc>
        <w:tc>
          <w:tcPr>
            <w:tcW w:type="dxa" w:w="1814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shd w:fill="F8FBFD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回答“用户从哪里进入产品”</w:t>
            </w:r>
          </w:p>
        </w:tc>
        <w:tc>
          <w:tcPr>
            <w:tcW w:type="dxa" w:w="3118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shd w:fill="F8FBFD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一个软件入口 = 页面/流程 + 权限 + 接口 + 数据 + 演示</w:t>
            </w:r>
          </w:p>
        </w:tc>
        <w:tc>
          <w:tcPr>
            <w:tcW w:type="dxa" w:w="3175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shd w:fill="F8FBFD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PC 端、移动端、小程序、APP、企业微信、钉钉、邮储 APP、API、付款查询、播报功能等</w:t>
            </w:r>
          </w:p>
        </w:tc>
      </w:tr>
      <w:tr>
        <w:tc>
          <w:tcPr>
            <w:tcW w:type="dxa" w:w="1701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3. 硬件体系化</w:t>
            </w:r>
          </w:p>
        </w:tc>
        <w:tc>
          <w:tcPr>
            <w:tcW w:type="dxa" w:w="1814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回答“我们连接哪些设备和数据”</w:t>
            </w:r>
          </w:p>
        </w:tc>
        <w:tc>
          <w:tcPr>
            <w:tcW w:type="dxa" w:w="3118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一次硬件接入 = 设备清单 + 协议/SDK + 数据上传 + 异常处理 + 测试文档</w:t>
            </w:r>
          </w:p>
        </w:tc>
        <w:tc>
          <w:tcPr>
            <w:tcW w:type="dxa" w:w="3175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一体机、摄像头、轻量设备、重量设备、称重上传、前厅/后厨/运动健康/体质健康设备等</w:t>
            </w:r>
          </w:p>
        </w:tc>
      </w:tr>
      <w:tr>
        <w:tc>
          <w:tcPr>
            <w:tcW w:type="dxa" w:w="1701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shd w:fill="F8FBFD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4. AI工程化</w:t>
            </w:r>
          </w:p>
        </w:tc>
        <w:tc>
          <w:tcPr>
            <w:tcW w:type="dxa" w:w="1814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shd w:fill="F8FBFD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回答“如何让研发效率可复制”</w:t>
            </w:r>
          </w:p>
        </w:tc>
        <w:tc>
          <w:tcPr>
            <w:tcW w:type="dxa" w:w="3118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shd w:fill="F8FBFD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一次 AI Coding = 任务说明 + 上下文 + 代码索引 + Prompt/MCP + 验收指标</w:t>
            </w:r>
          </w:p>
        </w:tc>
        <w:tc>
          <w:tcPr>
            <w:tcW w:type="dxa" w:w="3175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shd w:fill="F8FBFD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DeepSeek 本地模型、Tree 集成、Design.md、安卓通用规范、项目索引、开源 benchmark 等</w:t>
            </w:r>
          </w:p>
        </w:tc>
      </w:tr>
      <w:tr>
        <w:tc>
          <w:tcPr>
            <w:tcW w:type="dxa" w:w="1701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5. 交付资产化</w:t>
            </w:r>
          </w:p>
        </w:tc>
        <w:tc>
          <w:tcPr>
            <w:tcW w:type="dxa" w:w="1814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回答“做完之后留下什么”</w:t>
            </w:r>
          </w:p>
        </w:tc>
        <w:tc>
          <w:tcPr>
            <w:tcW w:type="dxa" w:w="3118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一次交付 = 代码 + 演示 + 录屏/手册 + 合并/上线 + 复盘指标</w:t>
            </w:r>
          </w:p>
        </w:tc>
        <w:tc>
          <w:tcPr>
            <w:tcW w:type="dxa" w:w="3175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内部演示、master 合并判断、自动录屏、用户手册、小视频、上线记录、能力复制等</w:t>
            </w:r>
          </w:p>
        </w:tc>
      </w:tr>
    </w:tbl>
    <w:p>
      <w:pPr>
        <w:spacing w:after="40"/>
      </w:pPr>
    </w:p>
    <w:p>
      <w:pPr>
        <w:pStyle w:val="Heading2"/>
        <w:spacing w:before="120" w:after="100"/>
      </w:pPr>
      <w:r>
        <w:rPr>
          <w:rFonts w:ascii="Arial" w:hAnsi="Arial" w:eastAsia="Noto Sans CJK SC"/>
          <w:b/>
          <w:color w:val="365F91"/>
          <w:sz w:val="25"/>
        </w:rPr>
        <w:t>模块一：场景产品化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370"/>
      </w:tblGrid>
      <w:tr>
        <w:tc>
          <w:tcPr>
            <w:tcW w:type="dxa" w:w="10370"/>
            <w:shd w:fill="EAF2F8"/>
            <w:tcBorders>
              <w:top w:val="single" w:color="9EADCC" w:sz="6"/>
              <w:left w:val="single" w:color="9EADCC" w:sz="6"/>
              <w:bottom w:val="single" w:color="9EADCC" w:sz="6"/>
              <w:right w:val="single" w:color="9EADCC" w:sz="6"/>
            </w:tcBorders>
            <w:tcMar>
              <w:top w:w="160" w:type="dxa"/>
              <w:start w:w="180" w:type="dxa"/>
              <w:bottom w:w="160" w:type="dxa"/>
              <w:end w:w="180" w:type="dxa"/>
            </w:tcMar>
          </w:tcPr>
          <w:p>
            <w:pPr>
              <w:spacing w:after="60"/>
            </w:pPr>
            <w:r>
              <w:rPr>
                <w:rFonts w:ascii="Arial" w:hAnsi="Arial" w:eastAsia="Noto Sans CJK SC"/>
                <w:b/>
                <w:color w:val="1F4E79"/>
                <w:sz w:val="22"/>
              </w:rPr>
              <w:t>场景公式</w:t>
            </w:r>
          </w:p>
          <w:p>
            <w:pPr>
              <w:spacing w:after="40"/>
            </w:pPr>
            <w:r>
              <w:rPr>
                <w:rFonts w:ascii="Arial" w:hAnsi="Arial" w:eastAsia="Noto Sans CJK SC"/>
                <w:b/>
                <w:color w:val="000000"/>
                <w:sz w:val="26"/>
              </w:rPr>
              <w:t>一个场景 = 客户/角色 + 业务流程 + 软硬触点 + 验收指标</w:t>
            </w:r>
          </w:p>
        </w:tc>
      </w:tr>
    </w:tbl>
    <w:p>
      <w:pPr>
        <w:spacing w:after="40"/>
      </w:pPr>
    </w:p>
    <w:p>
      <w:pPr>
        <w:spacing w:after="120" w:line="278" w:lineRule="auto"/>
        <w:ind w:firstLine="425"/>
      </w:pPr>
      <w:r>
        <w:rPr>
          <w:rFonts w:ascii="Arial" w:hAnsi="Arial" w:eastAsia="Noto Sans CJK SC"/>
        </w:rPr>
        <w:t>场景产品化的重点，是把“项目名称”转换成“客户场景”。以后汇报时不要只说“206 项目、4 号项目、标准小程序”，而要补齐它服务的客户、业务流程、涉及的软件入口、涉及的硬件设备和验收指标。</w:t>
      </w:r>
    </w:p>
    <w:p>
      <w:pPr>
        <w:spacing w:after="120" w:line="278" w:lineRule="auto"/>
      </w:pPr>
      <w:r>
        <w:rPr>
          <w:rFonts w:ascii="Arial" w:hAnsi="Arial" w:eastAsia="Noto Sans CJK SC"/>
          <w:b/>
        </w:rPr>
        <w:t>可落地要求：</w:t>
      </w:r>
    </w:p>
    <w:p>
      <w:pPr>
        <w:pStyle w:val="ListBullet"/>
        <w:spacing w:after="60" w:line="269" w:lineRule="auto"/>
      </w:pPr>
      <w:r>
        <w:rPr>
          <w:rFonts w:ascii="Arial" w:hAnsi="Arial" w:eastAsia="Noto Sans CJK SC"/>
          <w:sz w:val="21"/>
        </w:rPr>
        <w:t>每个项目先写清楚场景：谁在用、在什么业务环节用、解决什么卡点。</w:t>
      </w:r>
    </w:p>
    <w:p>
      <w:pPr>
        <w:pStyle w:val="ListBullet"/>
        <w:spacing w:after="60" w:line="269" w:lineRule="auto"/>
      </w:pPr>
      <w:r>
        <w:rPr>
          <w:rFonts w:ascii="Arial" w:hAnsi="Arial" w:eastAsia="Noto Sans CJK SC"/>
          <w:sz w:val="21"/>
        </w:rPr>
        <w:t>每个场景都要对应至少一个软件入口或硬件触点，避免只讲抽象目标。</w:t>
      </w:r>
    </w:p>
    <w:p>
      <w:pPr>
        <w:pStyle w:val="ListBullet"/>
        <w:spacing w:after="60" w:line="269" w:lineRule="auto"/>
      </w:pPr>
      <w:r>
        <w:rPr>
          <w:rFonts w:ascii="Arial" w:hAnsi="Arial" w:eastAsia="Noto Sans CJK SC"/>
          <w:sz w:val="21"/>
        </w:rPr>
        <w:t>每个场景都要设置验收指标，比如识别准确率、上传成功率、播报成功率、上线时间、客户可用性。</w:t>
      </w:r>
    </w:p>
    <w:p>
      <w:pPr>
        <w:pStyle w:val="Heading2"/>
        <w:spacing w:before="120" w:after="100"/>
      </w:pPr>
      <w:r>
        <w:rPr>
          <w:rFonts w:ascii="Arial" w:hAnsi="Arial" w:eastAsia="Noto Sans CJK SC"/>
          <w:b/>
          <w:color w:val="365F91"/>
          <w:sz w:val="25"/>
        </w:rPr>
        <w:t>模块二：软件平台化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370"/>
      </w:tblGrid>
      <w:tr>
        <w:tc>
          <w:tcPr>
            <w:tcW w:type="dxa" w:w="10370"/>
            <w:shd w:fill="EAF2F8"/>
            <w:tcBorders>
              <w:top w:val="single" w:color="9EADCC" w:sz="6"/>
              <w:left w:val="single" w:color="9EADCC" w:sz="6"/>
              <w:bottom w:val="single" w:color="9EADCC" w:sz="6"/>
              <w:right w:val="single" w:color="9EADCC" w:sz="6"/>
            </w:tcBorders>
            <w:tcMar>
              <w:top w:w="160" w:type="dxa"/>
              <w:start w:w="180" w:type="dxa"/>
              <w:bottom w:w="160" w:type="dxa"/>
              <w:end w:w="180" w:type="dxa"/>
            </w:tcMar>
          </w:tcPr>
          <w:p>
            <w:pPr>
              <w:spacing w:after="60"/>
            </w:pPr>
            <w:r>
              <w:rPr>
                <w:rFonts w:ascii="Arial" w:hAnsi="Arial" w:eastAsia="Noto Sans CJK SC"/>
                <w:b/>
                <w:color w:val="1F4E79"/>
                <w:sz w:val="22"/>
              </w:rPr>
              <w:t>软件公式</w:t>
            </w:r>
          </w:p>
          <w:p>
            <w:pPr>
              <w:spacing w:after="40"/>
            </w:pPr>
            <w:r>
              <w:rPr>
                <w:rFonts w:ascii="Arial" w:hAnsi="Arial" w:eastAsia="Noto Sans CJK SC"/>
                <w:b/>
                <w:color w:val="000000"/>
                <w:sz w:val="26"/>
              </w:rPr>
              <w:t>一个软件入口 = 页面/流程 + 权限 + 接口 + 数据 + 演示</w:t>
            </w:r>
          </w:p>
        </w:tc>
      </w:tr>
    </w:tbl>
    <w:p>
      <w:pPr>
        <w:spacing w:after="40"/>
      </w:pPr>
    </w:p>
    <w:p>
      <w:pPr>
        <w:spacing w:after="120" w:line="278" w:lineRule="auto"/>
        <w:ind w:firstLine="425"/>
      </w:pPr>
      <w:r>
        <w:rPr>
          <w:rFonts w:ascii="Arial" w:hAnsi="Arial" w:eastAsia="Noto Sans CJK SC"/>
        </w:rPr>
        <w:t>软件规划不要按“前端、后端、安卓”切碎，而要按入口和平台能力来讲。PC、移动端、小程序、APP、企业微信、钉钉、邮储 APP、API 都是用户或系统进入产品的入口。</w:t>
      </w:r>
    </w:p>
    <w:p>
      <w:pPr>
        <w:spacing w:after="120" w:line="278" w:lineRule="auto"/>
      </w:pPr>
      <w:r>
        <w:rPr>
          <w:rFonts w:ascii="Arial" w:hAnsi="Arial" w:eastAsia="Noto Sans CJK SC"/>
          <w:b/>
        </w:rPr>
        <w:t>当前软件侧重点可以归纳为三件事：</w:t>
      </w:r>
    </w:p>
    <w:p>
      <w:pPr>
        <w:pStyle w:val="ListBullet"/>
        <w:spacing w:after="60" w:line="269" w:lineRule="auto"/>
      </w:pPr>
      <w:r>
        <w:rPr>
          <w:rFonts w:ascii="Arial" w:hAnsi="Arial" w:eastAsia="Noto Sans CJK SC"/>
          <w:sz w:val="21"/>
        </w:rPr>
        <w:t>统一规范：每个项目建立 Design.md 或同类设计/页面规范，避免重复造轮子。</w:t>
      </w:r>
    </w:p>
    <w:p>
      <w:pPr>
        <w:pStyle w:val="ListBullet"/>
        <w:spacing w:after="60" w:line="269" w:lineRule="auto"/>
      </w:pPr>
      <w:r>
        <w:rPr>
          <w:rFonts w:ascii="Arial" w:hAnsi="Arial" w:eastAsia="Noto Sans CJK SC"/>
          <w:sz w:val="21"/>
        </w:rPr>
        <w:t>统一代码协作：按项目拆分索引，减少多人协作时的冲突。</w:t>
      </w:r>
    </w:p>
    <w:p>
      <w:pPr>
        <w:pStyle w:val="ListBullet"/>
        <w:spacing w:after="60" w:line="269" w:lineRule="auto"/>
      </w:pPr>
      <w:r>
        <w:rPr>
          <w:rFonts w:ascii="Arial" w:hAnsi="Arial" w:eastAsia="Noto Sans CJK SC"/>
          <w:sz w:val="21"/>
        </w:rPr>
        <w:t>统一交付流程：任务拉取、分支创建、代码修改、提交、演示、合并和上线，都要形成固定路径。</w:t>
      </w:r>
    </w:p>
    <w:p>
      <w:pPr>
        <w:pStyle w:val="Heading2"/>
        <w:spacing w:before="120" w:after="100"/>
      </w:pPr>
      <w:r>
        <w:rPr>
          <w:rFonts w:ascii="Arial" w:hAnsi="Arial" w:eastAsia="Noto Sans CJK SC"/>
          <w:b/>
          <w:color w:val="365F91"/>
          <w:sz w:val="25"/>
        </w:rPr>
        <w:t>模块三：硬件体系化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370"/>
      </w:tblGrid>
      <w:tr>
        <w:tc>
          <w:tcPr>
            <w:tcW w:type="dxa" w:w="10370"/>
            <w:shd w:fill="EAF2F8"/>
            <w:tcBorders>
              <w:top w:val="single" w:color="9EADCC" w:sz="6"/>
              <w:left w:val="single" w:color="9EADCC" w:sz="6"/>
              <w:bottom w:val="single" w:color="9EADCC" w:sz="6"/>
              <w:right w:val="single" w:color="9EADCC" w:sz="6"/>
            </w:tcBorders>
            <w:tcMar>
              <w:top w:w="160" w:type="dxa"/>
              <w:start w:w="180" w:type="dxa"/>
              <w:bottom w:w="160" w:type="dxa"/>
              <w:end w:w="180" w:type="dxa"/>
            </w:tcMar>
          </w:tcPr>
          <w:p>
            <w:pPr>
              <w:spacing w:after="60"/>
            </w:pPr>
            <w:r>
              <w:rPr>
                <w:rFonts w:ascii="Arial" w:hAnsi="Arial" w:eastAsia="Noto Sans CJK SC"/>
                <w:b/>
                <w:color w:val="1F4E79"/>
                <w:sz w:val="22"/>
              </w:rPr>
              <w:t>硬件公式</w:t>
            </w:r>
          </w:p>
          <w:p>
            <w:pPr>
              <w:spacing w:after="40"/>
            </w:pPr>
            <w:r>
              <w:rPr>
                <w:rFonts w:ascii="Arial" w:hAnsi="Arial" w:eastAsia="Noto Sans CJK SC"/>
                <w:b/>
                <w:color w:val="000000"/>
                <w:sz w:val="26"/>
              </w:rPr>
              <w:t>一次硬件接入 = 设备清单 + 协议/SDK + 数据上传 + 异常处理 + 测试文档</w:t>
            </w:r>
          </w:p>
        </w:tc>
      </w:tr>
    </w:tbl>
    <w:p>
      <w:pPr>
        <w:spacing w:after="40"/>
      </w:pPr>
    </w:p>
    <w:p>
      <w:pPr>
        <w:spacing w:after="120" w:line="278" w:lineRule="auto"/>
        <w:ind w:firstLine="425"/>
      </w:pPr>
      <w:r>
        <w:rPr>
          <w:rFonts w:ascii="Arial" w:hAnsi="Arial" w:eastAsia="Noto Sans CJK SC"/>
        </w:rPr>
        <w:t>硬件规划不能停留在“接一个设备”或“修一个接口”。要把设备按场景和能力抽离成体系：前厅设备、后厨设备、运动健康设备、体质健康设备，以及轻量设备、重量设备、一体机、摄像头、称重设备等。</w:t>
      </w:r>
    </w:p>
    <w:p>
      <w:pPr>
        <w:spacing w:after="120" w:line="278" w:lineRule="auto"/>
        <w:ind w:firstLine="425"/>
      </w:pPr>
      <w:r>
        <w:rPr>
          <w:rFonts w:ascii="Arial" w:hAnsi="Arial" w:eastAsia="Noto Sans CJK SC"/>
        </w:rPr>
        <w:t>当前硬件侧的核心卡点，是设备端和安卓侧能力还没有完全团队化。徐亮的安卓自动化、项目索引、通用规范、设备调试能力，要从个人能力变成团队能力。</w:t>
      </w:r>
    </w:p>
    <w:p>
      <w:pPr>
        <w:spacing w:after="120" w:line="278" w:lineRule="auto"/>
        <w:ind w:firstLine="425"/>
      </w:pPr>
      <w:r>
        <w:rPr>
          <w:rFonts w:ascii="Arial" w:hAnsi="Arial" w:eastAsia="Noto Sans CJK SC"/>
        </w:rPr>
        <w:t>硬件侧每项工作必须留下四类资产：设备清单、接入文档、测试用例、故障处理记录。</w:t>
      </w:r>
    </w:p>
    <w:p>
      <w:pPr>
        <w:pStyle w:val="Heading2"/>
        <w:spacing w:before="120" w:after="100"/>
      </w:pPr>
      <w:r>
        <w:rPr>
          <w:rFonts w:ascii="Arial" w:hAnsi="Arial" w:eastAsia="Noto Sans CJK SC"/>
          <w:b/>
          <w:color w:val="365F91"/>
          <w:sz w:val="25"/>
        </w:rPr>
        <w:t>模块四：AI工程化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370"/>
      </w:tblGrid>
      <w:tr>
        <w:tc>
          <w:tcPr>
            <w:tcW w:type="dxa" w:w="10370"/>
            <w:shd w:fill="EAF2F8"/>
            <w:tcBorders>
              <w:top w:val="single" w:color="9EADCC" w:sz="6"/>
              <w:left w:val="single" w:color="9EADCC" w:sz="6"/>
              <w:bottom w:val="single" w:color="9EADCC" w:sz="6"/>
              <w:right w:val="single" w:color="9EADCC" w:sz="6"/>
            </w:tcBorders>
            <w:tcMar>
              <w:top w:w="160" w:type="dxa"/>
              <w:start w:w="180" w:type="dxa"/>
              <w:bottom w:w="160" w:type="dxa"/>
              <w:end w:w="180" w:type="dxa"/>
            </w:tcMar>
          </w:tcPr>
          <w:p>
            <w:pPr>
              <w:spacing w:after="60"/>
            </w:pPr>
            <w:r>
              <w:rPr>
                <w:rFonts w:ascii="Arial" w:hAnsi="Arial" w:eastAsia="Noto Sans CJK SC"/>
                <w:b/>
                <w:color w:val="1F4E79"/>
                <w:sz w:val="22"/>
              </w:rPr>
              <w:t>AI工程公式</w:t>
            </w:r>
          </w:p>
          <w:p>
            <w:pPr>
              <w:spacing w:after="40"/>
            </w:pPr>
            <w:r>
              <w:rPr>
                <w:rFonts w:ascii="Arial" w:hAnsi="Arial" w:eastAsia="Noto Sans CJK SC"/>
                <w:b/>
                <w:color w:val="000000"/>
                <w:sz w:val="26"/>
              </w:rPr>
              <w:t>一次 AI Coding = 任务说明 + 上下文 + 代码索引 + Prompt/MCP + 验收指标</w:t>
            </w:r>
          </w:p>
        </w:tc>
      </w:tr>
    </w:tbl>
    <w:p>
      <w:pPr>
        <w:spacing w:after="40"/>
      </w:pPr>
    </w:p>
    <w:p>
      <w:pPr>
        <w:spacing w:after="120" w:line="278" w:lineRule="auto"/>
        <w:ind w:firstLine="425"/>
      </w:pPr>
      <w:r>
        <w:rPr>
          <w:rFonts w:ascii="Arial" w:hAnsi="Arial" w:eastAsia="Noto Sans CJK SC"/>
        </w:rPr>
        <w:t>AI 工程化的重点，不是“用了哪个模型”，而是让 AI 真正进入研发流程。DeepSeek 本地模型、Tree 集成、Prompt、MCP、上下文、代码索引、Design.md，都是 AI 工程底座的一部分。</w:t>
      </w:r>
    </w:p>
    <w:p>
      <w:pPr>
        <w:spacing w:after="120" w:line="278" w:lineRule="auto"/>
        <w:ind w:firstLine="425"/>
      </w:pPr>
      <w:r>
        <w:rPr>
          <w:rFonts w:ascii="Arial" w:hAnsi="Arial" w:eastAsia="Noto Sans CJK SC"/>
        </w:rPr>
        <w:t>AI 工程化必须从“主观感觉好用”升级为“有量化评估”。例如：代码生成通过率、修改后的测试通过率、一次提交成功率、token 成本、响应速度、人工返工次数等。</w:t>
      </w:r>
    </w:p>
    <w:p>
      <w:pPr>
        <w:spacing w:after="120" w:line="278" w:lineRule="auto"/>
        <w:ind w:firstLine="425"/>
      </w:pPr>
      <w:r>
        <w:rPr>
          <w:rFonts w:ascii="Arial" w:hAnsi="Arial" w:eastAsia="Noto Sans CJK SC"/>
        </w:rPr>
        <w:t>这也是团队从传统开发转向 AICoding 工程师的关键。</w:t>
      </w:r>
    </w:p>
    <w:p>
      <w:pPr>
        <w:pStyle w:val="Heading2"/>
        <w:spacing w:before="120" w:after="100"/>
      </w:pPr>
      <w:r>
        <w:rPr>
          <w:rFonts w:ascii="Arial" w:hAnsi="Arial" w:eastAsia="Noto Sans CJK SC"/>
          <w:b/>
          <w:color w:val="365F91"/>
          <w:sz w:val="25"/>
        </w:rPr>
        <w:t>模块五：交付资产化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370"/>
      </w:tblGrid>
      <w:tr>
        <w:tc>
          <w:tcPr>
            <w:tcW w:type="dxa" w:w="10370"/>
            <w:shd w:fill="EAF2F8"/>
            <w:tcBorders>
              <w:top w:val="single" w:color="9EADCC" w:sz="6"/>
              <w:left w:val="single" w:color="9EADCC" w:sz="6"/>
              <w:bottom w:val="single" w:color="9EADCC" w:sz="6"/>
              <w:right w:val="single" w:color="9EADCC" w:sz="6"/>
            </w:tcBorders>
            <w:tcMar>
              <w:top w:w="160" w:type="dxa"/>
              <w:start w:w="180" w:type="dxa"/>
              <w:bottom w:w="160" w:type="dxa"/>
              <w:end w:w="180" w:type="dxa"/>
            </w:tcMar>
          </w:tcPr>
          <w:p>
            <w:pPr>
              <w:spacing w:after="60"/>
            </w:pPr>
            <w:r>
              <w:rPr>
                <w:rFonts w:ascii="Arial" w:hAnsi="Arial" w:eastAsia="Noto Sans CJK SC"/>
                <w:b/>
                <w:color w:val="1F4E79"/>
                <w:sz w:val="22"/>
              </w:rPr>
              <w:t>交付公式</w:t>
            </w:r>
          </w:p>
          <w:p>
            <w:pPr>
              <w:spacing w:after="40"/>
            </w:pPr>
            <w:r>
              <w:rPr>
                <w:rFonts w:ascii="Arial" w:hAnsi="Arial" w:eastAsia="Noto Sans CJK SC"/>
                <w:b/>
                <w:color w:val="000000"/>
                <w:sz w:val="26"/>
              </w:rPr>
              <w:t>一次交付 = 代码 + 演示 + 录屏/手册 + 合并/上线 + 复盘指标</w:t>
            </w:r>
          </w:p>
        </w:tc>
      </w:tr>
    </w:tbl>
    <w:p>
      <w:pPr>
        <w:spacing w:after="40"/>
      </w:pPr>
    </w:p>
    <w:p>
      <w:pPr>
        <w:spacing w:after="120" w:line="278" w:lineRule="auto"/>
        <w:ind w:firstLine="425"/>
      </w:pPr>
      <w:r>
        <w:rPr>
          <w:rFonts w:ascii="Arial" w:hAnsi="Arial" w:eastAsia="Noto Sans CJK SC"/>
        </w:rPr>
        <w:t>交付资产化的核心，是每次做完任务之后，不只留下代码，还要留下可以复用、可以培训、可以对客户说明的资产。</w:t>
      </w:r>
    </w:p>
    <w:p>
      <w:pPr>
        <w:spacing w:after="120" w:line="278" w:lineRule="auto"/>
        <w:ind w:firstLine="425"/>
      </w:pPr>
      <w:r>
        <w:rPr>
          <w:rFonts w:ascii="Arial" w:hAnsi="Arial" w:eastAsia="Noto Sans CJK SC"/>
        </w:rPr>
        <w:t>因此，海军组织内部演示、确认是否合并 master、演示时自动录屏、生成用户手册或教学小视频，不是附加动作，而是产品交付闭环的一部分。</w:t>
      </w:r>
    </w:p>
    <w:p>
      <w:pPr>
        <w:spacing w:after="120" w:line="278" w:lineRule="auto"/>
        <w:ind w:firstLine="425"/>
      </w:pPr>
      <w:r>
        <w:rPr>
          <w:rFonts w:ascii="Arial" w:hAnsi="Arial" w:eastAsia="Noto Sans CJK SC"/>
        </w:rPr>
        <w:t>交付闭环建议固定为：任务 → 分支 → 开发 → 联调 → 演示 → 合并/上线 → 录屏/手册 → 复盘。</w:t>
      </w:r>
    </w:p>
    <w:p>
      <w:pPr>
        <w:pStyle w:val="Heading1"/>
        <w:spacing w:before="200" w:after="100"/>
      </w:pPr>
      <w:r>
        <w:rPr>
          <w:rFonts w:ascii="Arial" w:hAnsi="Arial" w:eastAsia="Noto Sans CJK SC"/>
          <w:b/>
          <w:color w:val="1F4E79"/>
          <w:sz w:val="30"/>
        </w:rPr>
        <w:t>三、每个人如何填空到这张蓝图里</w:t>
      </w:r>
    </w:p>
    <w:p>
      <w:pPr>
        <w:spacing w:after="120" w:line="278" w:lineRule="auto"/>
        <w:ind w:firstLine="425"/>
      </w:pPr>
      <w:r>
        <w:rPr>
          <w:rFonts w:ascii="Arial" w:hAnsi="Arial" w:eastAsia="Noto Sans CJK SC"/>
        </w:rPr>
        <w:t>个人不再用“我是前端/后端/安卓”来定义自己，而是用同一套填空公式说明自己在蓝图里的位置。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370"/>
      </w:tblGrid>
      <w:tr>
        <w:tc>
          <w:tcPr>
            <w:tcW w:type="dxa" w:w="10370"/>
            <w:shd w:fill="EAF2F8"/>
            <w:tcBorders>
              <w:top w:val="single" w:color="9EADCC" w:sz="6"/>
              <w:left w:val="single" w:color="9EADCC" w:sz="6"/>
              <w:bottom w:val="single" w:color="9EADCC" w:sz="6"/>
              <w:right w:val="single" w:color="9EADCC" w:sz="6"/>
            </w:tcBorders>
            <w:tcMar>
              <w:top w:w="160" w:type="dxa"/>
              <w:start w:w="180" w:type="dxa"/>
              <w:bottom w:w="160" w:type="dxa"/>
              <w:end w:w="180" w:type="dxa"/>
            </w:tcMar>
          </w:tcPr>
          <w:p>
            <w:pPr>
              <w:spacing w:after="60"/>
            </w:pPr>
            <w:r>
              <w:rPr>
                <w:rFonts w:ascii="Arial" w:hAnsi="Arial" w:eastAsia="Noto Sans CJK SC"/>
                <w:b/>
                <w:color w:val="1F4E79"/>
                <w:sz w:val="22"/>
              </w:rPr>
              <w:t>个人填空公式</w:t>
            </w:r>
          </w:p>
          <w:p>
            <w:pPr>
              <w:spacing w:after="40"/>
            </w:pPr>
            <w:r>
              <w:rPr>
                <w:rFonts w:ascii="Arial" w:hAnsi="Arial" w:eastAsia="Noto Sans CJK SC"/>
                <w:b/>
                <w:color w:val="000000"/>
                <w:sz w:val="26"/>
              </w:rPr>
              <w:t>我负责的【场景】属于【五个模块中的哪一块】，连接【软件入口/硬件设备/数据接口】，本周交付【成果】，沉淀【可复用资产】，验收指标是【量化结果】，需要【协同对象】。</w:t>
            </w:r>
          </w:p>
        </w:tc>
      </w:tr>
    </w:tbl>
    <w:p>
      <w:pPr>
        <w:spacing w:after="40"/>
      </w:pP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1474"/>
            <w:shd w:fill="1F4E79"/>
            <w:vAlign w:val="center"/>
            <w:tcMar>
              <w:top w:w="100" w:type="dxa"/>
              <w:start w:w="100" w:type="dxa"/>
              <w:bottom w:w="100" w:type="dxa"/>
              <w:end w:w="100" w:type="dxa"/>
            </w:tcMar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8"/>
              </w:rPr>
              <w:t>人员/角色</w:t>
            </w:r>
          </w:p>
        </w:tc>
        <w:tc>
          <w:tcPr>
            <w:tcW w:type="dxa" w:w="1701"/>
            <w:shd w:fill="1F4E79"/>
            <w:vAlign w:val="center"/>
            <w:tcMar>
              <w:top w:w="100" w:type="dxa"/>
              <w:start w:w="100" w:type="dxa"/>
              <w:bottom w:w="100" w:type="dxa"/>
              <w:end w:w="100" w:type="dxa"/>
            </w:tcMar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8"/>
              </w:rPr>
              <w:t>蓝图位置</w:t>
            </w:r>
          </w:p>
        </w:tc>
        <w:tc>
          <w:tcPr>
            <w:tcW w:type="dxa" w:w="3628"/>
            <w:shd w:fill="1F4E79"/>
            <w:vAlign w:val="center"/>
            <w:tcMar>
              <w:top w:w="100" w:type="dxa"/>
              <w:start w:w="100" w:type="dxa"/>
              <w:bottom w:w="100" w:type="dxa"/>
              <w:end w:w="100" w:type="dxa"/>
            </w:tcMar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8"/>
              </w:rPr>
              <w:t>当前填空</w:t>
            </w:r>
          </w:p>
        </w:tc>
        <w:tc>
          <w:tcPr>
            <w:tcW w:type="dxa" w:w="3402"/>
            <w:shd w:fill="1F4E79"/>
            <w:vAlign w:val="center"/>
            <w:tcMar>
              <w:top w:w="100" w:type="dxa"/>
              <w:start w:w="100" w:type="dxa"/>
              <w:bottom w:w="100" w:type="dxa"/>
              <w:end w:w="100" w:type="dxa"/>
            </w:tcMar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8"/>
              </w:rPr>
              <w:t>必须沉淀的资产</w:t>
            </w:r>
          </w:p>
        </w:tc>
      </w:tr>
      <w:tr>
        <w:tc>
          <w:tcPr>
            <w:tcW w:type="dxa" w:w="1474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徐亮</w:t>
            </w:r>
          </w:p>
        </w:tc>
        <w:tc>
          <w:tcPr>
            <w:tcW w:type="dxa" w:w="1701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硬件体系化 + AI工程化</w:t>
            </w:r>
          </w:p>
        </w:tc>
        <w:tc>
          <w:tcPr>
            <w:tcW w:type="dxa" w:w="3628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安卓项目自动化、项目索引、设备端能力复制、206 上传重量协同</w:t>
            </w:r>
          </w:p>
        </w:tc>
        <w:tc>
          <w:tcPr>
            <w:tcW w:type="dxa" w:w="3402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通用规范、索引文件、设备接入文档、能力复制到全员电脑、专利方向</w:t>
            </w:r>
          </w:p>
        </w:tc>
      </w:tr>
      <w:tr>
        <w:tc>
          <w:tcPr>
            <w:tcW w:type="dxa" w:w="1474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shd w:fill="F8FBFD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金涛</w:t>
            </w:r>
          </w:p>
        </w:tc>
        <w:tc>
          <w:tcPr>
            <w:tcW w:type="dxa" w:w="1701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shd w:fill="F8FBFD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硬件体系化 + 软件平台化</w:t>
            </w:r>
          </w:p>
        </w:tc>
        <w:tc>
          <w:tcPr>
            <w:tcW w:type="dxa" w:w="3628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shd w:fill="F8FBFD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206 项目上传重量等后端链路、接口与数据上传联调</w:t>
            </w:r>
          </w:p>
        </w:tc>
        <w:tc>
          <w:tcPr>
            <w:tcW w:type="dxa" w:w="3402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shd w:fill="F8FBFD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API、数据上传链路、联调记录、接口验收结果</w:t>
            </w:r>
          </w:p>
        </w:tc>
      </w:tr>
      <w:tr>
        <w:tc>
          <w:tcPr>
            <w:tcW w:type="dxa" w:w="1474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倩倩</w:t>
            </w:r>
          </w:p>
        </w:tc>
        <w:tc>
          <w:tcPr>
            <w:tcW w:type="dxa" w:w="1701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软件平台化 + AI工程化</w:t>
            </w:r>
          </w:p>
        </w:tc>
        <w:tc>
          <w:tcPr>
            <w:tcW w:type="dxa" w:w="3628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企业微信集成方案、大模型能力研究</w:t>
            </w:r>
          </w:p>
        </w:tc>
        <w:tc>
          <w:tcPr>
            <w:tcW w:type="dxa" w:w="3402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入口接入方案、调研文档、AI 应用示例</w:t>
            </w:r>
          </w:p>
        </w:tc>
      </w:tr>
      <w:tr>
        <w:tc>
          <w:tcPr>
            <w:tcW w:type="dxa" w:w="1474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shd w:fill="F8FBFD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东伟</w:t>
            </w:r>
          </w:p>
        </w:tc>
        <w:tc>
          <w:tcPr>
            <w:tcW w:type="dxa" w:w="1701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shd w:fill="F8FBFD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软件平台化 + AI工程化</w:t>
            </w:r>
          </w:p>
        </w:tc>
        <w:tc>
          <w:tcPr>
            <w:tcW w:type="dxa" w:w="3628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shd w:fill="F8FBFD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钉钉集成方案、AI Coding 方法交流与复制</w:t>
            </w:r>
          </w:p>
        </w:tc>
        <w:tc>
          <w:tcPr>
            <w:tcW w:type="dxa" w:w="3402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shd w:fill="F8FBFD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钉钉入口方案、Prompt/流程模板、团队培训材料</w:t>
            </w:r>
          </w:p>
        </w:tc>
      </w:tr>
      <w:tr>
        <w:tc>
          <w:tcPr>
            <w:tcW w:type="dxa" w:w="1474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海军</w:t>
            </w:r>
          </w:p>
        </w:tc>
        <w:tc>
          <w:tcPr>
            <w:tcW w:type="dxa" w:w="1701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交付资产化</w:t>
            </w:r>
          </w:p>
        </w:tc>
        <w:tc>
          <w:tcPr>
            <w:tcW w:type="dxa" w:w="3628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组织内部演示、确认 master 合并计划、协同上线与客户可用性确认</w:t>
            </w:r>
          </w:p>
        </w:tc>
        <w:tc>
          <w:tcPr>
            <w:tcW w:type="dxa" w:w="3402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演示记录、录屏、用户手册、小视频、上线清单</w:t>
            </w:r>
          </w:p>
        </w:tc>
      </w:tr>
      <w:tr>
        <w:tc>
          <w:tcPr>
            <w:tcW w:type="dxa" w:w="1474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shd w:fill="F8FBFD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DeepSeek/小程序相关同事</w:t>
            </w:r>
          </w:p>
        </w:tc>
        <w:tc>
          <w:tcPr>
            <w:tcW w:type="dxa" w:w="1701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shd w:fill="F8FBFD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AI工程化 + 软件平台化</w:t>
            </w:r>
          </w:p>
        </w:tc>
        <w:tc>
          <w:tcPr>
            <w:tcW w:type="dxa" w:w="3628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shd w:fill="F8FBFD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本地模型部署、Tree 集成、标准小程序付款查询与长文本播报优化</w:t>
            </w:r>
          </w:p>
        </w:tc>
        <w:tc>
          <w:tcPr>
            <w:tcW w:type="dxa" w:w="3402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shd w:fill="F8FBFD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模型使用方案、成本/效果评估、播报成功率、benchmark 对比</w:t>
            </w:r>
          </w:p>
        </w:tc>
      </w:tr>
      <w:tr>
        <w:tc>
          <w:tcPr>
            <w:tcW w:type="dxa" w:w="1474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全部成员</w:t>
            </w:r>
          </w:p>
        </w:tc>
        <w:tc>
          <w:tcPr>
            <w:tcW w:type="dxa" w:w="1701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五个模块共同参与</w:t>
            </w:r>
          </w:p>
        </w:tc>
        <w:tc>
          <w:tcPr>
            <w:tcW w:type="dxa" w:w="3628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按 AICoding 工程师要求解决产品瓶颈，不再按传统岗位边界推诿</w:t>
            </w:r>
          </w:p>
        </w:tc>
        <w:tc>
          <w:tcPr>
            <w:tcW w:type="dxa" w:w="3402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Design.md、索引、Prompt、测试用例、演示资产、复盘指标</w:t>
            </w:r>
          </w:p>
        </w:tc>
      </w:tr>
    </w:tbl>
    <w:p>
      <w:pPr>
        <w:spacing w:after="40"/>
      </w:pPr>
    </w:p>
    <w:p>
      <w:r>
        <w:br w:type="page"/>
      </w:r>
    </w:p>
    <w:p>
      <w:pPr>
        <w:pStyle w:val="Heading1"/>
        <w:spacing w:before="200" w:after="100"/>
      </w:pPr>
      <w:r>
        <w:rPr>
          <w:rFonts w:ascii="Arial" w:hAnsi="Arial" w:eastAsia="Noto Sans CJK SC"/>
          <w:b/>
          <w:color w:val="1F4E79"/>
          <w:sz w:val="30"/>
        </w:rPr>
        <w:t>四、执行规则：让这张蓝图真的跑起来</w:t>
      </w:r>
    </w:p>
    <w:p>
      <w:pPr>
        <w:spacing w:after="120" w:line="278" w:lineRule="auto"/>
        <w:ind w:firstLine="425"/>
      </w:pPr>
      <w:r>
        <w:rPr>
          <w:rFonts w:ascii="Arial" w:hAnsi="Arial" w:eastAsia="Noto Sans CJK SC"/>
        </w:rPr>
        <w:t>为了避免蓝图停留在口号层面，建议建立五条固定规则。每条规则都能对应到项目管理、研发协作和交付验收。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85"/>
        <w:gridCol w:w="5185"/>
      </w:tblGrid>
      <w:tr>
        <w:tc>
          <w:tcPr>
            <w:tcW w:type="dxa" w:w="2835"/>
            <w:shd w:fill="1F4E79"/>
            <w:vAlign w:val="center"/>
            <w:tcMar>
              <w:top w:w="100" w:type="dxa"/>
              <w:start w:w="100" w:type="dxa"/>
              <w:bottom w:w="100" w:type="dxa"/>
              <w:end w:w="100" w:type="dxa"/>
            </w:tcMar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8"/>
              </w:rPr>
              <w:t>规则</w:t>
            </w:r>
          </w:p>
        </w:tc>
        <w:tc>
          <w:tcPr>
            <w:tcW w:type="dxa" w:w="6803"/>
            <w:shd w:fill="1F4E79"/>
            <w:vAlign w:val="center"/>
            <w:tcMar>
              <w:top w:w="100" w:type="dxa"/>
              <w:start w:w="100" w:type="dxa"/>
              <w:bottom w:w="100" w:type="dxa"/>
              <w:end w:w="100" w:type="dxa"/>
            </w:tcMar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8"/>
              </w:rPr>
              <w:t>落地方式</w:t>
            </w:r>
          </w:p>
        </w:tc>
      </w:tr>
      <w:tr>
        <w:tc>
          <w:tcPr>
            <w:tcW w:type="dxa" w:w="2835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1. 每周更新一张产品地图</w:t>
            </w:r>
          </w:p>
        </w:tc>
        <w:tc>
          <w:tcPr>
            <w:tcW w:type="dxa" w:w="6803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按“场景-软件入口-硬件设备-状态-负责人”更新，让大家知道全局。</w:t>
            </w:r>
          </w:p>
        </w:tc>
      </w:tr>
      <w:tr>
        <w:tc>
          <w:tcPr>
            <w:tcW w:type="dxa" w:w="2835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shd w:fill="F8FBFD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2. 每个项目一份规范</w:t>
            </w:r>
          </w:p>
        </w:tc>
        <w:tc>
          <w:tcPr>
            <w:tcW w:type="dxa" w:w="6803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shd w:fill="F8FBFD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至少包含 Design.md、代码索引、关键接口、页面/设备说明，减少重复沟通。</w:t>
            </w:r>
          </w:p>
        </w:tc>
      </w:tr>
      <w:tr>
        <w:tc>
          <w:tcPr>
            <w:tcW w:type="dxa" w:w="2835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3. 每次硬件接入一套测试包</w:t>
            </w:r>
          </w:p>
        </w:tc>
        <w:tc>
          <w:tcPr>
            <w:tcW w:type="dxa" w:w="6803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设备清单、协议/SDK、上传链路、异常处理、测试用例必须齐全。</w:t>
            </w:r>
          </w:p>
        </w:tc>
      </w:tr>
      <w:tr>
        <w:tc>
          <w:tcPr>
            <w:tcW w:type="dxa" w:w="2835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shd w:fill="F8FBFD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4. 每次上线一次演示沉淀</w:t>
            </w:r>
          </w:p>
        </w:tc>
        <w:tc>
          <w:tcPr>
            <w:tcW w:type="dxa" w:w="6803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shd w:fill="F8FBFD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上线前内部演示，判断是否合并 master；演示过程录屏，沉淀手册和小视频。</w:t>
            </w:r>
          </w:p>
        </w:tc>
      </w:tr>
      <w:tr>
        <w:tc>
          <w:tcPr>
            <w:tcW w:type="dxa" w:w="2835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5. 每月一次 AI Coding 评估</w:t>
            </w:r>
          </w:p>
        </w:tc>
        <w:tc>
          <w:tcPr>
            <w:tcW w:type="dxa" w:w="6803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用 benchmark 或内部指标评估模型效果、成本、成功率和返工率，避免只凭主观感受。</w:t>
            </w:r>
          </w:p>
        </w:tc>
      </w:tr>
    </w:tbl>
    <w:p>
      <w:pPr>
        <w:spacing w:after="40"/>
      </w:pPr>
    </w:p>
    <w:p>
      <w:pPr>
        <w:pStyle w:val="Heading1"/>
        <w:spacing w:before="200" w:after="100"/>
      </w:pPr>
      <w:r>
        <w:rPr>
          <w:rFonts w:ascii="Arial" w:hAnsi="Arial" w:eastAsia="Noto Sans CJK SC"/>
          <w:b/>
          <w:color w:val="1F4E79"/>
          <w:sz w:val="30"/>
        </w:rPr>
        <w:t>五、对团队可以这样讲</w:t>
      </w:r>
    </w:p>
    <w:p>
      <w:pPr>
        <w:spacing w:after="120" w:line="278" w:lineRule="auto"/>
      </w:pPr>
      <w:r>
        <w:rPr>
          <w:rFonts w:ascii="Arial" w:hAnsi="Arial" w:eastAsia="Noto Sans CJK SC"/>
          <w:b/>
        </w:rPr>
        <w:t>下面这段可直接作为团队沟通口径：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370"/>
      </w:tblGrid>
      <w:tr>
        <w:tc>
          <w:tcPr>
            <w:tcW w:type="dxa" w:w="10370"/>
            <w:shd w:fill="FFF2CC"/>
            <w:tcBorders>
              <w:top w:val="single" w:color="D6B656" w:sz="6"/>
              <w:left w:val="single" w:color="D6B656" w:sz="6"/>
              <w:bottom w:val="single" w:color="D6B656" w:sz="6"/>
              <w:right w:val="single" w:color="D6B656" w:sz="6"/>
            </w:tcBorders>
            <w:tcMar>
              <w:top w:w="180" w:type="dxa"/>
              <w:start w:w="220" w:type="dxa"/>
              <w:bottom w:w="180" w:type="dxa"/>
              <w:end w:w="220" w:type="dxa"/>
            </w:tcMar>
          </w:tcPr>
          <w:p>
            <w:pPr>
              <w:spacing w:line="283" w:lineRule="auto"/>
            </w:pPr>
            <w:r>
              <w:rPr>
                <w:rFonts w:ascii="Arial" w:hAnsi="Arial" w:eastAsia="Noto Sans CJK SC"/>
                <w:b w:val="0"/>
                <w:color w:val="000000"/>
                <w:sz w:val="21"/>
              </w:rPr>
              <w:t>产品开发部接下来不是做一堆零散项目，而是搭建一套 AI 原生的软硬一体产品交付系统。这套系统先从客户场景出发，再落到软件入口，再连接硬件设备，再用 AI 工程底座提升研发效率，最后通过演示、上线、录屏、手册和复盘沉淀为交付资产。每个人都要用同一套公式说明自己的位置：我服务哪个场景，属于哪个模块，连接哪个入口或设备，本周交付什么，沉淀什么资产，用什么指标证明有效。这样团队才能从个人救火，变成体系交付；从传统开发，升级为 AICoding 工程师团队。</w:t>
            </w:r>
          </w:p>
        </w:tc>
      </w:tr>
    </w:tbl>
    <w:p>
      <w:pPr>
        <w:spacing w:after="40"/>
      </w:pPr>
    </w:p>
    <w:p>
      <w:pPr>
        <w:pStyle w:val="Heading1"/>
        <w:spacing w:before="200" w:after="100"/>
      </w:pPr>
      <w:r>
        <w:rPr>
          <w:rFonts w:ascii="Arial" w:hAnsi="Arial" w:eastAsia="Noto Sans CJK SC"/>
          <w:b/>
          <w:color w:val="1F4E79"/>
          <w:sz w:val="30"/>
        </w:rPr>
        <w:t>附：新版结构与旧版结构的差异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85"/>
        <w:gridCol w:w="5185"/>
      </w:tblGrid>
      <w:tr>
        <w:tc>
          <w:tcPr>
            <w:tcW w:type="dxa" w:w="1701"/>
            <w:shd w:fill="1F4E79"/>
            <w:vAlign w:val="center"/>
            <w:tcMar>
              <w:top w:w="100" w:type="dxa"/>
              <w:start w:w="100" w:type="dxa"/>
              <w:bottom w:w="100" w:type="dxa"/>
              <w:end w:w="100" w:type="dxa"/>
            </w:tcMar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8"/>
              </w:rPr>
              <w:t>项目</w:t>
            </w:r>
          </w:p>
        </w:tc>
        <w:tc>
          <w:tcPr>
            <w:tcW w:type="dxa" w:w="7937"/>
            <w:shd w:fill="1F4E79"/>
            <w:vAlign w:val="center"/>
            <w:tcMar>
              <w:top w:w="100" w:type="dxa"/>
              <w:start w:w="100" w:type="dxa"/>
              <w:bottom w:w="100" w:type="dxa"/>
              <w:end w:w="100" w:type="dxa"/>
            </w:tcMar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jc w:val="center"/>
            </w:pPr>
            <w:r>
              <w:rPr>
                <w:rFonts w:ascii="Arial" w:hAnsi="Arial" w:eastAsia="Noto Sans CJK SC"/>
                <w:b/>
                <w:color w:val="FFFFFF"/>
                <w:sz w:val="18"/>
              </w:rPr>
              <w:t>说明</w:t>
            </w:r>
          </w:p>
        </w:tc>
      </w:tr>
      <w:tr>
        <w:tc>
          <w:tcPr>
            <w:tcW w:type="dxa" w:w="1701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旧版问题</w:t>
            </w:r>
          </w:p>
        </w:tc>
        <w:tc>
          <w:tcPr>
            <w:tcW w:type="dxa" w:w="7937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项目、人员、软件、硬件、AI 混在一起，信息完整但层级不够稳定。</w:t>
            </w:r>
          </w:p>
        </w:tc>
      </w:tr>
      <w:tr>
        <w:tc>
          <w:tcPr>
            <w:tcW w:type="dxa" w:w="1701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shd w:fill="F8FBFD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新版改法</w:t>
            </w:r>
          </w:p>
        </w:tc>
        <w:tc>
          <w:tcPr>
            <w:tcW w:type="dxa" w:w="7937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shd w:fill="F8FBFD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先总后分：一条总公式统领，再拆成五个建设模块，每个模块用一个公式表达。</w:t>
            </w:r>
          </w:p>
        </w:tc>
      </w:tr>
      <w:tr>
        <w:tc>
          <w:tcPr>
            <w:tcW w:type="dxa" w:w="1701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管理价值</w:t>
            </w:r>
          </w:p>
        </w:tc>
        <w:tc>
          <w:tcPr>
            <w:tcW w:type="dxa" w:w="7937"/>
            <w:tcMar>
              <w:top w:w="80" w:type="dxa"/>
              <w:start w:w="100" w:type="dxa"/>
              <w:bottom w:w="80" w:type="dxa"/>
              <w:end w:w="100" w:type="dxa"/>
            </w:tcMar>
            <w:vAlign w:val="top"/>
            <w:tcBorders>
              <w:top w:val="single" w:color="D9E2F3" w:sz="4"/>
              <w:left w:val="single" w:color="D9E2F3" w:sz="4"/>
              <w:bottom w:val="single" w:color="D9E2F3" w:sz="4"/>
              <w:right w:val="single" w:color="D9E2F3" w:sz="4"/>
            </w:tcBorders>
          </w:tcPr>
          <w:p>
            <w:pPr>
              <w:spacing w:after="0" w:line="252" w:lineRule="auto"/>
            </w:pPr>
            <w:r>
              <w:rPr>
                <w:rFonts w:ascii="Arial" w:hAnsi="Arial" w:eastAsia="Noto Sans CJK SC"/>
                <w:sz w:val="17"/>
              </w:rPr>
              <w:t>后续无论新增项目、人员、设备还是 AI 工具，都可以按同一套模板填进去。</w:t>
            </w:r>
          </w:p>
        </w:tc>
      </w:tr>
    </w:tbl>
    <w:p>
      <w:pPr>
        <w:spacing w:after="40"/>
      </w:pPr>
    </w:p>
    <w:p>
      <w:pPr>
        <w:spacing w:after="120" w:line="278" w:lineRule="auto"/>
      </w:pPr>
      <w:r>
        <w:rPr>
          <w:rFonts w:ascii="Arial" w:hAnsi="Arial" w:eastAsia="Noto Sans CJK SC"/>
          <w:color w:val="666666"/>
          <w:sz w:val="18"/>
        </w:rPr>
        <w:t>资料依据：根据《AI项目进展同步与团队能力共建会议》会议纪要与会议原文整理。</w:t>
      </w:r>
    </w:p>
    <w:sectPr w:rsidR="00FC693F" w:rsidRPr="0006063C" w:rsidSect="00034616">
      <w:footerReference w:type="default" r:id="rId9"/>
      <w:pgSz w:w="12240" w:h="15840"/>
      <w:pgMar w:top="850" w:right="935" w:bottom="794" w:left="93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Noto Sans CJK SC"/>
        <w:color w:val="808080"/>
        <w:sz w:val="16"/>
      </w:rPr>
      <w:t>产品开发部规划蓝图（逻辑重构版）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8" w:lineRule="auto" w:after="120"/>
    </w:pPr>
    <w:rPr>
      <w:rFonts w:ascii="Arial" w:hAnsi="Arial" w:eastAsia="Noto Sans CJK SC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80"/>
      <w:outlineLvl w:val="0"/>
    </w:pPr>
    <w:rPr>
      <w:rFonts w:asciiTheme="majorHAnsi" w:eastAsiaTheme="majorEastAsia" w:hAnsiTheme="majorHAnsi" w:cstheme="majorBidi" w:ascii="Arial" w:hAnsi="Arial" w:eastAsia="Noto Sans CJK SC"/>
      <w:b/>
      <w:bCs/>
      <w:color w:val="1F4E79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20" w:after="80"/>
      <w:outlineLvl w:val="1"/>
    </w:pPr>
    <w:rPr>
      <w:rFonts w:asciiTheme="majorHAnsi" w:eastAsiaTheme="majorEastAsia" w:hAnsiTheme="majorHAnsi" w:cstheme="majorBidi" w:ascii="Arial" w:hAnsi="Arial" w:eastAsia="Noto Sans CJK SC"/>
      <w:b/>
      <w:bCs/>
      <w:color w:val="365F91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20" w:after="80"/>
      <w:outlineLvl w:val="2"/>
    </w:pPr>
    <w:rPr>
      <w:rFonts w:asciiTheme="majorHAnsi" w:eastAsiaTheme="majorEastAsia" w:hAnsiTheme="majorHAnsi" w:cstheme="majorBidi" w:ascii="Arial" w:hAnsi="Arial" w:eastAsia="Noto Sans CJK SC"/>
      <w:b/>
      <w:bCs/>
      <w:color w:val="365F9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after="40"/>
      <w:contextualSpacing/>
    </w:pPr>
    <w:rPr>
      <w:rFonts w:ascii="Arial" w:hAnsi="Arial" w:eastAsia="Noto Sans CJK SC"/>
      <w:sz w:val="21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spacing w:after="40"/>
      <w:contextualSpacing/>
    </w:pPr>
    <w:rPr>
      <w:rFonts w:ascii="Arial" w:hAnsi="Arial" w:eastAsia="Noto Sans CJK SC"/>
      <w:sz w:val="21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产品开发部规划蓝图（逻辑重构版）</dc:title>
  <dc:subject>产品开发部规划、软件硬件蓝图、AI工程化、交付资产化</dc:subject>
  <dc:creator>OpenAI</dc:creator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