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0" Type="http://schemas.openxmlformats.org/officeDocument/2006/relationships/officeDocument" Target="word/document.xml" /><Relationship Id="rId1" Type="http://schemas.openxmlformats.org/package/2006/relationships/metadata/core-properties" Target="docProps/core.xml" /></Relationships>
</file>

<file path=word/document.xml><?xml version="1.0" encoding="utf-8"?>
<w:document xmlns:pic="http://schemas.openxmlformats.org/drawingml/2006/picture" xmlns:wp="http://schemas.openxmlformats.org/drawingml/2006/wordprocessingDrawing" xmlns:a="http://schemas.openxmlformats.org/drawingml/2006/main" xmlns:w="http://schemas.openxmlformats.org/wordprocessingml/2006/main" xmlns:r="http://schemas.openxmlformats.org/officeDocument/2006/relationships">
  <w:body>
    <w:p>
      <w:pPr>
        <w:snapToGrid/>
        <w:spacing w:line="420"/>
        <w:jc w:val="center"/>
        <w:rPr/>
      </w:pPr>
      <w:r>
        <w:rPr>
          <w:b/>
          <w:i w:val="false"/>
          <w:strike w:val="false"/>
          <w:color w:val="000000"/>
          <w:sz w:val="42"/>
          <w:u w:val="none"/>
        </w:rPr>
        <w:t>产品开发部工作管理规范</w:t>
      </w:r>
    </w:p>
    <w:p>
      <w:pPr>
        <w:pStyle w:val="556bzz"/>
        <w:rPr/>
      </w:pPr>
      <w:r>
        <w:rPr>
          <w:b/>
          <w:i w:val="false"/>
          <w:strike w:val="false"/>
          <w:color w:val="000000"/>
          <w:sz w:val="30"/>
          <w:u w:val="none"/>
        </w:rPr>
        <w:t>一、原则</w:t>
      </w:r>
    </w:p>
    <w:p>
      <w:pPr>
        <w:snapToGrid/>
        <w:spacing w:line="420"/>
        <w:jc w:val="left"/>
        <w:rPr/>
      </w:pPr>
      <w:r>
        <w:rPr>
          <w:i w:val="false"/>
          <w:strike w:val="false"/>
          <w:color w:val="000000"/>
          <w:sz w:val="21"/>
          <w:u w:val="none"/>
        </w:rPr>
        <w:t>1.1、人和事，在人的视角，体现周一到周五每天都有任务；在事的视角，体现重要紧急任务都有规划，不耽误事；</w:t>
      </w:r>
    </w:p>
    <w:p>
      <w:pPr>
        <w:snapToGrid/>
        <w:spacing w:line="420"/>
        <w:jc w:val="left"/>
        <w:rPr/>
      </w:pPr>
      <w:r>
        <w:rPr>
          <w:i w:val="false"/>
          <w:strike w:val="false"/>
          <w:color w:val="000000"/>
          <w:sz w:val="21"/>
          <w:u w:val="none"/>
        </w:rPr>
        <w:t>1.2、总监的角度追踪事情，确保重要紧急的事情都在规划和执行，落实到经理身上；</w:t>
      </w:r>
    </w:p>
    <w:p>
      <w:pPr>
        <w:snapToGrid/>
        <w:spacing w:line="420"/>
        <w:jc w:val="left"/>
        <w:rPr/>
      </w:pPr>
      <w:r>
        <w:rPr>
          <w:i w:val="false"/>
          <w:strike w:val="false"/>
          <w:color w:val="000000"/>
          <w:sz w:val="21"/>
          <w:u w:val="none"/>
        </w:rPr>
        <w:t>1.3、经理的角度分解事情到人，确保每个人工作负荷合理，不会过满，不会太闲；</w:t>
      </w:r>
    </w:p>
    <w:p>
      <w:pPr>
        <w:pStyle w:val="556bzz"/>
        <w:rPr/>
      </w:pPr>
      <w:r>
        <w:rPr>
          <w:b/>
          <w:i w:val="false"/>
          <w:strike w:val="false"/>
          <w:color w:val="000000"/>
          <w:sz w:val="30"/>
          <w:u w:val="none"/>
        </w:rPr>
        <w:t>二、工具</w:t>
      </w:r>
    </w:p>
    <w:p>
      <w:pPr>
        <w:snapToGrid/>
        <w:spacing w:line="420"/>
        <w:ind w:firstLine="420"/>
        <w:jc w:val="left"/>
        <w:rPr/>
      </w:pPr>
      <w:r>
        <w:rPr>
          <w:i w:val="false"/>
          <w:strike w:val="false"/>
          <w:color w:val="000000"/>
          <w:sz w:val="21"/>
          <w:u w:val="none"/>
        </w:rPr>
        <w:t>采用企业微信中的表格进行任务追踪，采用阿里云云效进行代码管理和需求管理，采用Sonarqube进行代码质量控制。</w:t>
      </w:r>
    </w:p>
    <w:p>
      <w:pPr>
        <w:pStyle w:val="556bzz"/>
        <w:rPr/>
      </w:pPr>
      <w:r>
        <w:rPr>
          <w:b/>
          <w:i w:val="false"/>
          <w:strike w:val="false"/>
          <w:color w:val="000000"/>
          <w:sz w:val="30"/>
          <w:u w:val="none"/>
        </w:rPr>
        <w:t>三、总监管理粒度</w:t>
      </w:r>
    </w:p>
    <w:p>
      <w:pPr>
        <w:pStyle w:val="1gm6ez"/>
        <w:rPr/>
      </w:pPr>
      <w:r>
        <w:rPr>
          <w:b/>
          <w:i w:val="false"/>
          <w:strike w:val="false"/>
          <w:color w:val="000000"/>
          <w:sz w:val="24"/>
          <w:u w:val="none"/>
        </w:rPr>
        <w:t>3.1、管理内容划分标准</w:t>
      </w:r>
    </w:p>
    <w:p>
      <w:pPr>
        <w:snapToGrid/>
        <w:spacing w:line="420"/>
        <w:ind w:firstLine="420"/>
        <w:jc w:val="left"/>
        <w:rPr/>
      </w:pPr>
      <w:r>
        <w:rPr>
          <w:i w:val="false"/>
          <w:strike w:val="false"/>
          <w:color w:val="000000"/>
          <w:sz w:val="21"/>
          <w:u w:val="none"/>
        </w:rPr>
        <w:t>划分为项目和标准产品线两类，即分为两类表格。</w:t>
      </w:r>
    </w:p>
    <w:p>
      <w:pPr>
        <w:pStyle w:val="1gm6ez"/>
        <w:rPr/>
      </w:pPr>
      <w:r>
        <w:rPr>
          <w:b/>
          <w:i w:val="false"/>
          <w:strike w:val="false"/>
          <w:color w:val="000000"/>
          <w:sz w:val="24"/>
          <w:u w:val="none"/>
        </w:rPr>
        <w:t>3.2、项目表格</w:t>
      </w:r>
    </w:p>
    <w:p>
      <w:pPr>
        <w:pBdr>
          <w:bottom/>
        </w:pBdr>
        <w:snapToGrid/>
        <w:spacing w:line="420"/>
        <w:ind w:firstLine="420"/>
        <w:jc w:val="left"/>
        <w:rPr/>
      </w:pPr>
      <w:r>
        <w:rPr>
          <w:i w:val="false"/>
          <w:strike w:val="false"/>
          <w:color w:val="000000"/>
          <w:sz w:val="21"/>
          <w:u w:val="none"/>
        </w:rPr>
        <w:t>将项目以阶段划分为三类，分别是签订合同的项目、未签订合同的项目以及运营中的项目。项目表格记录每个阶段的项目，表格范围从需求跟踪到上线运营为止。如图3.1所示是</w:t>
      </w:r>
      <w:r>
        <w:rPr>
          <w:rStyle w:val="c4c4qo"/>
        </w:rPr>
        <w:fldChar w:fldCharType="begin"/>
      </w:r>
      <w:r>
        <w:rPr>
          <w:rStyle w:val="c4c4qo"/>
        </w:rPr>
        <w:instrText xml:space="preserve">HYPERLINK https://doc.weixin.qq.com/sheet/e3_Ac0AJgaVAEYSXzJRDNeRJeq0LkPbR?scode=AEIAwQdFAAcDBtdVvPAc0AJgaVAEY&amp;tab=11zsxs docLink \tdkey ssthyq \tdfe 1 \tdfu https://doc.weixin.qq.com/sheet/e3_Ac0AJgaVAEYSXzJRDNeRJeq0LkPbR?scode=AEIAwQdFAAcDBtdVvPAc0AJgaVAEY&amp;tab=11zsxs \tdft Doc \tdfid s.1970324958986562.665398590BEf_e3.67334712602wI \tdfn %u5B9E%u65BD%u8BA1%u52122023 \tdlt inline \tdlf FromPaste \undefined s.1970324958986562.665398590BEf </w:instrText>
      </w:r>
      <w:r>
        <w:rPr>
          <w:rStyle w:val="c4c4qo"/>
        </w:rPr>
        <w:fldChar w:fldCharType="separate"/>
      </w:r>
      <w:r>
        <w:rPr>
          <w:rStyle w:val="c4c4qo"/>
        </w:rPr>
        <w:t>实施计划2023</w:t>
      </w:r>
      <w:r>
        <w:rPr>
          <w:rStyle w:val="c4c4qo"/>
        </w:rPr>
        <w:fldChar w:fldCharType="end"/>
      </w:r>
      <w:r>
        <w:rPr>
          <w:i w:val="false"/>
          <w:strike w:val="false"/>
          <w:color w:val="000000"/>
          <w:sz w:val="21"/>
          <w:u w:val="none"/>
        </w:rPr>
        <w:t>，从宏观角度查看上周各个项目的执行情况，以及下周各个项目的规划情况。</w:t>
      </w:r>
    </w:p>
    <w:p>
      <w:pPr>
        <w:rPr/>
      </w:pPr>
      <w:r>
        <w:rPr>
          <w:i w:val="false"/>
          <w:strike w:val="false"/>
          <w:color w:val="000000"/>
          <w:sz w:val="21"/>
          <w:u w:val="none"/>
        </w:rPr>
        <w:t xml:space="preserve">  </w:t>
      </w:r>
      <w:r>
        <w:rPr/>
        <w:drawing>
          <wp:inline distT="0" distB="0" distL="0" distR="0">
            <wp:extent cx="5760085" cy="3407896"/>
            <wp:effectExtent l="0" t="0" r="0" b="0"/>
            <wp:docPr id="2" name="picture" descr="descript"/>
            <wp:cNvGraphicFramePr/>
            <a:graphic>
              <a:graphicData uri="http://schemas.openxmlformats.org/drawingml/2006/picture">
                <pic:pic>
                  <pic:nvPicPr>
                    <pic:cNvPr id="3" name="picture" descr="descript"/>
                    <pic:cNvPicPr/>
                  </pic:nvPicPr>
                  <pic:blipFill rotWithShape="true">
                    <a:blip r:embed="rId3"/>
                    <a:stretch/>
                  </pic:blipFill>
                  <pic:spPr>
                    <a:xfrm>
                      <a:off x="0" y="0"/>
                      <a:ext cx="5760085" cy="3407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napToGrid/>
        <w:spacing w:line="420"/>
        <w:jc w:val="left"/>
        <w:rPr/>
      </w:pPr>
    </w:p>
    <w:p>
      <w:pPr>
        <w:snapToGrid/>
        <w:spacing w:line="420"/>
        <w:ind w:firstLine="420"/>
        <w:jc w:val="center"/>
        <w:rPr/>
      </w:pPr>
      <w:r>
        <w:rPr>
          <w:i w:val="false"/>
          <w:strike w:val="false"/>
          <w:color w:val="000000"/>
          <w:sz w:val="21"/>
          <w:u w:val="none"/>
        </w:rPr>
        <w:t>图3.1 项目跟踪表</w:t>
      </w:r>
    </w:p>
    <w:p>
      <w:pPr>
        <w:pStyle w:val="r236eq"/>
        <w:rPr/>
      </w:pPr>
      <w:r>
        <w:rPr>
          <w:b/>
          <w:i w:val="false"/>
          <w:strike w:val="false"/>
          <w:color w:val="000000"/>
          <w:sz w:val="21"/>
          <w:u w:val="none"/>
        </w:rPr>
        <w:t>3.2.1、签订合同的项目</w:t>
      </w:r>
    </w:p>
    <w:p>
      <w:pPr>
        <w:snapToGrid/>
        <w:spacing w:line="420"/>
        <w:ind w:firstLine="420"/>
        <w:jc w:val="left"/>
        <w:rPr/>
      </w:pPr>
      <w:r>
        <w:rPr>
          <w:i w:val="false"/>
          <w:strike w:val="false"/>
          <w:color w:val="000000"/>
          <w:sz w:val="21"/>
          <w:u w:val="none"/>
        </w:rPr>
        <w:t>如果需要查看每个项目的具体情况，可以点击项目链接，直接跳转到该项目的进度表。下面以北京健身汇项目举例，该项目在微盘有自己的知识库，便于采集项目实施过程中的组织过程资产。重点关注项目进度表，如图3.2所示是北京健身汇项目的进度表，该表格通常由项目负责人管理，作为面向事业部的周汇报素材。通过该表格能够明确知晓该项目当前进展及偏差，若产生偏差需要项目负责人给出偏差分析，风险清单及应对措施。</w:t>
      </w:r>
    </w:p>
    <w:p>
      <w:pPr>
        <w:rPr/>
      </w:pPr>
    </w:p>
    <w:p>
      <w:pPr>
        <w:rPr/>
      </w:pPr>
      <w:r>
        <w:rPr>
          <w:i w:val="false"/>
          <w:strike w:val="false"/>
          <w:color w:val="000000"/>
          <w:sz w:val="21"/>
          <w:u w:val="none"/>
        </w:rPr>
        <w:t xml:space="preserve">    </w:t>
      </w:r>
      <w:r>
        <w:rPr/>
        <w:drawing>
          <wp:inline distT="0" distB="0" distL="0" distR="0">
            <wp:extent cx="5760085" cy="2345841"/>
            <wp:effectExtent l="0" t="0" r="0" b="0"/>
            <wp:docPr id="5" name="picture" descr="descript"/>
            <wp:cNvGraphicFramePr/>
            <a:graphic>
              <a:graphicData uri="http://schemas.openxmlformats.org/drawingml/2006/picture">
                <pic:pic>
                  <pic:nvPicPr>
                    <pic:cNvPr id="6" name="picture" descr="descript"/>
                    <pic:cNvPicPr/>
                  </pic:nvPicPr>
                  <pic:blipFill rotWithShape="true">
                    <a:blip r:embed="rId4"/>
                    <a:stretch/>
                  </pic:blipFill>
                  <pic:spPr>
                    <a:xfrm>
                      <a:off x="0" y="0"/>
                      <a:ext cx="5760085" cy="2345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napToGrid/>
        <w:spacing w:line="420"/>
        <w:jc w:val="left"/>
        <w:rPr/>
      </w:pPr>
    </w:p>
    <w:p>
      <w:pPr>
        <w:snapToGrid/>
        <w:spacing w:line="420"/>
        <w:ind w:firstLine="420"/>
        <w:jc w:val="center"/>
        <w:rPr/>
      </w:pPr>
      <w:r>
        <w:rPr>
          <w:i w:val="false"/>
          <w:strike w:val="false"/>
          <w:color w:val="000000"/>
          <w:sz w:val="21"/>
          <w:u w:val="none"/>
        </w:rPr>
        <w:t>图3.2 北京健身汇项目的进度表</w:t>
      </w:r>
    </w:p>
    <w:p>
      <w:pPr>
        <w:pStyle w:val="r236eq"/>
        <w:rPr/>
      </w:pPr>
      <w:r>
        <w:rPr>
          <w:b/>
          <w:i w:val="false"/>
          <w:strike w:val="false"/>
          <w:color w:val="000000"/>
          <w:sz w:val="21"/>
          <w:u w:val="none"/>
        </w:rPr>
        <w:t>3.2.2、未签订合同的项目</w:t>
      </w:r>
    </w:p>
    <w:p>
      <w:pPr>
        <w:snapToGrid/>
        <w:spacing w:line="420"/>
        <w:ind w:firstLine="420"/>
        <w:jc w:val="left"/>
        <w:rPr/>
      </w:pPr>
      <w:r>
        <w:rPr>
          <w:i w:val="false"/>
          <w:strike w:val="false"/>
          <w:color w:val="000000"/>
          <w:sz w:val="21"/>
          <w:u w:val="none"/>
        </w:rPr>
        <w:t>技术人员配合销售人员做一些项目的前期研判工作，例如技术可行性研究报告、项目招标技术评分报告、项目报价单等。这类文档作为未签订合同的项目文档，统一放入【数科技术部-010 未排期项目汇总】中。如图3.3所示，是技术人员给内蒙古体科所提供的项目报价单。</w:t>
      </w:r>
    </w:p>
    <w:p>
      <w:pPr>
        <w:pBdr>
          <w:bottom/>
        </w:pBdr>
        <w:rPr/>
      </w:pPr>
      <w:r>
        <w:rPr/>
        <w:drawing>
          <wp:inline distT="0" distB="0" distL="0" distR="0">
            <wp:extent cx="5760085" cy="3172103"/>
            <wp:effectExtent l="0" t="0" r="0" b="0"/>
            <wp:docPr id="8" name="picture" descr="descript"/>
            <wp:cNvGraphicFramePr/>
            <a:graphic>
              <a:graphicData uri="http://schemas.openxmlformats.org/drawingml/2006/picture">
                <pic:pic>
                  <pic:nvPicPr>
                    <pic:cNvPr id="9" name="picture" descr="descript"/>
                    <pic:cNvPicPr/>
                  </pic:nvPicPr>
                  <pic:blipFill rotWithShape="true">
                    <a:blip r:embed="rId5"/>
                    <a:stretch/>
                  </pic:blipFill>
                  <pic:spPr>
                    <a:xfrm>
                      <a:off x="0" y="0"/>
                      <a:ext cx="5760085" cy="3172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napToGrid/>
        <w:spacing w:line="420"/>
        <w:ind w:firstLine="420"/>
        <w:jc w:val="center"/>
        <w:rPr/>
      </w:pPr>
      <w:r>
        <w:rPr>
          <w:i w:val="false"/>
          <w:strike w:val="false"/>
          <w:color w:val="000000"/>
          <w:sz w:val="21"/>
          <w:u w:val="none"/>
        </w:rPr>
        <w:t>图3.3 内蒙古体科所项目报价单</w:t>
      </w:r>
    </w:p>
    <w:p>
      <w:pPr>
        <w:pStyle w:val="r236eq"/>
        <w:rPr/>
      </w:pPr>
      <w:r>
        <w:rPr>
          <w:b/>
          <w:i w:val="false"/>
          <w:strike w:val="false"/>
          <w:color w:val="000000"/>
          <w:sz w:val="21"/>
          <w:u w:val="none"/>
        </w:rPr>
        <w:t>3.2.3、运营中的项目</w:t>
      </w:r>
    </w:p>
    <w:p>
      <w:pPr>
        <w:snapToGrid/>
        <w:spacing w:line="420"/>
        <w:ind w:firstLine="420"/>
        <w:jc w:val="left"/>
        <w:rPr/>
      </w:pPr>
      <w:r>
        <w:rPr>
          <w:i w:val="false"/>
          <w:strike w:val="false"/>
          <w:color w:val="000000"/>
          <w:sz w:val="21"/>
          <w:u w:val="none"/>
        </w:rPr>
        <w:t>运营中的项目工作范围较小，涉及岗位较少，因此运营中的项目均纳入标准产品线表格管理。</w:t>
      </w:r>
    </w:p>
    <w:p>
      <w:pPr>
        <w:pStyle w:val="1gm6ez"/>
        <w:rPr/>
      </w:pPr>
      <w:r>
        <w:rPr>
          <w:b/>
          <w:i w:val="false"/>
          <w:strike w:val="false"/>
          <w:color w:val="000000"/>
          <w:sz w:val="24"/>
          <w:u w:val="none"/>
        </w:rPr>
        <w:t>3.3、标准产品线表格</w:t>
      </w:r>
    </w:p>
    <w:p>
      <w:pPr>
        <w:pBdr>
          <w:bottom/>
        </w:pBdr>
        <w:snapToGrid/>
        <w:spacing w:line="420"/>
        <w:ind w:firstLine="420"/>
        <w:jc w:val="left"/>
        <w:rPr/>
      </w:pPr>
      <w:r>
        <w:rPr>
          <w:i w:val="false"/>
          <w:strike w:val="false"/>
          <w:color w:val="000000"/>
          <w:sz w:val="21"/>
          <w:u w:val="none"/>
        </w:rPr>
        <w:t>标准产品线的内容以及日常管理的内容均记录到《实施计划2023》表格中，表格位于【数科技术部-005 持续集成与敏捷研发-001 阶段性成果&amp;规划- 2023年】，分为智慧餐厅产品线和科训产品线两个sheet页，如图3.4所示是《实施计划2023》表格。</w:t>
      </w:r>
    </w:p>
    <w:p>
      <w:pPr>
        <w:pBdr>
          <w:bottom/>
        </w:pBdr>
        <w:rPr/>
      </w:pPr>
      <w:r>
        <w:rPr>
          <w:i w:val="false"/>
          <w:strike w:val="false"/>
          <w:color w:val="000000"/>
          <w:sz w:val="21"/>
          <w:u w:val="none"/>
        </w:rPr>
        <w:drawing>
          <wp:inline distT="0" distB="0" distL="0" distR="0">
            <wp:extent cx="5760085" cy="3806997"/>
            <wp:effectExtent l="0" t="0" r="0" b="0"/>
            <wp:docPr id="11" name="picture" descr="descript"/>
            <wp:cNvGraphicFramePr/>
            <a:graphic>
              <a:graphicData uri="http://schemas.openxmlformats.org/drawingml/2006/picture">
                <pic:pic>
                  <pic:nvPicPr>
                    <pic:cNvPr id="12" name="picture" descr="descript"/>
                    <pic:cNvPicPr/>
                  </pic:nvPicPr>
                  <pic:blipFill rotWithShape="true">
                    <a:blip r:embed="rId6"/>
                    <a:stretch/>
                  </pic:blipFill>
                  <pic:spPr>
                    <a:xfrm>
                      <a:off x="0" y="0"/>
                      <a:ext cx="5760085" cy="3806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napToGrid/>
        <w:spacing w:line="420"/>
        <w:ind w:firstLine="420"/>
        <w:jc w:val="center"/>
        <w:rPr/>
      </w:pPr>
      <w:r>
        <w:rPr>
          <w:i w:val="false"/>
          <w:strike w:val="false"/>
          <w:color w:val="000000"/>
          <w:sz w:val="21"/>
          <w:u w:val="none"/>
        </w:rPr>
        <w:t>图3.4 《实施计划2023》表格</w:t>
      </w:r>
    </w:p>
    <w:p>
      <w:pPr>
        <w:snapToGrid/>
        <w:spacing w:line="420"/>
        <w:ind w:firstLine="420"/>
        <w:jc w:val="left"/>
        <w:rPr/>
      </w:pPr>
      <w:r>
        <w:rPr>
          <w:i w:val="false"/>
          <w:strike w:val="false"/>
          <w:color w:val="000000"/>
          <w:sz w:val="21"/>
          <w:u w:val="none"/>
        </w:rPr>
        <w:t>每位经理在跟踪长期的任务时，可以创建自己的管理表格，以自研智慧餐厅膳食智能台为例，洪博管理的安卓端，可以创建如下3.5所示的表格。</w:t>
      </w:r>
    </w:p>
    <w:p>
      <w:pPr>
        <w:snapToGrid/>
        <w:spacing w:line="420"/>
        <w:jc w:val="left"/>
        <w:rPr/>
      </w:pPr>
      <w:r>
        <w:rPr/>
        <w:drawing>
          <wp:inline distT="0" distB="0" distL="0" distR="0">
            <wp:extent cx="5760085" cy="3097940"/>
            <wp:effectExtent l="0" t="0" r="0" b="0"/>
            <wp:docPr id="14" name="picture" descr="descript"/>
            <wp:cNvGraphicFramePr/>
            <a:graphic>
              <a:graphicData uri="http://schemas.openxmlformats.org/drawingml/2006/picture">
                <pic:pic>
                  <pic:nvPicPr>
                    <pic:cNvPr id="15" name="picture" descr="descript"/>
                    <pic:cNvPicPr/>
                  </pic:nvPicPr>
                  <pic:blipFill rotWithShape="true">
                    <a:blip r:embed="rId7"/>
                    <a:stretch/>
                  </pic:blipFill>
                  <pic:spPr>
                    <a:xfrm>
                      <a:off x="0" y="0"/>
                      <a:ext cx="5760085" cy="3097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napToGrid/>
        <w:spacing w:line="420"/>
        <w:ind w:firstLine="420"/>
        <w:jc w:val="center"/>
        <w:rPr/>
      </w:pPr>
      <w:r>
        <w:rPr>
          <w:i w:val="false"/>
          <w:strike w:val="false"/>
          <w:color w:val="000000"/>
          <w:sz w:val="21"/>
          <w:u w:val="none"/>
        </w:rPr>
        <w:t>图3.5 自研方案2月计划表</w:t>
      </w:r>
    </w:p>
    <w:p>
      <w:pPr>
        <w:pStyle w:val="556bzz"/>
        <w:rPr/>
      </w:pPr>
      <w:r>
        <w:rPr>
          <w:b/>
          <w:i w:val="false"/>
          <w:strike w:val="false"/>
          <w:color w:val="000000"/>
          <w:sz w:val="30"/>
          <w:u w:val="none"/>
        </w:rPr>
        <w:t>四、经理管理粒度</w:t>
      </w:r>
    </w:p>
    <w:p>
      <w:pPr>
        <w:snapToGrid/>
        <w:spacing w:line="420"/>
        <w:ind w:firstLine="420"/>
        <w:jc w:val="left"/>
        <w:rPr/>
      </w:pPr>
      <w:r>
        <w:rPr>
          <w:i w:val="false"/>
          <w:strike w:val="false"/>
          <w:color w:val="000000"/>
          <w:sz w:val="21"/>
          <w:u w:val="none"/>
        </w:rPr>
        <w:t>经理要把标准产品和项目任务分解到具体的人身上，确保对齐每个人每天的任务，以达到如下目的：</w:t>
      </w:r>
    </w:p>
    <w:p>
      <w:pPr>
        <w:snapToGrid/>
        <w:spacing w:line="420"/>
        <w:ind w:firstLine="420"/>
        <w:jc w:val="left"/>
        <w:rPr/>
      </w:pPr>
      <w:r>
        <w:rPr>
          <w:i w:val="false"/>
          <w:strike w:val="false"/>
          <w:color w:val="000000"/>
          <w:sz w:val="21"/>
          <w:u w:val="none"/>
        </w:rPr>
        <w:t>1）安排部门各个人员的工作，要把任务落实到每天每人，识别出任务优先级，确保不会因为任务的阻塞导致资源的浪费，判断每个人每天的工作量是否饱满，若负荷过多则减少工作量，若不饱满则增加工作量；</w:t>
      </w:r>
    </w:p>
    <w:p>
      <w:pPr>
        <w:snapToGrid/>
        <w:spacing w:line="420"/>
        <w:ind w:firstLine="420"/>
        <w:jc w:val="left"/>
        <w:rPr/>
      </w:pPr>
      <w:r>
        <w:rPr>
          <w:i w:val="false"/>
          <w:strike w:val="false"/>
          <w:color w:val="000000"/>
          <w:sz w:val="21"/>
          <w:u w:val="none"/>
        </w:rPr>
        <w:t>2）判断工作衔接时是否会造成人力资源浪费，例如前后端对接时，前端开发需要3天，后端开发需要5天，则识别出前端开发人员有2天的富裕时间，就需要安排新任务；</w:t>
      </w:r>
    </w:p>
    <w:p>
      <w:pPr>
        <w:snapToGrid/>
        <w:spacing w:line="420"/>
        <w:ind w:firstLine="420"/>
        <w:jc w:val="left"/>
        <w:rPr/>
      </w:pPr>
      <w:r>
        <w:rPr>
          <w:i w:val="false"/>
          <w:strike w:val="false"/>
          <w:color w:val="000000"/>
          <w:sz w:val="21"/>
          <w:u w:val="none"/>
        </w:rPr>
        <w:t>3）通过组长表格来判断团队绩效，判断的依据是参与项目的难易程度、岗位、贡献、工作量，各个项目的对比、各个人员的对比；（各个项目的对比、各个人员的对比，关注什么？参考读懂一组数据的关键指标，平均值；中位值；标准差；标准分；数据分析的图表和数据挖掘；）</w:t>
      </w:r>
    </w:p>
    <w:p>
      <w:pPr>
        <w:snapToGrid/>
        <w:spacing w:line="420"/>
        <w:ind w:firstLine="420"/>
        <w:jc w:val="left"/>
        <w:rPr/>
      </w:pPr>
      <w:r>
        <w:rPr>
          <w:i w:val="false"/>
          <w:strike w:val="false"/>
          <w:color w:val="000000"/>
          <w:sz w:val="21"/>
          <w:u w:val="none"/>
        </w:rPr>
        <w:t>4）通过组长表格来判断人员绩效，如果某个人超额完成任务就能拿到高绩效，并让其总结方法到QA笔记中；如果任务延期则能判断是工作态度问题还是工作能力问题。若是能力问题则提供指导，让其总结到QA笔记中。这些QA笔记能让个人能力沉淀成为组织能力；</w:t>
      </w:r>
    </w:p>
    <w:p>
      <w:pPr>
        <w:snapToGrid/>
        <w:spacing w:line="420"/>
        <w:ind w:firstLine="420"/>
        <w:jc w:val="left"/>
        <w:rPr/>
      </w:pPr>
      <w:r>
        <w:rPr>
          <w:i w:val="false"/>
          <w:strike w:val="false"/>
          <w:color w:val="000000"/>
          <w:sz w:val="21"/>
          <w:u w:val="none"/>
        </w:rPr>
        <w:t>5）传递事业部的事情，先在组长级别达成理解一致，再在部门达成理解一致。</w:t>
      </w:r>
    </w:p>
    <w:p>
      <w:pPr>
        <w:snapToGrid/>
        <w:spacing w:line="420"/>
        <w:ind w:firstLine="420"/>
        <w:jc w:val="left"/>
        <w:rPr/>
      </w:pPr>
      <w:r>
        <w:rPr>
          <w:i w:val="false"/>
          <w:strike w:val="false"/>
          <w:color w:val="000000"/>
          <w:sz w:val="21"/>
          <w:u w:val="none"/>
        </w:rPr>
        <w:t>如图4.1是组长周计划&amp;总结文档，原则上每周组长需要开一次组长会，就上述内容达成理解一致。</w:t>
      </w:r>
    </w:p>
    <w:p>
      <w:pPr>
        <w:snapToGrid/>
        <w:spacing w:line="420"/>
        <w:jc w:val="left"/>
        <w:rPr/>
      </w:pPr>
      <w:r>
        <w:rPr/>
        <w:drawing>
          <wp:inline distT="0" distB="0" distL="0" distR="0">
            <wp:extent cx="5760085" cy="4113176"/>
            <wp:effectExtent l="0" t="0" r="0" b="0"/>
            <wp:docPr id="17" name="picture" descr="descript"/>
            <wp:cNvGraphicFramePr/>
            <a:graphic>
              <a:graphicData uri="http://schemas.openxmlformats.org/drawingml/2006/picture">
                <pic:pic>
                  <pic:nvPicPr>
                    <pic:cNvPr id="18" name="picture" descr="descript"/>
                    <pic:cNvPicPr/>
                  </pic:nvPicPr>
                  <pic:blipFill rotWithShape="true">
                    <a:blip r:embed="rId8"/>
                    <a:stretch/>
                  </pic:blipFill>
                  <pic:spPr>
                    <a:xfrm>
                      <a:off x="0" y="0"/>
                      <a:ext cx="5760085" cy="4113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napToGrid/>
        <w:spacing w:line="420"/>
        <w:ind w:firstLine="420"/>
        <w:jc w:val="center"/>
        <w:rPr/>
      </w:pPr>
      <w:r>
        <w:rPr>
          <w:i w:val="false"/>
          <w:strike w:val="false"/>
          <w:color w:val="000000"/>
          <w:sz w:val="21"/>
          <w:u w:val="none"/>
        </w:rPr>
        <w:t>图4.1 组长周计划&amp;总结文档</w:t>
      </w:r>
    </w:p>
    <w:p>
      <w:pPr>
        <w:pStyle w:val="rdbvau"/>
        <w:numPr/>
        <w:jc w:val="left"/>
        <w:rPr/>
      </w:pPr>
    </w:p>
    <w:p>
      <w:pPr>
        <w:pStyle w:val="ablt93"/>
        <w:rPr/>
      </w:pPr>
    </w:p>
    <w:sectPr>
      <w:pgSz w:w="11905" w:h="16838"/>
      <w:pgMar w:top="1361" w:right="1417" w:bottom="1361" w:left="1417"/>
    </w:sectPr>
  </w:body>
</w:document>
</file>

<file path=word/fontTable.xml><?xml version="1.0" encoding="utf-8"?>
<w:fonts xmlns:w="http://schemas.openxmlformats.org/wordprocessingml/2006/main"/>
</file>

<file path=word/settings.xml><?xml version="1.0" encoding="utf-8"?>
<w:settings xmlns:w14="http://schemas.microsoft.com/office/word/2010/wordml" xmlns:w15="http://schemas.microsoft.com/office/word/2012/wordml" xmlns:w="http://schemas.openxmlformats.org/wordprocessingml/2006/main" xmlns:m="http://schemas.openxmlformats.org/officeDocument/2006/math" xmlns:mc="http://schemas.openxmlformats.org/markup-compatibility/2006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doNotLeaveBackslashAlone/>
    <w:ulTrailSpace/>
    <w:doNotExpandShiftReturn/>
    <w:adjustLineHeightInTable/>
    <w:useFELayout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compatibilityMode" w:uri="http://schemas.microsoft.com/office/word" w:val="15"/>
    <w:compatSetting w:name="enableOpenTypeFeature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3A0"/>
    <w:rsid w:val="00680AC3"/>
    <w:rsid w:val="007452DF"/>
    <w:rsid w:val="00E023A0"/>
  </w:rsids>
  <m:mathPr>
    <m:mathFont m:val="Cambria Math"/>
    <m:brkBin m:val="before"/>
    <m:brkBinSub m:val="--"/>
    <m:smallFrac m:val="false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CB54FC"/>
  <w15:chartTrackingRefBased/>
  <w15:docId w15:val="{0549D595-5F3E-9A49-832F-E7DF37783478}"/>
</w:settings>
</file>

<file path=word/styles.xml><?xml version="1.0" encoding="utf-8"?>
<w:styles xmlns:w="http://schemas.openxmlformats.org/wordprocessingml/2006/main">
  <w:docDefaults>
    <w:rPrDefault>
      <w:rPr>
        <w:rFonts w:ascii="minorHAnsi" w:hAnsi="minorHAnsi" w:eastAsia="minorEastAsia" w:cstheme="minorBidi"/>
        <w:color w:val="333333"/>
        <w:kern w:val="2"/>
        <w:sz w:val="22"/>
        <w:szCs w:val="22"/>
      </w:rPr>
    </w:rPrDefault>
    <w:pPrDefault>
      <w:pPr>
        <w:snapToGrid w:val="false"/>
        <w:spacing w:before="60" w:after="60" w:line="312" w:lineRule="auto"/>
      </w:pPr>
    </w:pPrDefault>
  </w:docDefaults>
  <w:style w:type="paragraph" w:styleId="r236eq">
    <w:name w:val="heading 4"/>
    <w:basedOn w:val="ablt93"/>
    <w:next w:val="ablt93"/>
    <w:uiPriority w:val="9"/>
    <w:qFormat/>
    <w:pPr>
      <w:keepNext/>
      <w:keepLines/>
      <w:spacing w:before="0" w:after="0" w:line="408" w:lineRule="auto"/>
      <w:outlineLvl w:val="3"/>
    </w:pPr>
    <w:rPr>
      <w:b/>
      <w:bCs/>
      <w:color w:val="1A1A1A"/>
      <w:sz w:val="24"/>
      <w:szCs w:val="24"/>
    </w:rPr>
  </w:style>
  <w:style w:type="character" w:styleId="kwx8zb" w:default="true">
    <w:name w:val="Default Paragraph Font"/>
    <w:basedOn w:val=""/>
    <w:next w:val=""/>
    <w:uiPriority w:val="1"/>
    <w:semiHidden/>
    <w:unhideWhenUsed/>
  </w:style>
  <w:style w:type="paragraph" w:styleId="1gm6ez">
    <w:name w:val="heading 3"/>
    <w:basedOn w:val="ablt93"/>
    <w:next w:val="ablt93"/>
    <w:uiPriority w:val="9"/>
    <w:qFormat/>
    <w:pPr>
      <w:keepNext/>
      <w:keepLines/>
      <w:spacing w:before="0" w:after="0" w:line="408" w:lineRule="auto"/>
      <w:outlineLvl w:val="2"/>
    </w:pPr>
    <w:rPr>
      <w:b/>
      <w:bCs/>
      <w:color w:val="1A1A1A"/>
      <w:sz w:val="28"/>
      <w:szCs w:val="28"/>
    </w:rPr>
  </w:style>
  <w:style w:type="character" w:styleId="c4c4qo">
    <w:name w:val="Hyperlink"/>
    <w:basedOn w:val="kwx8zb"/>
    <w:next w:val=""/>
    <w:uiPriority w:val="99"/>
    <w:unhideWhenUsed/>
    <w:rPr>
      <w:color w:val="1E6FFF" w:themeColor="hyperlink"/>
      <w:u w:val="single"/>
    </w:rPr>
  </w:style>
  <w:style w:type="paragraph" w:styleId="556bzz">
    <w:name w:val="heading 2"/>
    <w:basedOn w:val="ablt93"/>
    <w:next w:val="ablt93"/>
    <w:uiPriority w:val="9"/>
    <w:qFormat/>
    <w:pPr>
      <w:keepNext/>
      <w:keepLines/>
      <w:spacing w:before="0" w:after="0" w:line="408" w:lineRule="auto"/>
      <w:outlineLvl w:val="1"/>
    </w:pPr>
    <w:rPr>
      <w:b/>
      <w:bCs/>
      <w:color w:val="1A1A1A"/>
      <w:sz w:val="32"/>
      <w:szCs w:val="32"/>
    </w:rPr>
  </w:style>
  <w:style w:type="paragraph" w:styleId="ablt93" w:default="true">
    <w:name w:val="Normal"/>
    <w:pPr>
      <w:widowControl w:val="false"/>
      <w:jc w:val="left"/>
    </w:pPr>
  </w:style>
  <w:style w:type="paragraph" w:styleId="rdbvau">
    <w:name w:val="Title"/>
    <w:basedOn w:val="ablt93"/>
    <w:next w:val="ablt93"/>
    <w:uiPriority w:val="9"/>
    <w:qFormat/>
    <w:pPr>
      <w:keepNext/>
      <w:keepLines/>
      <w:spacing w:before="0" w:after="0" w:line="408" w:lineRule="auto"/>
      <w:jc w:val="center"/>
      <w:outlineLvl w:val="0"/>
    </w:pPr>
    <w:rPr>
      <w:b/>
      <w:bCs/>
      <w:color w:val="1A1A1A"/>
      <w:sz w:val="48"/>
      <w:szCs w:val="48"/>
    </w:rPr>
  </w:style>
</w:styles>
</file>

<file path=word/_rels/document.xml.rels><?xml version="1.0" encoding="UTF-8" standalone="yes"?><Relationships xmlns="http://schemas.openxmlformats.org/package/2006/relationships"><Relationship Id="rId7" Type="http://schemas.openxmlformats.org/officeDocument/2006/relationships/image" Target="media/image5.png" /><Relationship Id="rId6" Type="http://schemas.openxmlformats.org/officeDocument/2006/relationships/image" Target="media/image4.png" /><Relationship Id="rId8" Type="http://schemas.openxmlformats.org/officeDocument/2006/relationships/image" Target="media/image6.png" /><Relationship Id="rId0" Type="http://schemas.openxmlformats.org/officeDocument/2006/relationships/styles" Target="styles.xml" /><Relationship Id="rId2" Type="http://schemas.openxmlformats.org/officeDocument/2006/relationships/fontTable" Target="fontTable.xml" /><Relationship Id="rId1" Type="http://schemas.openxmlformats.org/officeDocument/2006/relationships/settings" Target="settings.xml" /><Relationship Id="rId4" Type="http://schemas.openxmlformats.org/officeDocument/2006/relationships/image" Target="media/image2.png" /><Relationship Id="rId3" Type="http://schemas.openxmlformats.org/officeDocument/2006/relationships/image" Target="media/image1.png" /><Relationship Id="rId5" Type="http://schemas.openxmlformats.org/officeDocument/2006/relationships/image" Target="media/image3.png" /></Relationships>
</file>

<file path=docProps/app.xml><?xml version="1.0" encoding="utf-8"?>
<Properties xmlns:vt="http://schemas.openxmlformats.org/officeDocument/2006/docPropsVTypes" xmlns="http://schemas.openxmlformats.org/officeDocument/2006/extended-properties">
  <Application>Tencent office</Application>
</Properties>
</file>

<file path=docProps/core.xml><?xml version="1.0" encoding="utf-8"?>
<cp:coreProperties xmlns:xsi="http://www.w3.org/2001/XMLSchema-instance" xmlns:dcmitype="http://purl.org/dc/dcmitype/" xmlns:dcterms="http://purl.org/dc/terms/" xmlns:cp="http://schemas.openxmlformats.org/package/2006/metadata/core-properties" xmlns:dc="http://purl.org/dc/elements/1.1/">
  <dcterms:created xsi:type="dcterms:W3CDTF">2026-05-13T09:48:10Z</dcterms:created>
  <dcterms:modified xsi:type="dcterms:W3CDTF">2026-05-13T09:48:10Z</dcterms:modified>
</cp:coreProperties>
</file>