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100" w:after="160"/>
      </w:pPr>
      <w:r>
        <w:rPr>
          <w:b/>
          <w:color w:val="E45B2B"/>
          <w:sz w:val="20"/>
        </w:rPr>
        <w:t>CPT · SMART CANTEEN</w:t>
      </w:r>
    </w:p>
    <w:p>
      <w:pPr>
        <w:spacing w:after="200"/>
      </w:pPr>
      <w:r>
        <w:rPr>
          <w:b/>
          <w:color w:val="123F34"/>
          <w:sz w:val="56"/>
        </w:rPr>
        <w:t>智慧食堂两分钟产品介绍视频脚本与分镜</w:t>
      </w:r>
    </w:p>
    <w:p>
      <w:pPr>
        <w:spacing w:after="440"/>
      </w:pPr>
      <w:r>
        <w:rPr>
          <w:color w:val="66736E"/>
          <w:sz w:val="26"/>
        </w:rPr>
        <w:t>政企版、学校版可直接录制；配套五页轻介绍PPT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1728"/>
            <w:shd w:fill="EAF4E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b/>
              </w:rPr>
              <w:t>适用对象</w:t>
            </w:r>
          </w:p>
        </w:tc>
        <w:tc>
          <w:tcPr>
            <w:tcW w:type="dxa" w:w="73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t>市场 / 销售 / 视频制作</w:t>
            </w:r>
          </w:p>
        </w:tc>
      </w:tr>
      <w:tr>
        <w:tc>
          <w:tcPr>
            <w:tcW w:type="dxa" w:w="1728"/>
            <w:shd w:fill="EAF4E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b/>
              </w:rPr>
              <w:t>使用级别</w:t>
            </w:r>
          </w:p>
        </w:tc>
        <w:tc>
          <w:tcPr>
            <w:tcW w:type="dxa" w:w="73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t>对外脚本需市场审核</w:t>
            </w:r>
          </w:p>
        </w:tc>
      </w:tr>
      <w:tr>
        <w:tc>
          <w:tcPr>
            <w:tcW w:type="dxa" w:w="1728"/>
            <w:shd w:fill="EAF4E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b/>
              </w:rPr>
              <w:t>版本日期</w:t>
            </w:r>
          </w:p>
        </w:tc>
        <w:tc>
          <w:tcPr>
            <w:tcW w:type="dxa" w:w="73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t>2026-08-05</w:t>
            </w:r>
          </w:p>
        </w:tc>
      </w:tr>
    </w:tbl>
    <w:p/>
    <w:p>
      <w:pPr>
        <w:pStyle w:val="Heading1"/>
      </w:pPr>
      <w:r>
        <w:t>政企版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4EF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r>
              <w:rPr>
                <w:b/>
                <w:color w:val="0B6B57"/>
              </w:rPr>
              <w:t>开场旁白</w:t>
              <w:br/>
            </w:r>
            <w:r>
              <w:t>食堂不仅要快，更要让职工吃得健康、让后勤运营透明、让每一笔餐补和成本有据可查。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8"/>
        <w:gridCol w:w="2498"/>
        <w:gridCol w:w="2498"/>
        <w:gridCol w:w="2498"/>
      </w:tblGrid>
      <w:tr>
        <w:trPr>
          <w:tblHeader w:val="true"/>
        </w:trPr>
        <w:tc>
          <w:tcPr>
            <w:tcW w:type="dxa" w:w="1152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b/>
                <w:color w:val="123F34"/>
                <w:sz w:val="16"/>
              </w:rPr>
              <w:t>时间</w:t>
            </w:r>
          </w:p>
        </w:tc>
        <w:tc>
          <w:tcPr>
            <w:tcW w:type="dxa" w:w="18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b/>
                <w:color w:val="123F34"/>
                <w:sz w:val="16"/>
              </w:rPr>
              <w:t>画面主题</w:t>
            </w:r>
          </w:p>
        </w:tc>
        <w:tc>
          <w:tcPr>
            <w:tcW w:type="dxa" w:w="5184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b/>
                <w:color w:val="123F34"/>
                <w:sz w:val="16"/>
              </w:rPr>
              <w:t>旁白/字幕要点</w:t>
            </w:r>
          </w:p>
        </w:tc>
        <w:tc>
          <w:tcPr>
            <w:tcW w:type="dxa" w:w="1728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b/>
                <w:color w:val="123F34"/>
                <w:sz w:val="16"/>
              </w:rPr>
              <w:t>推荐素材</w:t>
            </w:r>
          </w:p>
        </w:tc>
      </w:tr>
      <w:t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6"/>
              </w:rPr>
              <w:t>0—20秒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6"/>
              </w:rPr>
              <w:t>客户问题</w:t>
            </w:r>
          </w:p>
        </w:tc>
        <w:tc>
          <w:tcPr>
            <w:tcW w:type="dxa" w:w="51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6"/>
              </w:rPr>
              <w:t>高峰排队、餐补规则复杂、健康服务缺少数据、采购库存不透明。</w:t>
            </w:r>
          </w:p>
        </w:tc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6"/>
              </w:rPr>
              <w:t>产品界面、设备、项目现场或动画图形</w:t>
            </w:r>
          </w:p>
        </w:tc>
      </w:tr>
      <w:t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6"/>
              </w:rPr>
              <w:t>20—45秒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6"/>
              </w:rPr>
              <w:t>总体方案</w:t>
            </w:r>
          </w:p>
        </w:tc>
        <w:tc>
          <w:tcPr>
            <w:tcW w:type="dxa" w:w="51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6"/>
              </w:rPr>
              <w:t>一平台连接营养结算、食安监管和智慧进销存。</w:t>
            </w:r>
          </w:p>
        </w:tc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6"/>
              </w:rPr>
              <w:t>产品界面、设备、项目现场或动画图形</w:t>
            </w:r>
          </w:p>
        </w:tc>
      </w:tr>
      <w:t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6"/>
              </w:rPr>
              <w:t>45—80秒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6"/>
              </w:rPr>
              <w:t>餐前餐中餐后</w:t>
            </w:r>
          </w:p>
        </w:tc>
        <w:tc>
          <w:tcPr>
            <w:tcW w:type="dxa" w:w="51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6"/>
              </w:rPr>
              <w:t>餐前智能排菜和健康目标；餐中多场景快速结算与营养提示；餐后形成个人和团体报告。</w:t>
            </w:r>
          </w:p>
        </w:tc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6"/>
              </w:rPr>
              <w:t>产品界面、设备、项目现场或动画图形</w:t>
            </w:r>
          </w:p>
        </w:tc>
      </w:tr>
      <w:t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6"/>
              </w:rPr>
              <w:t>80—105秒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6"/>
              </w:rPr>
              <w:t>运营价值</w:t>
            </w:r>
          </w:p>
        </w:tc>
        <w:tc>
          <w:tcPr>
            <w:tcW w:type="dxa" w:w="51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6"/>
              </w:rPr>
              <w:t>经营、补贴、库存、成本和风险数据进入统一看板。</w:t>
            </w:r>
          </w:p>
        </w:tc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6"/>
              </w:rPr>
              <w:t>产品界面、设备、项目现场或动画图形</w:t>
            </w:r>
          </w:p>
        </w:tc>
      </w:tr>
      <w:t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6"/>
              </w:rPr>
              <w:t>105—120秒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6"/>
              </w:rPr>
              <w:t>行动号召</w:t>
            </w:r>
          </w:p>
        </w:tc>
        <w:tc>
          <w:tcPr>
            <w:tcW w:type="dxa" w:w="51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6"/>
              </w:rPr>
              <w:t>从一个食堂或一条餐线开始，形成可复制的数字后勤样板。</w:t>
            </w:r>
          </w:p>
        </w:tc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6"/>
              </w:rPr>
              <w:t>产品界面、设备、项目现场或动画图形</w:t>
            </w:r>
          </w:p>
        </w:tc>
      </w:tr>
    </w:tbl>
    <w:p>
      <w:pPr>
        <w:spacing w:after="40"/>
      </w:pPr>
    </w:p>
    <w:p>
      <w:r>
        <w:rPr>
          <w:b/>
        </w:rPr>
        <w:t>结尾旁白：</w:t>
      </w:r>
      <w:r>
        <w:t>康比特智慧营养健康食堂：结算更高效、营养可量化、食安可闭环、运营可分析。</w:t>
      </w:r>
    </w:p>
    <w:p>
      <w:pPr>
        <w:pStyle w:val="Heading1"/>
      </w:pPr>
      <w:r>
        <w:t>学校版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4EF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r>
              <w:rPr>
                <w:b/>
                <w:color w:val="0B6B57"/>
              </w:rPr>
              <w:t>开场旁白</w:t>
              <w:br/>
            </w:r>
            <w:r>
              <w:t>校园餐治理的目标不只是上线系统，而是让安全、经费、营养和家长信任都有数据依据。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8"/>
        <w:gridCol w:w="2498"/>
        <w:gridCol w:w="2498"/>
        <w:gridCol w:w="2498"/>
      </w:tblGrid>
      <w:tr>
        <w:trPr>
          <w:tblHeader w:val="true"/>
        </w:trPr>
        <w:tc>
          <w:tcPr>
            <w:tcW w:type="dxa" w:w="1152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b/>
                <w:color w:val="123F34"/>
                <w:sz w:val="16"/>
              </w:rPr>
              <w:t>时间</w:t>
            </w:r>
          </w:p>
        </w:tc>
        <w:tc>
          <w:tcPr>
            <w:tcW w:type="dxa" w:w="18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b/>
                <w:color w:val="123F34"/>
                <w:sz w:val="16"/>
              </w:rPr>
              <w:t>画面主题</w:t>
            </w:r>
          </w:p>
        </w:tc>
        <w:tc>
          <w:tcPr>
            <w:tcW w:type="dxa" w:w="5184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b/>
                <w:color w:val="123F34"/>
                <w:sz w:val="16"/>
              </w:rPr>
              <w:t>旁白/字幕要点</w:t>
            </w:r>
          </w:p>
        </w:tc>
        <w:tc>
          <w:tcPr>
            <w:tcW w:type="dxa" w:w="1728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b/>
                <w:color w:val="123F34"/>
                <w:sz w:val="16"/>
              </w:rPr>
              <w:t>推荐素材</w:t>
            </w:r>
          </w:p>
        </w:tc>
      </w:tr>
      <w:t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6"/>
              </w:rPr>
              <w:t>0—20秒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6"/>
              </w:rPr>
              <w:t>治理问题</w:t>
            </w:r>
          </w:p>
        </w:tc>
        <w:tc>
          <w:tcPr>
            <w:tcW w:type="dxa" w:w="51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6"/>
              </w:rPr>
              <w:t>风险靠抽查、台账重复填、经费证据分散、营养和体质脱节。</w:t>
            </w:r>
          </w:p>
        </w:tc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6"/>
              </w:rPr>
              <w:t>产品界面、设备、项目现场或动画图形</w:t>
            </w:r>
          </w:p>
        </w:tc>
      </w:tr>
      <w:t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6"/>
              </w:rPr>
              <w:t>20—45秒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6"/>
              </w:rPr>
              <w:t>总体方案</w:t>
            </w:r>
          </w:p>
        </w:tc>
        <w:tc>
          <w:tcPr>
            <w:tcW w:type="dxa" w:w="51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6"/>
              </w:rPr>
              <w:t>教委统一治理、学校按场景执行、终端自动采集、风险工单闭环。</w:t>
            </w:r>
          </w:p>
        </w:tc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6"/>
              </w:rPr>
              <w:t>产品界面、设备、项目现场或动画图形</w:t>
            </w:r>
          </w:p>
        </w:tc>
      </w:tr>
      <w:t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6"/>
              </w:rPr>
              <w:t>45—80秒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6"/>
              </w:rPr>
              <w:t>四条主线</w:t>
            </w:r>
          </w:p>
        </w:tc>
        <w:tc>
          <w:tcPr>
            <w:tcW w:type="dxa" w:w="51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6"/>
              </w:rPr>
              <w:t>食品安全、采购经费、学生营养、家校共治贯通。</w:t>
            </w:r>
          </w:p>
        </w:tc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6"/>
              </w:rPr>
              <w:t>产品界面、设备、项目现场或动画图形</w:t>
            </w:r>
          </w:p>
        </w:tc>
      </w:tr>
      <w:t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6"/>
              </w:rPr>
              <w:t>80—105秒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6"/>
              </w:rPr>
              <w:t>营养特色</w:t>
            </w:r>
          </w:p>
        </w:tc>
        <w:tc>
          <w:tcPr>
            <w:tcW w:type="dxa" w:w="51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6"/>
              </w:rPr>
              <w:t>分学段带量食谱、达标分析、体质标签和供餐优化。</w:t>
            </w:r>
          </w:p>
        </w:tc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6"/>
              </w:rPr>
              <w:t>产品界面、设备、项目现场或动画图形</w:t>
            </w:r>
          </w:p>
        </w:tc>
      </w:tr>
      <w:t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6"/>
              </w:rPr>
              <w:t>105—120秒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6"/>
              </w:rPr>
              <w:t>行动号召</w:t>
            </w:r>
          </w:p>
        </w:tc>
        <w:tc>
          <w:tcPr>
            <w:tcW w:type="dxa" w:w="51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6"/>
              </w:rPr>
              <w:t>从单校标准化开始，逐步形成区域校园餐数字治理平台。</w:t>
            </w:r>
          </w:p>
        </w:tc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6"/>
              </w:rPr>
              <w:t>产品界面、设备、项目现场或动画图形</w:t>
            </w:r>
          </w:p>
        </w:tc>
      </w:tr>
    </w:tbl>
    <w:p>
      <w:pPr>
        <w:spacing w:after="40"/>
      </w:pPr>
    </w:p>
    <w:p>
      <w:r>
        <w:rPr>
          <w:b/>
        </w:rPr>
        <w:t>结尾旁白：</w:t>
      </w:r>
      <w:r>
        <w:t>康比特校园食品安全与营养健康平台：风险看得见、责任能闭环、营养可计算、经费可追溯。</w:t>
      </w:r>
    </w:p>
    <w:p>
      <w:pPr>
        <w:pStyle w:val="Heading1"/>
      </w:pPr>
      <w:r>
        <w:t>制作规范</w:t>
      </w:r>
    </w:p>
    <w:p>
      <w:pPr>
        <w:pStyle w:val="ListBullet"/>
        <w:spacing w:after="80" w:line="300" w:lineRule="auto"/>
        <w:ind w:left="540" w:hanging="271"/>
      </w:pPr>
      <w:r>
        <w:t>总时长控制在110—125秒；每个镜头3—6秒。</w:t>
      </w:r>
    </w:p>
    <w:p>
      <w:pPr>
        <w:pStyle w:val="ListBullet"/>
        <w:spacing w:after="80" w:line="300" w:lineRule="auto"/>
        <w:ind w:left="540" w:hanging="271"/>
      </w:pPr>
      <w:r>
        <w:t>客户Logo、项目现场和量化数字须通过授权清单。</w:t>
      </w:r>
    </w:p>
    <w:p>
      <w:pPr>
        <w:pStyle w:val="ListBullet"/>
        <w:spacing w:after="80" w:line="300" w:lineRule="auto"/>
        <w:ind w:left="540" w:hanging="271"/>
      </w:pPr>
      <w:r>
        <w:t>字幕使用短句，单屏不超过两行；背景音乐不遮盖旁白。</w:t>
      </w:r>
    </w:p>
    <w:p>
      <w:pPr>
        <w:pStyle w:val="ListBullet"/>
        <w:spacing w:after="80" w:line="300" w:lineRule="auto"/>
        <w:ind w:left="540" w:hanging="271"/>
      </w:pPr>
      <w:r>
        <w:t>导出建议：1920×1080、H.264、25fps。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23" w:right="1123" w:bottom="1037" w:left="1123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736E"/>
        <w:sz w:val="16"/>
      </w:rPr>
      <w:t>内部统一版本 · 2026-08-05 · 对外使用前请核对证据与客户授权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color w:val="66736E"/>
        <w:sz w:val="17"/>
      </w:rPr>
      <w:t>康比特智慧营养健康餐厅 · 标准助销材料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Heiti SC" w:hAnsi="Heiti SC" w:eastAsia="Heiti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Heiti SC" w:hAnsi="Heiti SC" w:eastAsia="Heiti SC"/>
      <w:b/>
      <w:bCs/>
      <w:color w:val="245C8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Heiti SC" w:hAnsi="Heiti SC" w:eastAsia="Heiti SC"/>
      <w:b/>
      <w:bCs/>
      <w:color w:val="245C8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Heiti SC" w:hAnsi="Heiti SC" w:eastAsia="Heiti SC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