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 w:after="160"/>
      </w:pPr>
      <w:r>
        <w:rPr>
          <w:b/>
          <w:color w:val="E45B2B"/>
          <w:sz w:val="20"/>
        </w:rPr>
        <w:t>CPT · SMART CANTEEN</w:t>
      </w:r>
    </w:p>
    <w:p>
      <w:pPr>
        <w:spacing w:after="200"/>
      </w:pPr>
      <w:r>
        <w:rPr>
          <w:b/>
          <w:color w:val="123F34"/>
          <w:sz w:val="56"/>
        </w:rPr>
        <w:t>校园食品安全与营养健康数智化平台一页式产品介绍</w:t>
      </w:r>
    </w:p>
    <w:p>
      <w:pPr>
        <w:spacing w:after="440"/>
      </w:pPr>
      <w:r>
        <w:rPr>
          <w:color w:val="66736E"/>
          <w:sz w:val="26"/>
        </w:rPr>
        <w:t>让风险看得见、责任能闭环、营养可计算、经费可追溯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适用对象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客户领导 / 后勤 / 信息化 / 业务负责人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使用级别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公开可发（案例与数字需审核）</w:t>
            </w:r>
          </w:p>
        </w:tc>
      </w:tr>
      <w:tr>
        <w:tc>
          <w:tcPr>
            <w:tcW w:type="dxa" w:w="1728"/>
            <w:shd w:fill="EAF4EF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</w:rPr>
              <w:t>版本日期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t>2026-08-05</w:t>
            </w:r>
          </w:p>
        </w:tc>
      </w:tr>
    </w:tbl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0E8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产品定位</w:t>
              <w:br/>
            </w:r>
            <w:r>
              <w:t>校园食品安全与营养健康数智化平台以统一数据平台连接营养结算、智慧食安和采购库存，把食堂从设备与台账的集合，升级为可持续优化的业务闭环。</w:t>
            </w:r>
          </w:p>
        </w:tc>
      </w:tr>
    </w:tbl>
    <w:p>
      <w:pPr>
        <w:spacing w:after="40"/>
      </w:pPr>
    </w:p>
    <w:p>
      <w:pPr>
        <w:pStyle w:val="Heading1"/>
      </w:pPr>
      <w:r>
        <w:t>四项核心能力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448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能力</w:t>
            </w:r>
          </w:p>
        </w:tc>
        <w:tc>
          <w:tcPr>
            <w:tcW w:type="dxa" w:w="7344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b/>
                <w:color w:val="123F34"/>
                <w:sz w:val="17"/>
              </w:rPr>
              <w:t>客户获得的结果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教委一屏统管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风险地图、学校画像、工单督办、绩效评价和阳光公示。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学校食安闭环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晨检、留样、检测、明厨亮灶、巡检整改和电子台账。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学生营养治理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分学段带量食谱、营养达标分析、体质标签、餐前公示与餐后反馈。</w:t>
            </w:r>
          </w:p>
        </w:tc>
      </w:tr>
      <w:tr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采购经费透明</w:t>
            </w:r>
          </w:p>
        </w:tc>
        <w:tc>
          <w:tcPr>
            <w:tcW w:type="dxa" w:w="73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sz w:val="17"/>
              </w:rPr>
              <w:t>采购、验收、库存、票证、对账和审计证据链贯通。</w:t>
            </w:r>
          </w:p>
        </w:tc>
      </w:tr>
    </w:tbl>
    <w:p>
      <w:pPr>
        <w:spacing w:after="40"/>
      </w:pPr>
    </w:p>
    <w:p>
      <w:pPr>
        <w:pStyle w:val="Heading1"/>
      </w:pPr>
      <w:r>
        <w:t>适用对象</w:t>
      </w:r>
    </w:p>
    <w:p>
      <w:pPr>
        <w:pStyle w:val="ListBullet"/>
        <w:spacing w:after="80" w:line="300" w:lineRule="auto"/>
        <w:ind w:left="540" w:hanging="271"/>
      </w:pPr>
      <w:r>
        <w:t>教育主管部门</w:t>
      </w:r>
    </w:p>
    <w:p>
      <w:pPr>
        <w:pStyle w:val="ListBullet"/>
        <w:spacing w:after="80" w:line="300" w:lineRule="auto"/>
        <w:ind w:left="540" w:hanging="271"/>
      </w:pPr>
      <w:r>
        <w:t>中小学与高校</w:t>
      </w:r>
    </w:p>
    <w:p>
      <w:pPr>
        <w:pStyle w:val="ListBullet"/>
        <w:spacing w:after="80" w:line="300" w:lineRule="auto"/>
        <w:ind w:left="540" w:hanging="271"/>
      </w:pPr>
      <w:r>
        <w:t>集团校</w:t>
      </w:r>
    </w:p>
    <w:p>
      <w:pPr>
        <w:pStyle w:val="ListBullet"/>
        <w:spacing w:after="80" w:line="300" w:lineRule="auto"/>
        <w:ind w:left="540" w:hanging="271"/>
      </w:pPr>
      <w:r>
        <w:t>校园供餐单位</w:t>
      </w:r>
    </w:p>
    <w:p>
      <w:pPr>
        <w:pStyle w:val="Heading1"/>
      </w:pPr>
      <w:r>
        <w:t>参考案例</w:t>
      </w:r>
    </w:p>
    <w:p>
      <w:pPr>
        <w:pStyle w:val="ListBullet"/>
        <w:spacing w:after="80" w:line="300" w:lineRule="auto"/>
        <w:ind w:left="540" w:hanging="271"/>
      </w:pPr>
      <w:r>
        <w:t>北京旧宫、采育、兴海中学：进销存、AI巡检、智能留样和食安追溯。</w:t>
      </w:r>
    </w:p>
    <w:p>
      <w:pPr>
        <w:pStyle w:val="ListBullet"/>
        <w:spacing w:after="80" w:line="300" w:lineRule="auto"/>
        <w:ind w:left="540" w:hanging="271"/>
      </w:pPr>
      <w:r>
        <w:t>昌平区方案：教委治理、学校执行、数据采集和闭环整改四层架构。</w:t>
      </w:r>
    </w:p>
    <w:p>
      <w:pPr>
        <w:pStyle w:val="ListBullet"/>
        <w:spacing w:after="80" w:line="300" w:lineRule="auto"/>
        <w:ind w:left="540" w:hanging="271"/>
      </w:pPr>
      <w:r>
        <w:t>学校营养功能规划：带量食谱、营养分析、体质强化和成本欢迎度优化。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4E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b/>
                <w:color w:val="0B6B57"/>
              </w:rPr>
              <w:t>建议下一步</w:t>
              <w:br/>
            </w:r>
            <w:r>
              <w:t>安排一次30分钟需求交流，确认食堂数量、就餐人数、餐线模式、现有系统、重点问题、部署方式和计划时间，再输出标准配置建议。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92" w:bottom="648" w:left="79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736E"/>
        <w:sz w:val="16"/>
      </w:rPr>
      <w:t>内部统一版本 · 2026-08-05 · 对外使用前请核对证据与客户授权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color w:val="66736E"/>
        <w:sz w:val="17"/>
      </w:rPr>
      <w:t>康比特智慧营养健康餐厅 · 标准助销材料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Heiti SC" w:hAnsi="Heiti SC" w:eastAsia="Heiti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Heiti SC" w:hAnsi="Heiti SC" w:eastAsia="Heiti SC"/>
      <w:b/>
      <w:bCs/>
      <w:color w:val="245C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Heiti SC" w:hAnsi="Heiti SC" w:eastAsia="Heiti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