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 w:after="160"/>
      </w:pPr>
      <w:r>
        <w:rPr>
          <w:b/>
          <w:color w:val="E45B2B"/>
          <w:sz w:val="20"/>
        </w:rPr>
        <w:t>CPT · SMART CANTEEN</w:t>
      </w:r>
    </w:p>
    <w:p>
      <w:pPr>
        <w:spacing w:after="200"/>
      </w:pPr>
      <w:r>
        <w:rPr>
          <w:b/>
          <w:color w:val="123F34"/>
          <w:sz w:val="56"/>
        </w:rPr>
        <w:t>政企与学校智慧食堂产品演示脚本、验证计划及结果报告</w:t>
      </w:r>
    </w:p>
    <w:p>
      <w:pPr>
        <w:spacing w:after="440"/>
      </w:pPr>
      <w:r>
        <w:rPr>
          <w:color w:val="66736E"/>
          <w:sz w:val="26"/>
        </w:rPr>
        <w:t>演示前准备、现场路线、验证项和结果签认一体化模板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适用对象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售前 / 销售 / 客户项目组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使用级别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内部脚本；验证计划和报告可发客户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版本日期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2026-08-05</w:t>
            </w:r>
          </w:p>
        </w:tc>
      </w:tr>
    </w:tbl>
    <w:p/>
    <w:p>
      <w:pPr>
        <w:pStyle w:val="Heading1"/>
      </w:pPr>
      <w:r>
        <w:t>1. 演示目标与范围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rPr>
          <w:tblHeader w:val="true"/>
        </w:trPr>
        <w:tc>
          <w:tcPr>
            <w:tcW w:type="dxa" w:w="230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项目</w:t>
            </w:r>
          </w:p>
        </w:tc>
        <w:tc>
          <w:tcPr>
            <w:tcW w:type="dxa" w:w="748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填写内容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客户与项目</w:t>
            </w:r>
          </w:p>
        </w:tc>
        <w:tc>
          <w:tcPr>
            <w:tcW w:type="dxa" w:w="74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演示版本</w:t>
            </w:r>
          </w:p>
        </w:tc>
        <w:tc>
          <w:tcPr>
            <w:tcW w:type="dxa" w:w="74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□政企 □学校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重点场景</w:t>
            </w:r>
          </w:p>
        </w:tc>
        <w:tc>
          <w:tcPr>
            <w:tcW w:type="dxa" w:w="74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成功标准</w:t>
            </w:r>
          </w:p>
        </w:tc>
        <w:tc>
          <w:tcPr>
            <w:tcW w:type="dxa" w:w="74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明确不演示内容</w:t>
            </w:r>
          </w:p>
        </w:tc>
        <w:tc>
          <w:tcPr>
            <w:tcW w:type="dxa" w:w="74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2. 政企标准演示路线（30分钟）</w:t>
      </w:r>
    </w:p>
    <w:p>
      <w:pPr>
        <w:pStyle w:val="ListNumber"/>
        <w:spacing w:after="80"/>
        <w:ind w:left="540" w:hanging="271"/>
      </w:pPr>
      <w:r>
        <w:t>角色与业务总览：人员、账户、补贴和多食堂。</w:t>
      </w:r>
    </w:p>
    <w:p>
      <w:pPr>
        <w:pStyle w:val="ListNumber"/>
        <w:spacing w:after="80"/>
        <w:ind w:left="540" w:hanging="271"/>
      </w:pPr>
      <w:r>
        <w:t>餐前：菜品、营养配置、智能排菜和订餐。</w:t>
      </w:r>
    </w:p>
    <w:p>
      <w:pPr>
        <w:pStyle w:val="ListNumber"/>
        <w:spacing w:after="80"/>
        <w:ind w:left="540" w:hanging="271"/>
      </w:pPr>
      <w:r>
        <w:t>餐中：消费机/称重/AI识别结算和营养提示。</w:t>
      </w:r>
    </w:p>
    <w:p>
      <w:pPr>
        <w:pStyle w:val="ListNumber"/>
        <w:spacing w:after="80"/>
        <w:ind w:left="540" w:hanging="271"/>
      </w:pPr>
      <w:r>
        <w:t>餐后：订单、对账、个人与团体膳食分析。</w:t>
      </w:r>
    </w:p>
    <w:p>
      <w:pPr>
        <w:pStyle w:val="ListNumber"/>
        <w:spacing w:after="80"/>
        <w:ind w:left="540" w:hanging="271"/>
      </w:pPr>
      <w:r>
        <w:t>选配：食安预警、采购验收、库存与经营看板。</w:t>
      </w:r>
    </w:p>
    <w:p>
      <w:pPr>
        <w:pStyle w:val="Heading1"/>
      </w:pPr>
      <w:r>
        <w:t>3. 学校标准演示路线（30分钟）</w:t>
      </w:r>
    </w:p>
    <w:p>
      <w:pPr>
        <w:pStyle w:val="ListNumber"/>
        <w:spacing w:after="80"/>
        <w:ind w:left="540" w:hanging="271"/>
      </w:pPr>
      <w:r>
        <w:t>教委/学校驾驶舱：风险、学校画像、待办与整改。</w:t>
      </w:r>
    </w:p>
    <w:p>
      <w:pPr>
        <w:pStyle w:val="ListNumber"/>
        <w:spacing w:after="80"/>
        <w:ind w:left="540" w:hanging="271"/>
      </w:pPr>
      <w:r>
        <w:t>食品安全：明厨亮灶、晨检、留样、检测和工单闭环。</w:t>
      </w:r>
    </w:p>
    <w:p>
      <w:pPr>
        <w:pStyle w:val="ListNumber"/>
        <w:spacing w:after="80"/>
        <w:ind w:left="540" w:hanging="271"/>
      </w:pPr>
      <w:r>
        <w:t>采购经费：采购、验收、库存、票证和对账。</w:t>
      </w:r>
    </w:p>
    <w:p>
      <w:pPr>
        <w:pStyle w:val="ListNumber"/>
        <w:spacing w:after="80"/>
        <w:ind w:left="540" w:hanging="271"/>
      </w:pPr>
      <w:r>
        <w:t>学生营养：带量食谱、营养达标、体质标签和供餐优化。</w:t>
      </w:r>
    </w:p>
    <w:p>
      <w:pPr>
        <w:pStyle w:val="ListNumber"/>
        <w:spacing w:after="80"/>
        <w:ind w:left="540" w:hanging="271"/>
      </w:pPr>
      <w:r>
        <w:t>家校透明：食谱、公示、陪餐与反馈。</w:t>
      </w:r>
    </w:p>
    <w:p>
      <w:pPr>
        <w:pStyle w:val="Heading1"/>
      </w:pPr>
      <w:r>
        <w:t>4. 验证计划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64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编号</w:t>
            </w:r>
          </w:p>
        </w:tc>
        <w:tc>
          <w:tcPr>
            <w:tcW w:type="dxa" w:w="165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验证场景</w:t>
            </w:r>
          </w:p>
        </w:tc>
        <w:tc>
          <w:tcPr>
            <w:tcW w:type="dxa" w:w="14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前置条件</w:t>
            </w:r>
          </w:p>
        </w:tc>
        <w:tc>
          <w:tcPr>
            <w:tcW w:type="dxa" w:w="201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操作步骤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预期结果</w:t>
            </w:r>
          </w:p>
        </w:tc>
        <w:tc>
          <w:tcPr>
            <w:tcW w:type="dxa" w:w="158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实际结果</w:t>
            </w:r>
          </w:p>
        </w:tc>
        <w:tc>
          <w:tcPr>
            <w:tcW w:type="dxa" w:w="136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4"/>
              </w:rPr>
              <w:t>结论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1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2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3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4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5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6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7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8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9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  <w:t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10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4"/>
              </w:rPr>
              <w:t>□通过 □有条件 □不通过</w:t>
            </w:r>
          </w:p>
        </w:tc>
      </w:tr>
    </w:tbl>
    <w:p>
      <w:pPr>
        <w:spacing w:after="40"/>
      </w:pPr>
    </w:p>
    <w:p>
      <w:pPr>
        <w:pStyle w:val="Heading1"/>
      </w:pPr>
      <w:r>
        <w:t>5. 结果确认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rPr>
          <w:tblHeader w:val="true"/>
        </w:trPr>
        <w:tc>
          <w:tcPr>
            <w:tcW w:type="dxa" w:w="201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结论</w:t>
            </w:r>
          </w:p>
        </w:tc>
        <w:tc>
          <w:tcPr>
            <w:tcW w:type="dxa" w:w="777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说明</w:t>
            </w:r>
          </w:p>
        </w:tc>
      </w:tr>
      <w:tr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通过项</w:t>
            </w:r>
          </w:p>
        </w:tc>
        <w:tc>
          <w:tcPr>
            <w:tcW w:type="dxa" w:w="77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未通过/待优化项</w:t>
            </w:r>
          </w:p>
        </w:tc>
        <w:tc>
          <w:tcPr>
            <w:tcW w:type="dxa" w:w="77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非标需求</w:t>
            </w:r>
          </w:p>
        </w:tc>
        <w:tc>
          <w:tcPr>
            <w:tcW w:type="dxa" w:w="77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下一步</w:t>
            </w:r>
          </w:p>
        </w:tc>
        <w:tc>
          <w:tcPr>
            <w:tcW w:type="dxa" w:w="77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</w:r>
          </w:p>
        </w:tc>
      </w:tr>
      <w:tr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双方确认</w:t>
            </w:r>
          </w:p>
        </w:tc>
        <w:tc>
          <w:tcPr>
            <w:tcW w:type="dxa" w:w="77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客户：__________  我方：__________  日期：__________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E"/>
        <w:sz w:val="16"/>
      </w:rPr>
      <w:t>内部统一版本 · 2026-08-05 · 对外使用前请核对证据与客户授权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color w:val="66736E"/>
        <w:sz w:val="17"/>
      </w:rPr>
      <w:t>康比特智慧营养健康餐厅 · 标准助销材料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Heiti SC" w:hAnsi="Heiti SC" w:eastAsia="Heiti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Heiti SC" w:hAnsi="Heiti SC" w:eastAsia="Heiti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