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7F08B"/>
    <w:p w14:paraId="1B5FE025"/>
    <w:p w14:paraId="76940761"/>
    <w:p w14:paraId="1C6A2633"/>
    <w:p w14:paraId="69B1E30F"/>
    <w:p w14:paraId="2E32D6BC">
      <w:pPr>
        <w:pStyle w:val="31"/>
        <w:keepNext w:val="0"/>
        <w:keepLines w:val="0"/>
        <w:spacing w:before="0" w:after="160" w:line="240" w:lineRule="auto"/>
        <w:jc w:val="center"/>
      </w:pPr>
      <w:r>
        <w:rPr>
          <w:rFonts w:ascii="Noto Sans CJK SC" w:hAnsi="Noto Sans CJK SC" w:eastAsia="Noto Sans CJK SC" w:cs="Noto Sans CJK SC"/>
          <w:b/>
          <w:color w:val="1F3A5F"/>
          <w:sz w:val="48"/>
        </w:rPr>
        <w:t>平安云厨市级校园智慧团餐 SaaS 平台</w:t>
      </w:r>
    </w:p>
    <w:p w14:paraId="7D775347">
      <w:pPr>
        <w:pStyle w:val="26"/>
        <w:keepNext w:val="0"/>
        <w:keepLines w:val="0"/>
        <w:spacing w:before="0" w:after="320" w:line="240" w:lineRule="auto"/>
        <w:jc w:val="center"/>
      </w:pPr>
      <w:r>
        <w:rPr>
          <w:rFonts w:ascii="Noto Sans CJK SC" w:hAnsi="Noto Sans CJK SC" w:eastAsia="Noto Sans CJK SC" w:cs="Noto Sans CJK SC"/>
          <w:color w:val="626262"/>
          <w:sz w:val="27"/>
        </w:rPr>
        <w:t>产品需求文档（PRD）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7E618A35">
        <w:trPr>
          <w:jc w:val="center"/>
        </w:trPr>
        <w:tc>
          <w:tcPr>
            <w:tcW w:w="7257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EAF1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99FE0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2"/>
              </w:rPr>
              <w:t>正式交付版 | PRD 规范修订稿</w:t>
            </w:r>
          </w:p>
        </w:tc>
      </w:tr>
    </w:tbl>
    <w:p w14:paraId="3C27FC61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4FD36DBA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D9E5F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8B43E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文档版本</w:t>
            </w:r>
          </w:p>
        </w:tc>
        <w:tc>
          <w:tcPr>
            <w:tcW w:w="544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F533E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20"/>
              </w:rPr>
              <w:t>V1.2</w:t>
            </w:r>
          </w:p>
        </w:tc>
      </w:tr>
      <w:tr w14:paraId="323ABBC8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D9E5F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8AFBB3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文档状态</w:t>
            </w:r>
          </w:p>
        </w:tc>
        <w:tc>
          <w:tcPr>
            <w:tcW w:w="544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4ACA21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20"/>
              </w:rPr>
              <w:t>正式交付版</w:t>
            </w:r>
          </w:p>
        </w:tc>
      </w:tr>
      <w:tr w14:paraId="0A8876D4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D9E5F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7FAFF6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产出日期</w:t>
            </w:r>
          </w:p>
        </w:tc>
        <w:tc>
          <w:tcPr>
            <w:tcW w:w="544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2D0005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20"/>
              </w:rPr>
              <w:t>2026-04-08</w:t>
            </w:r>
          </w:p>
        </w:tc>
      </w:tr>
      <w:tr w14:paraId="1510723B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D9E5F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FE6BE0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适用范围</w:t>
            </w:r>
          </w:p>
        </w:tc>
        <w:tc>
          <w:tcPr>
            <w:tcW w:w="544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42F23B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20"/>
              </w:rPr>
              <w:t>平台治理端、学校治理与执行端、家长移动端、学生设备端、监管与经营协同端</w:t>
            </w:r>
          </w:p>
        </w:tc>
      </w:tr>
    </w:tbl>
    <w:p w14:paraId="6F536BEC"/>
    <w:p w14:paraId="47D5C5C5"/>
    <w:p w14:paraId="2C69D4B3"/>
    <w:p w14:paraId="11435B5F"/>
    <w:p w14:paraId="2423365E"/>
    <w:p w14:paraId="6ABC4B40"/>
    <w:p w14:paraId="2A6C3268">
      <w:pPr>
        <w:keepNext w:val="0"/>
        <w:keepLines w:val="0"/>
        <w:spacing w:before="0" w:after="0" w:line="240" w:lineRule="auto"/>
        <w:jc w:val="center"/>
      </w:pPr>
      <w:r>
        <w:rPr>
          <w:rFonts w:ascii="Noto Sans CJK SC" w:hAnsi="Noto Sans CJK SC" w:eastAsia="Noto Sans CJK SC" w:cs="Noto Sans CJK SC"/>
          <w:color w:val="626262"/>
          <w:sz w:val="19"/>
        </w:rPr>
        <w:t>本文件用于项目评审、方案对齐、原型深化、UML 建模与研发准备。</w:t>
      </w:r>
    </w:p>
    <w:p w14:paraId="72B8679F">
      <w:r>
        <w:br w:type="page"/>
      </w:r>
    </w:p>
    <w:p w14:paraId="057CFB8B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文档信息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3F42B3EB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FF3325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字段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221F9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内容</w:t>
            </w:r>
          </w:p>
        </w:tc>
      </w:tr>
      <w:tr w14:paraId="5B455BE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7CCA10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文档名称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152C9A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平安云厨市级校园智慧团餐 SaaS 平台产品需求文档</w:t>
            </w:r>
          </w:p>
        </w:tc>
      </w:tr>
      <w:tr w14:paraId="512C922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7B6DF6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文档版本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15CA81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V1.2</w:t>
            </w:r>
          </w:p>
        </w:tc>
      </w:tr>
      <w:tr w14:paraId="6E1C29AF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7FDFF6B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文档状态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43CAF2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正式交付版</w:t>
            </w:r>
          </w:p>
        </w:tc>
      </w:tr>
      <w:tr w14:paraId="5F859720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5FBB2E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阅读对象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D77F3A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项目管理方、业务方、产品、设计、研发、测试</w:t>
            </w:r>
          </w:p>
        </w:tc>
      </w:tr>
      <w:tr w14:paraId="716F42CD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3755EF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适用范围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2DE71B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平台治理端、学校治理与执行端、家长移动端、学生设备端、监管与经营协同端</w:t>
            </w:r>
          </w:p>
        </w:tc>
      </w:tr>
      <w:tr w14:paraId="57E8C1A1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FC915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关联交付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CAA5FD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原型、UML 图、前端骨架、后续接口清单、权限矩阵、测试用例</w:t>
            </w:r>
          </w:p>
        </w:tc>
      </w:tr>
    </w:tbl>
    <w:p w14:paraId="21CC7942"/>
    <w:p w14:paraId="3600547C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修订记录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2338"/>
        <w:gridCol w:w="2338"/>
        <w:gridCol w:w="2338"/>
      </w:tblGrid>
      <w:tr w14:paraId="7748269C">
        <w:trPr>
          <w:jc w:val="center"/>
        </w:trPr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2E4DECE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版本</w:t>
            </w:r>
          </w:p>
        </w:tc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35264DB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日期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4AA079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修订说明</w:t>
            </w:r>
          </w:p>
        </w:tc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855B5E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修订属性</w:t>
            </w:r>
          </w:p>
        </w:tc>
      </w:tr>
      <w:tr w14:paraId="28685899">
        <w:trPr>
          <w:jc w:val="center"/>
        </w:trPr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FADB2D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V1.1</w:t>
            </w:r>
          </w:p>
        </w:tc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F9C2231">
            <w:pPr>
              <w:keepNext w:val="0"/>
              <w:keepLines w:val="0"/>
              <w:spacing w:before="0" w:after="0" w:line="288" w:lineRule="auto"/>
              <w:jc w:val="center"/>
              <w:rPr>
                <w:rFonts w:hint="eastAsia" w:eastAsia="Noto Sans CJK SC"/>
                <w:lang w:val="en-US" w:eastAsia="zh-CN"/>
              </w:rPr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2026-04-0</w:t>
            </w:r>
            <w:r>
              <w:rPr>
                <w:rFonts w:hint="eastAsia" w:cs="Noto Sans CJK SC"/>
                <w:b w:val="0"/>
                <w:color w:val="2B2B2B"/>
                <w:sz w:val="18"/>
                <w:lang w:val="en-US" w:eastAsia="zh-CN"/>
              </w:rPr>
              <w:t>3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5CBB83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原始正式交付版。</w:t>
            </w:r>
          </w:p>
        </w:tc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E7D714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基线</w:t>
            </w:r>
          </w:p>
        </w:tc>
      </w:tr>
      <w:tr w14:paraId="540585B9">
        <w:trPr>
          <w:jc w:val="center"/>
        </w:trPr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CC53B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V1.2</w:t>
            </w:r>
          </w:p>
        </w:tc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4D0EEF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2026-04-08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5893F7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 PRD 规范重构章节；统一术语、断句和标点；补充规则、边界、验收与依赖；对原型图片进行清晰化处理。</w:t>
            </w:r>
          </w:p>
        </w:tc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AD7EF4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规范修订</w:t>
            </w:r>
          </w:p>
        </w:tc>
      </w:tr>
    </w:tbl>
    <w:p w14:paraId="44D33542"/>
    <w:p w14:paraId="1DB7BD76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文档使用说明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01B78BB8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6EDD4D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事项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A7CAD8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 w14:paraId="683E8823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758183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文档目的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E1C95F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统一项目范围、业务口径、页面边界、规则约束与验收标准，作为评审、设计、研发和测试的共同基线。</w:t>
            </w:r>
          </w:p>
        </w:tc>
      </w:tr>
      <w:tr w14:paraId="434B1048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583F50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阅读方式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0FE11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建议先阅读项目范围、角色与流程，再阅读功能需求、业务规则、权限边界和验收标准。</w:t>
            </w:r>
          </w:p>
        </w:tc>
      </w:tr>
      <w:tr w14:paraId="1F5E246B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FD215E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变更原则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B3C9C0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原型、UML、前端路由、接口清单与本 PRD 必须保持同口径；新增关键对象、状态或流程时，应同步更新本文。</w:t>
            </w:r>
          </w:p>
        </w:tc>
      </w:tr>
    </w:tbl>
    <w:p w14:paraId="0A0CD8E9"/>
    <w:p w14:paraId="0B05C035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目录</w:t>
      </w:r>
    </w:p>
    <w:p w14:paraId="67E1F123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1. 产品概述</w:t>
      </w:r>
    </w:p>
    <w:p w14:paraId="4F51E3B2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2. 项目范围</w:t>
      </w:r>
    </w:p>
    <w:p w14:paraId="3BA71E73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3. 用户角色与职责</w:t>
      </w:r>
    </w:p>
    <w:p w14:paraId="1FB9E86F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4. 总体方案</w:t>
      </w:r>
    </w:p>
    <w:p w14:paraId="16E6190C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5. 核心业务对象与状态</w:t>
      </w:r>
    </w:p>
    <w:p w14:paraId="01EFADF1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6. 核心业务流程</w:t>
      </w:r>
    </w:p>
    <w:p w14:paraId="37D36004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7. 功能需求</w:t>
      </w:r>
    </w:p>
    <w:p w14:paraId="506BD392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8. 页面与角色映射</w:t>
      </w:r>
    </w:p>
    <w:p w14:paraId="708C6B1F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9. 业务规则</w:t>
      </w:r>
    </w:p>
    <w:p w14:paraId="304B2DDF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10. 权限与数据边界</w:t>
      </w:r>
    </w:p>
    <w:p w14:paraId="2A62A52F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11. 数据、埋点与审计要求</w:t>
      </w:r>
    </w:p>
    <w:p w14:paraId="01B7F16C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12. 非功能要求</w:t>
      </w:r>
    </w:p>
    <w:p w14:paraId="6B5A8D96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13. 验收标准</w:t>
      </w:r>
    </w:p>
    <w:p w14:paraId="1530791D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14. 风险、依赖与待确认项</w:t>
      </w:r>
    </w:p>
    <w:p w14:paraId="2521F373">
      <w:pPr>
        <w:keepNext w:val="0"/>
        <w:keepLines w:val="0"/>
        <w:spacing w:before="0" w:after="40" w:line="288" w:lineRule="auto"/>
        <w:ind w:left="170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15. 实施建议</w:t>
      </w:r>
    </w:p>
    <w:p w14:paraId="6D44CD46">
      <w:r>
        <w:br w:type="page"/>
      </w:r>
    </w:p>
    <w:p w14:paraId="125EF926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1. 产品概述</w:t>
      </w:r>
    </w:p>
    <w:p w14:paraId="3B7119E4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1.1 文档目标</w:t>
      </w:r>
    </w:p>
    <w:p w14:paraId="3173DA37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本 PRD 用于统一平安云厨项目的建设目标、业务口径、页面边界、核心规则、数据范围与验收标准，支撑项目评审、方案对齐、原型深化、UML 建模、研发实施、测试验收和试点交付。</w:t>
      </w:r>
    </w:p>
    <w:p w14:paraId="492D4ED2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1.2 业务背景</w:t>
      </w:r>
    </w:p>
    <w:p w14:paraId="698E6BE8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平安云厨面向校园团餐场景，建设对象不是单一订餐小程序，也不是单一学校后台，而是覆盖“供餐配置—订餐支付—现场履约—资金对账—结算出金—监管闭环”的统一 SaaS 平台。项目推进过程中，真正影响上线质量的不是页面数量，而是不同角色对同一业务事件的理解是否一致。</w:t>
      </w:r>
    </w:p>
    <w:p w14:paraId="2F49E3C9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在现有方案中，家长端、学生设备端、学校后台和平台治理端同时参与业务闭环。若页面命名、业务对象、状态口径和异常处理不统一，容易出现“家长已支付、设备无法核销”“学校已发布餐单、前端不可见”“财务准备结算、对账仍存在差异”等问题。</w:t>
      </w:r>
    </w:p>
    <w:p w14:paraId="1AFF1C6B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1.3 产品定位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75863245">
        <w:trPr>
          <w:jc w:val="center"/>
        </w:trPr>
        <w:tc>
          <w:tcPr>
            <w:tcW w:w="9128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F7FAFF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2F867D3">
            <w:pPr>
              <w:keepNext w:val="0"/>
              <w:keepLines w:val="0"/>
              <w:spacing w:before="0" w:after="0" w:line="30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产品定位：</w:t>
            </w:r>
            <w:r>
              <w:rPr>
                <w:rFonts w:ascii="Noto Sans CJK SC" w:hAnsi="Noto Sans CJK SC" w:eastAsia="Noto Sans CJK SC" w:cs="Noto Sans CJK SC"/>
                <w:color w:val="2B2B2B"/>
                <w:sz w:val="20"/>
              </w:rPr>
              <w:t>构建覆盖多角色、多终端、多学校复制落地的校园智慧团餐平台，重点保障家长可订、学生可核销、学校可对账、平台可监管。</w:t>
            </w:r>
          </w:p>
        </w:tc>
      </w:tr>
    </w:tbl>
    <w:p w14:paraId="33D67FC3"/>
    <w:p w14:paraId="41F92E3C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1.4 建设目标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4517537D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EB6EF8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目标层级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7155D2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目标说明</w:t>
            </w:r>
          </w:p>
        </w:tc>
      </w:tr>
      <w:tr w14:paraId="6E0B30E4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0F7F25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总体目标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741675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建立可复制、可监管、可结算的校园团餐平台，形成统一需求基线并支撑后续多校复制。</w:t>
            </w:r>
          </w:p>
        </w:tc>
      </w:tr>
      <w:tr w14:paraId="5CABD160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B60763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阶段目标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2075C4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优先打通“发餐单—家长下单—学生取餐—后台记账—学校对账—学校出金”的主链路，避免关键环节断链。</w:t>
            </w:r>
          </w:p>
        </w:tc>
      </w:tr>
      <w:tr w14:paraId="1441D083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239DD8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结果指标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578AB0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家长订餐路径不超过 3 步；设备端核销反馈控制在 2 至 3 秒；订单、流水、核销和结算数据可自动关联；异常订单可定位来源和处理结果。</w:t>
            </w:r>
          </w:p>
        </w:tc>
      </w:tr>
    </w:tbl>
    <w:p w14:paraId="5A08B880"/>
    <w:p w14:paraId="00801EA1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2. 项目范围</w:t>
      </w:r>
    </w:p>
    <w:p w14:paraId="149CAFE7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2.1 本期建设范围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2BA6D2B3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73CD83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范围域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D36E69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纳入内容</w:t>
            </w:r>
          </w:p>
        </w:tc>
      </w:tr>
      <w:tr w14:paraId="1591FA16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55C823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基础接入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8A466D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学校、账户、通道、角色与项目开通配置。</w:t>
            </w:r>
          </w:p>
        </w:tc>
      </w:tr>
      <w:tr w14:paraId="6B610EB9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6B9EC8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供餐配置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0D1AA7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菜品库、套餐管理、每日发餐、补贴管理、消费限制、后台订餐。</w:t>
            </w:r>
          </w:p>
        </w:tc>
      </w:tr>
      <w:tr w14:paraId="554F5FB3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2B266B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家长侧能力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C33F04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首页、订餐、钱包、退餐与记录、消息中心。</w:t>
            </w:r>
          </w:p>
        </w:tc>
      </w:tr>
      <w:tr w14:paraId="53CD5F1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3DDD62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学生侧能力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4BB1C7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待识别、已订餐核销、现场消费、失败提示、离线补传。</w:t>
            </w:r>
          </w:p>
        </w:tc>
      </w:tr>
      <w:tr w14:paraId="3351367D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100380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财务侧能力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7F2EC4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缴费项目、缴费管理、缴费统计、对账中心、结算中心、出金审批。</w:t>
            </w:r>
          </w:p>
        </w:tc>
      </w:tr>
      <w:tr w14:paraId="437FC376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2B5ECB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治理与监管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57E6B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平台管理员首页、后勤主任工作台、监管驾驶舱、经营协同入口。</w:t>
            </w:r>
          </w:p>
        </w:tc>
      </w:tr>
    </w:tbl>
    <w:p w14:paraId="62257C26"/>
    <w:p w14:paraId="64BE0A97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2.2 本期必须交付</w:t>
      </w:r>
    </w:p>
    <w:p w14:paraId="6DDB09E2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菜品库、套餐管理、每日发餐、补贴管理、消费限制、后台订餐。</w:t>
      </w:r>
    </w:p>
    <w:p w14:paraId="60E94A32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家长端首页、订餐页、钱包页、退餐与记录页、消息中心。</w:t>
      </w:r>
    </w:p>
    <w:p w14:paraId="0643A95B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学生设备端待识别页、核销成功页、核销失败页、现场选餐盒页、确认消费页、消费成功页。</w:t>
      </w:r>
    </w:p>
    <w:p w14:paraId="68868193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缴费项目、缴费管理、缴费统计、对账中心、结算中心、出金审批、资金报表。</w:t>
      </w:r>
    </w:p>
    <w:p w14:paraId="14484B74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后勤主任工作台、平台管理员首页、监管首页与经营首页级入口。</w:t>
      </w:r>
    </w:p>
    <w:p w14:paraId="156AF01F"/>
    <w:p w14:paraId="56648107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2.3 本期不纳入主链路</w:t>
      </w:r>
    </w:p>
    <w:p w14:paraId="69E2DF1B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食材采购、仓储库存、招投标、会计凭证、公示证据链。</w:t>
      </w:r>
    </w:p>
    <w:p w14:paraId="043BAAB6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视频证据链、AI 自动执行经营动作或审批动作。</w:t>
      </w:r>
    </w:p>
    <w:p w14:paraId="5A44560F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轻值守移动执行端、供应商完整门户等未冻结模块。</w:t>
      </w:r>
    </w:p>
    <w:p w14:paraId="0C429CA0"/>
    <w:p w14:paraId="6B96D9D1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2.4 分阶段推进建议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44D39108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EFE09B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阶段</w:t>
            </w:r>
          </w:p>
        </w:tc>
        <w:tc>
          <w:tcPr>
            <w:tcW w:w="51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E092D9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目标范围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F5D405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里程碑</w:t>
            </w:r>
          </w:p>
        </w:tc>
      </w:tr>
      <w:tr w14:paraId="05343272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A2E799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第一阶段（10 校）</w:t>
            </w:r>
          </w:p>
        </w:tc>
        <w:tc>
          <w:tcPr>
            <w:tcW w:w="51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D8134A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打通菜品、套餐、餐单、补贴、限制、后台订餐、家长订餐和设备核销。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B2EC03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完成主流程验证与试点学校上线。</w:t>
            </w:r>
          </w:p>
        </w:tc>
      </w:tr>
      <w:tr w14:paraId="50689158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A13AFD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第二阶段（30 校）</w:t>
            </w:r>
          </w:p>
        </w:tc>
        <w:tc>
          <w:tcPr>
            <w:tcW w:w="51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A047A0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接入缴费管理、对账中心、结算中心和出金审批。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2AAFDE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形成学校财务闭环和标准报表。</w:t>
            </w:r>
          </w:p>
        </w:tc>
      </w:tr>
      <w:tr w14:paraId="122262A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16663C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第三阶段（100 校）</w:t>
            </w:r>
          </w:p>
        </w:tc>
        <w:tc>
          <w:tcPr>
            <w:tcW w:w="51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D60D9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完善监管看板、差异处理、资金报表和更细粒度的角色权限。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2344B6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支撑区域化推广和多校复制。</w:t>
            </w:r>
          </w:p>
        </w:tc>
      </w:tr>
    </w:tbl>
    <w:p w14:paraId="79FE39FD"/>
    <w:p w14:paraId="0177CCE3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3. 用户角色与职责</w:t>
      </w:r>
    </w:p>
    <w:p w14:paraId="498AACBF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3.1 角色清单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2338"/>
        <w:gridCol w:w="2338"/>
        <w:gridCol w:w="2338"/>
      </w:tblGrid>
      <w:tr w14:paraId="56B90F99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DC886F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角色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B499A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终端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49A09E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主要关注点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8D6D82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核心职责</w:t>
            </w:r>
          </w:p>
        </w:tc>
      </w:tr>
      <w:tr w14:paraId="6D8B3186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48CA08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平台管理员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FCEB4C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PC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A78719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学校接入、项目状态、通道异常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B311A5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配置学校、通道和功能包，监控项目运行。</w:t>
            </w:r>
          </w:p>
        </w:tc>
      </w:tr>
      <w:tr w14:paraId="24CECDE3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729176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市教委 / 区教委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4D60DF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PC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93567E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区域运行、风险预警、督办闭环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A5F7BB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按区域查看数据并发起督办。</w:t>
            </w:r>
          </w:p>
        </w:tc>
      </w:tr>
      <w:tr w14:paraId="6527DE72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511E7E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监管专员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A7654D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PC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29CAA0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风险发现、整改进度、复核归档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932A61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查看风险详情并跟踪整改。</w:t>
            </w:r>
          </w:p>
        </w:tc>
      </w:tr>
      <w:tr w14:paraId="02632CD6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9E9B3D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校长 / 分管副校长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9E99E3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PC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547439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结果、风险、审批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3C11A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关注关键结果和审批事项，不承担日常配置。</w:t>
            </w:r>
          </w:p>
        </w:tc>
      </w:tr>
      <w:tr w14:paraId="37449B35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776AB7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后勤主任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7CA6AC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PC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3A92F5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供餐配置、异常处理、学校执行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3FF89A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维护菜品套餐、发布餐单、处理异常与对账。</w:t>
            </w:r>
          </w:p>
        </w:tc>
      </w:tr>
      <w:tr w14:paraId="5AF1BA46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A3CDBF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学校财务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DF6518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PC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855F8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收支、差异、结算、出金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FC46F0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完成对账、结算和出金审批。</w:t>
            </w:r>
          </w:p>
        </w:tc>
      </w:tr>
      <w:tr w14:paraId="73E23B81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0F1B9A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食堂管理员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EB7840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PC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AA305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当天供餐、现场异常、执行任务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BB07F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支撑餐单执行与现场处理。</w:t>
            </w:r>
          </w:p>
        </w:tc>
      </w:tr>
      <w:tr w14:paraId="470BF62B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7C0E1D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家长端用户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7DF45D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Mobile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70C31E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订餐、支付、余额、退餐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95619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为学生订餐并查看记录。</w:t>
            </w:r>
          </w:p>
        </w:tc>
      </w:tr>
      <w:tr w14:paraId="5C2C25D4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2614E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学生消费机终端</w:t>
            </w:r>
          </w:p>
        </w:tc>
        <w:tc>
          <w:tcPr>
            <w:tcW w:w="113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BE883D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Device</w:t>
            </w:r>
          </w:p>
        </w:tc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95CFB3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识别、核销、现场消费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D45A4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完成高峰期快速核销和现场扣费。</w:t>
            </w:r>
          </w:p>
        </w:tc>
      </w:tr>
    </w:tbl>
    <w:p w14:paraId="245F26A1"/>
    <w:p w14:paraId="250A05D7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3.2 角色设计原则</w:t>
      </w:r>
    </w:p>
    <w:p w14:paraId="151B650E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同一页面应有明确主角色，避免评审口径和研发实现不一致。</w:t>
      </w:r>
    </w:p>
    <w:p w14:paraId="0E7D13BF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平台、监管、学校、家长和设备端按职责分层设计，不能以菜单堆叠替代角色边界。</w:t>
      </w:r>
    </w:p>
    <w:p w14:paraId="044C5614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高层角色以结果和审批为主，执行角色以配置和处理为主，设备端以极简高频交互为主。</w:t>
      </w:r>
    </w:p>
    <w:p w14:paraId="753EFBF1"/>
    <w:p w14:paraId="4D414113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4. 总体方案</w:t>
      </w:r>
    </w:p>
    <w:p w14:paraId="6B150C8A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4.1 终端划分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2DBEB78A">
        <w:trPr>
          <w:jc w:val="center"/>
        </w:trPr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FC9573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终端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BCF09B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定位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DA654F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承载任务</w:t>
            </w:r>
          </w:p>
        </w:tc>
      </w:tr>
      <w:tr w14:paraId="6310ED05">
        <w:trPr>
          <w:jc w:val="center"/>
        </w:trPr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F01A1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PC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644CB4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配置治理与复杂处理端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38FD5E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项目接入、供餐配置、批量处理、对账、结算、审批、监管查看。</w:t>
            </w:r>
          </w:p>
        </w:tc>
      </w:tr>
      <w:tr w14:paraId="6393C66A">
        <w:trPr>
          <w:jc w:val="center"/>
        </w:trPr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5669B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Mobile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406B40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家长高频服务端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D33652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订餐、支付、钱包、退餐与消息触达。</w:t>
            </w:r>
          </w:p>
        </w:tc>
      </w:tr>
      <w:tr w14:paraId="7DF2692E">
        <w:trPr>
          <w:jc w:val="center"/>
        </w:trPr>
        <w:tc>
          <w:tcPr>
            <w:tcW w:w="147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21D42C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Device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D45258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食堂现场执行端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630D2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身份识别、订餐核销、现场消费、失败提示、离线缓存与补传。</w:t>
            </w:r>
          </w:p>
        </w:tc>
      </w:tr>
    </w:tbl>
    <w:p w14:paraId="47716A39"/>
    <w:p w14:paraId="71456CAF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4.2 核心模块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441D75B3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17611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模块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8B6928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模块职责</w:t>
            </w:r>
          </w:p>
        </w:tc>
      </w:tr>
      <w:tr w14:paraId="3CCA7A8E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706988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菜品与套餐服务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8D952E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定义可售菜品、分类和套餐组合。</w:t>
            </w:r>
          </w:p>
        </w:tc>
      </w:tr>
      <w:tr w14:paraId="3879CB02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79F74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餐单发布服务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083635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将套餐发布到具体日期和餐次，并支持预览、复制和下架。</w:t>
            </w:r>
          </w:p>
        </w:tc>
      </w:tr>
      <w:tr w14:paraId="1AFDC478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D48614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补贴与限制服务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57D213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对人群、餐次、场景、次数和金额进行约束。</w:t>
            </w:r>
          </w:p>
        </w:tc>
      </w:tr>
      <w:tr w14:paraId="1361773E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F52C1E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订单服务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3A2C4E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统一记录家长下单、后台订餐和设备现场消费。</w:t>
            </w:r>
          </w:p>
        </w:tc>
      </w:tr>
      <w:tr w14:paraId="0CDFDB48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CCD04DE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账户与钱包服务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359892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维护余额、充值、扣款、退款和补贴流水。</w:t>
            </w:r>
          </w:p>
        </w:tc>
      </w:tr>
      <w:tr w14:paraId="26FD0B4B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9169A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对账与结算服务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E37DEF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识别差异、形成对账单和结算单，并支撑出金。</w:t>
            </w:r>
          </w:p>
        </w:tc>
      </w:tr>
      <w:tr w14:paraId="06E8DD5E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B96137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监管与经营服务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AA5CDA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提供风险总览、督办整改、经营协同和异常处理入口。</w:t>
            </w:r>
          </w:p>
        </w:tc>
      </w:tr>
    </w:tbl>
    <w:p w14:paraId="1E0B9B61"/>
    <w:p w14:paraId="1E7F509F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4.3 对外接入</w:t>
      </w:r>
    </w:p>
    <w:p w14:paraId="506DC2BC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银行通道：支付、回单、出金与资金回执。</w:t>
      </w:r>
    </w:p>
    <w:p w14:paraId="08DBC8B0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校园卡 / 人脸识别：现场身份识别与授权校验。</w:t>
      </w:r>
    </w:p>
    <w:p w14:paraId="35FBCD2A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消息通道：订单通知、退款进度、异常提醒与规则变更。</w:t>
      </w:r>
    </w:p>
    <w:p w14:paraId="2F7E2F2A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导入导出能力：支持菜品、套餐、名单和结果数据的批量处理。</w:t>
      </w:r>
    </w:p>
    <w:p w14:paraId="17FC6256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边缘节点同步：用于弱网场景下的本地缓存、补传与局域网加速。</w:t>
      </w:r>
    </w:p>
    <w:p w14:paraId="01DD9CB9"/>
    <w:p w14:paraId="2562B875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4.4 部署原则</w:t>
      </w:r>
    </w:p>
    <w:p w14:paraId="506E075C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整体采用“云中心为主、学校边缘节点按需启用”的部署策略。中心侧负责统一治理、统一升级和统一数据管理；学校侧仅在网络质量、设备性能或现场业务连续性有要求时启用轻量边缘节点，以保障弱网环境下的核销与数据补传能力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6DDE2E88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D8A7">
            <w:pPr>
              <w:jc w:val="center"/>
            </w:pPr>
            <w:r>
              <w:drawing>
                <wp:inline distT="0" distB="0" distL="114300" distR="114300">
                  <wp:extent cx="2591435" cy="2489200"/>
                  <wp:effectExtent l="0" t="0" r="2476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248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AC74">
            <w:pPr>
              <w:jc w:val="center"/>
            </w:pPr>
            <w:r>
              <w:drawing>
                <wp:inline distT="0" distB="0" distL="114300" distR="114300">
                  <wp:extent cx="2591435" cy="2191385"/>
                  <wp:effectExtent l="0" t="0" r="24765" b="184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219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383243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706B7">
            <w:pPr>
              <w:keepNext w:val="0"/>
              <w:keepLines w:val="0"/>
              <w:spacing w:before="4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626262"/>
                <w:sz w:val="18"/>
              </w:rPr>
              <w:t>图 1 系统总体架构图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D732C">
            <w:pPr>
              <w:keepNext w:val="0"/>
              <w:keepLines w:val="0"/>
              <w:spacing w:before="4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color w:val="626262"/>
                <w:sz w:val="18"/>
              </w:rPr>
              <w:t>图 2 多学校部署示意图</w:t>
            </w:r>
          </w:p>
        </w:tc>
      </w:tr>
    </w:tbl>
    <w:p w14:paraId="5004F442"/>
    <w:p w14:paraId="24E12899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5. 核心业务对象与状态</w:t>
      </w:r>
    </w:p>
    <w:p w14:paraId="00454A61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5.1 核心业务对象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311CEC59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769F77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对象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DCB795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定义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BDA85C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业务含义</w:t>
            </w:r>
          </w:p>
        </w:tc>
      </w:tr>
      <w:tr w14:paraId="1C20C79F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E103E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Dish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9C1F0A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单个菜品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86E266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供餐基础单元，例如红烧鸡腿、青椒土豆丝。</w:t>
            </w:r>
          </w:p>
        </w:tc>
      </w:tr>
      <w:tr w14:paraId="54CA045A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22127F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DishCategory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3590E4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菜品 / 套餐分类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7FF790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用于按早餐、午餐、特殊餐等维度归类展示。</w:t>
            </w:r>
          </w:p>
        </w:tc>
      </w:tr>
      <w:tr w14:paraId="4409DEDD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7893B4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SetMeal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6849E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套餐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EAFCD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家长和学生最终可见、可选、可售的餐食组合。</w:t>
            </w:r>
          </w:p>
        </w:tc>
      </w:tr>
      <w:tr w14:paraId="2D2F3D01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B64D1B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SetMealItem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84120F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套餐明细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5639FE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描述套餐包含的菜品、份量及价格构成。</w:t>
            </w:r>
          </w:p>
        </w:tc>
      </w:tr>
      <w:tr w14:paraId="3DC285A1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36850F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MealPlan / MealPlanItem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252921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餐单计划 / 餐单项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D298AC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将套餐映射到具体日期与餐次的供餐计划。</w:t>
            </w:r>
          </w:p>
        </w:tc>
      </w:tr>
      <w:tr w14:paraId="49DC9B4E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D364D3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SubsidyRule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A0334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补贴规则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D6F2F0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定义适用人群、场景、金额和次数。</w:t>
            </w:r>
          </w:p>
        </w:tc>
      </w:tr>
      <w:tr w14:paraId="49D69D94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BD1524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ConsumeLimitRule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1D0F3D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消费限制规则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874B51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定义消费模式、次数和时间窗口限制。</w:t>
            </w:r>
          </w:p>
        </w:tc>
      </w:tr>
      <w:tr w14:paraId="2488213B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8FF02C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BackendOrder / PaymentOrder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4EA1F5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后台订餐单 / 缴费订单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E6BFE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承载后台代订和收费项目支付记录。</w:t>
            </w:r>
          </w:p>
        </w:tc>
      </w:tr>
      <w:tr w14:paraId="18627A58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BDE6A1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AccountWallet / AccountTransaction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638663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账户钱包 / 账户流水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876262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记录余额、充值、扣款、补贴和退款。</w:t>
            </w:r>
          </w:p>
        </w:tc>
      </w:tr>
      <w:tr w14:paraId="31DE5141">
        <w:trPr>
          <w:jc w:val="center"/>
        </w:trPr>
        <w:tc>
          <w:tcPr>
            <w:tcW w:w="221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34892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ReconciliationBill / SettlementBill / CashoutRequest</w:t>
            </w:r>
          </w:p>
        </w:tc>
        <w:tc>
          <w:tcPr>
            <w:tcW w:w="187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C5235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对账单 / 结算单 / 出金申请</w:t>
            </w:r>
          </w:p>
        </w:tc>
        <w:tc>
          <w:tcPr>
            <w:tcW w:w="498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07A460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承载学校财务闭环和资金拨付过程。</w:t>
            </w:r>
          </w:p>
        </w:tc>
      </w:tr>
    </w:tbl>
    <w:p w14:paraId="25E4AC42"/>
    <w:p w14:paraId="143B6985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5.2 关键状态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4FF41848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87798B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对象域</w:t>
            </w:r>
          </w:p>
        </w:tc>
        <w:tc>
          <w:tcPr>
            <w:tcW w:w="294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F23F27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关键状态</w:t>
            </w:r>
          </w:p>
        </w:tc>
        <w:tc>
          <w:tcPr>
            <w:tcW w:w="430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68A006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 w14:paraId="049D26A2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756695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商品 / 套餐</w:t>
            </w:r>
          </w:p>
        </w:tc>
        <w:tc>
          <w:tcPr>
            <w:tcW w:w="294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B1554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草稿、已发布、已停售</w:t>
            </w:r>
          </w:p>
        </w:tc>
        <w:tc>
          <w:tcPr>
            <w:tcW w:w="430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359001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决定是否可被餐单引用或前端展示。</w:t>
            </w:r>
          </w:p>
        </w:tc>
      </w:tr>
      <w:tr w14:paraId="57D96FB7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89FA27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餐单</w:t>
            </w:r>
          </w:p>
        </w:tc>
        <w:tc>
          <w:tcPr>
            <w:tcW w:w="294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BA45C4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编辑中、已发布、已下架</w:t>
            </w:r>
          </w:p>
        </w:tc>
        <w:tc>
          <w:tcPr>
            <w:tcW w:w="430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E1A55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决定家长端和设备端是否可见。</w:t>
            </w:r>
          </w:p>
        </w:tc>
      </w:tr>
      <w:tr w14:paraId="407FD653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D14D0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订单</w:t>
            </w:r>
          </w:p>
        </w:tc>
        <w:tc>
          <w:tcPr>
            <w:tcW w:w="294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79B731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待支付、已支付、已核销、已完成、失败、已退款</w:t>
            </w:r>
          </w:p>
        </w:tc>
        <w:tc>
          <w:tcPr>
            <w:tcW w:w="430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EDF936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覆盖订餐、履约与资金处理全链路。</w:t>
            </w:r>
          </w:p>
        </w:tc>
      </w:tr>
      <w:tr w14:paraId="14449ED6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4B2017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对账 / 结算 / 出金</w:t>
            </w:r>
          </w:p>
        </w:tc>
        <w:tc>
          <w:tcPr>
            <w:tcW w:w="294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4591E0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待确认、处理中、已完成、已驳回</w:t>
            </w:r>
          </w:p>
        </w:tc>
        <w:tc>
          <w:tcPr>
            <w:tcW w:w="430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C02677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覆盖财务核对、结算生成和出金审批。</w:t>
            </w:r>
          </w:p>
        </w:tc>
      </w:tr>
      <w:tr w14:paraId="06FB0665">
        <w:trPr>
          <w:jc w:val="center"/>
        </w:trPr>
        <w:tc>
          <w:tcPr>
            <w:tcW w:w="181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09605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设备</w:t>
            </w:r>
          </w:p>
        </w:tc>
        <w:tc>
          <w:tcPr>
            <w:tcW w:w="294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FFF818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在线、离线、故障、维护中</w:t>
            </w:r>
          </w:p>
        </w:tc>
        <w:tc>
          <w:tcPr>
            <w:tcW w:w="430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510AD0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决定现场能否正常执行核销与消费。</w:t>
            </w:r>
          </w:p>
        </w:tc>
      </w:tr>
    </w:tbl>
    <w:p w14:paraId="3B78E284"/>
    <w:p w14:paraId="2D6878BD">
      <w:pPr>
        <w:keepNext w:val="0"/>
        <w:keepLines w:val="0"/>
        <w:spacing w:before="0" w:after="160" w:line="312" w:lineRule="auto"/>
        <w:jc w:val="left"/>
      </w:pPr>
      <w:r>
        <w:rPr>
          <w:rFonts w:ascii="Noto Sans CJK SC" w:hAnsi="Noto Sans CJK SC" w:eastAsia="Noto Sans CJK SC" w:cs="Noto Sans CJK SC"/>
          <w:b/>
          <w:color w:val="626262"/>
          <w:sz w:val="18"/>
        </w:rPr>
        <w:t>说明：</w:t>
      </w:r>
      <w:r>
        <w:rPr>
          <w:rFonts w:ascii="Noto Sans CJK SC" w:hAnsi="Noto Sans CJK SC" w:eastAsia="Noto Sans CJK SC" w:cs="Noto Sans CJK SC"/>
          <w:color w:val="626262"/>
          <w:sz w:val="18"/>
        </w:rPr>
        <w:t>关键状态应在原型、接口和日志中保持统一命名，避免同一状态在不同端出现多套叫法。</w:t>
      </w:r>
    </w:p>
    <w:p w14:paraId="3C0DECEE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6. 核心业务流程</w:t>
      </w:r>
    </w:p>
    <w:p w14:paraId="026CB4EE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6.1 项目接入与开通流程</w:t>
      </w:r>
    </w:p>
    <w:p w14:paraId="1ADC450E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平台管理员创建学校项目后，完成学校主体、餐企、账户、支付通道、角色与权限配置，并确认 PC、Mobile、Device 三端能力包。学校网络条件复杂时，应同步确认是否启用边缘节点。只有在基础配置、角色授权和设备连通状态均满足要求后，项目才视为完成开通。</w:t>
      </w:r>
    </w:p>
    <w:p w14:paraId="38EC6D86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6.2 菜品到餐单发布流程</w:t>
      </w:r>
    </w:p>
    <w:p w14:paraId="5F2DE83E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学校先在菜品库维护菜品基础资料，再在套餐管理中完成组合和价格配置，最后在每日发餐页面将套餐发布到具体日期和餐次。发布前需支持预览，发布后应支持复制、下架和回退，以避免“套餐已配置但前端不可见”或“停售后仍允许订购”的情况。</w:t>
      </w:r>
    </w:p>
    <w:p w14:paraId="3FFFF0B3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6.3 家长订餐与支付流程</w:t>
      </w:r>
    </w:p>
    <w:p w14:paraId="2DDB4D14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家长选择学生后查看可售餐单。系统在下单前校验餐次、重复订餐、补贴规则、消费限制、钱包余额与支付状态；校验通过后创建订单并完成支付，支付结果同步写入订单记录、流水记录和消息中心。发生退餐时，系统应展示退餐规则、进度和最终处理结果。</w:t>
      </w:r>
    </w:p>
    <w:p w14:paraId="31C9CA65">
      <w:pPr>
        <w:keepNext/>
        <w:keepLines/>
        <w:spacing w:before="80" w:after="40" w:line="240" w:lineRule="auto"/>
        <w:jc w:val="center"/>
      </w:pPr>
      <w:r>
        <w:drawing>
          <wp:inline distT="0" distB="0" distL="114300" distR="114300">
            <wp:extent cx="5219700" cy="7553325"/>
            <wp:effectExtent l="0" t="0" r="12700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55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4E32">
      <w:pPr>
        <w:keepNext w:val="0"/>
        <w:keepLines w:val="0"/>
        <w:spacing w:before="0" w:after="40" w:line="288" w:lineRule="auto"/>
        <w:jc w:val="center"/>
      </w:pPr>
      <w:r>
        <w:rPr>
          <w:rFonts w:ascii="Noto Sans CJK SC" w:hAnsi="Noto Sans CJK SC" w:eastAsia="Noto Sans CJK SC" w:cs="Noto Sans CJK SC"/>
          <w:color w:val="626262"/>
          <w:sz w:val="18"/>
        </w:rPr>
        <w:t>图 3 家长订餐主流程图</w:t>
      </w:r>
    </w:p>
    <w:p w14:paraId="00516BFF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6.4 学生核销与现场消费流程</w:t>
      </w:r>
    </w:p>
    <w:p w14:paraId="6C717382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学生到设备前先通过刷脸或刷卡完成识别。若系统匹配到已订餐记录，则直接进入核销取餐流程；若无预订但允许现场消费，则进入选餐盒、确认消费、扣费与结果反馈流程。无论是哪条路径，系统都必须同步更新订单状态、设备回执和账户流水。异常场景下，页面应明确给出重试、人工处理或现场补订建议。</w:t>
      </w:r>
    </w:p>
    <w:p w14:paraId="3DD028F8">
      <w:pPr>
        <w:keepNext/>
        <w:keepLines/>
        <w:spacing w:before="80" w:after="40" w:line="240" w:lineRule="auto"/>
        <w:jc w:val="center"/>
      </w:pPr>
      <w:r>
        <w:drawing>
          <wp:inline distT="0" distB="0" distL="114300" distR="114300">
            <wp:extent cx="5219700" cy="5702300"/>
            <wp:effectExtent l="0" t="0" r="1270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57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09A2E">
      <w:pPr>
        <w:keepNext w:val="0"/>
        <w:keepLines w:val="0"/>
        <w:spacing w:before="0" w:after="40" w:line="288" w:lineRule="auto"/>
        <w:jc w:val="center"/>
      </w:pPr>
      <w:r>
        <w:rPr>
          <w:rFonts w:ascii="Noto Sans CJK SC" w:hAnsi="Noto Sans CJK SC" w:eastAsia="Noto Sans CJK SC" w:cs="Noto Sans CJK SC"/>
          <w:color w:val="626262"/>
          <w:sz w:val="18"/>
        </w:rPr>
        <w:t>图 4 学生核销与现场消费流程图</w:t>
      </w:r>
    </w:p>
    <w:p w14:paraId="3D9F4BE3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6.5 对账到出金流程</w:t>
      </w:r>
    </w:p>
    <w:p w14:paraId="64D8603B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学校财务或后勤首先在对账中心查看周期摘要和差异项，确认差异后生成结算单；结算单确认完成后发起出金审批，审批通过后调用银行能力执行打款并回收回执。页面应遵循“先摘要、后明细”的呈现方式，优先帮助用户定位问题，再展开交易级细节。</w:t>
      </w:r>
    </w:p>
    <w:p w14:paraId="29D0B882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6.6 监管闭环流程</w:t>
      </w:r>
    </w:p>
    <w:p w14:paraId="150626F6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监管角色通过驾驶舱查看预警摘要、风险趋势和督办事项，再进入整改时间线跟踪责任人、处理节点、复核结果与归档状态。监管闭环的核心不是单纯展示状态标签，而是完整记录问题发现、处理、复核和结案的全过程。</w:t>
      </w:r>
    </w:p>
    <w:p w14:paraId="4012B33D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7. 功能需求</w:t>
      </w:r>
    </w:p>
    <w:p w14:paraId="40AE82B5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7.1 平台治理与接入模块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6113491E">
        <w:trPr>
          <w:jc w:val="center"/>
        </w:trPr>
        <w:tc>
          <w:tcPr>
            <w:tcW w:w="9128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F7FAFF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52AA0AB3">
            <w:pPr>
              <w:keepNext w:val="0"/>
              <w:keepLines w:val="0"/>
              <w:spacing w:before="0" w:after="0" w:line="30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模块目标：</w:t>
            </w:r>
            <w:r>
              <w:rPr>
                <w:rFonts w:ascii="Noto Sans CJK SC" w:hAnsi="Noto Sans CJK SC" w:eastAsia="Noto Sans CJK SC" w:cs="Noto Sans CJK SC"/>
                <w:color w:val="2B2B2B"/>
                <w:sz w:val="20"/>
              </w:rPr>
              <w:t>支撑学校标准化接入、项目复制和平台统一治理，避免每所学校重复从零配置。</w:t>
            </w:r>
          </w:p>
        </w:tc>
      </w:tr>
    </w:tbl>
    <w:p w14:paraId="275A66AE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4F66AAD9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A041F6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 / 能力</w:t>
            </w:r>
          </w:p>
        </w:tc>
        <w:tc>
          <w:tcPr>
            <w:tcW w:w="453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920DB1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核心需求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BA1EE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关键结果</w:t>
            </w:r>
          </w:p>
        </w:tc>
      </w:tr>
      <w:tr w14:paraId="66535077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FCE43C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项目接入向导</w:t>
            </w:r>
          </w:p>
        </w:tc>
        <w:tc>
          <w:tcPr>
            <w:tcW w:w="453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DEA1F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支持学校、餐企、账户、支付通道、角色与功能包的初始化配置。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783964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学校具备上线前基础运行条件。</w:t>
            </w:r>
          </w:p>
        </w:tc>
      </w:tr>
      <w:tr w14:paraId="2862367B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B6967E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银行配置与通道状态</w:t>
            </w:r>
          </w:p>
        </w:tc>
        <w:tc>
          <w:tcPr>
            <w:tcW w:w="453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5D9C9B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展示银行配置、通道状态、异常告警和处理入口。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18D30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支付、对账和出金链路可监控。</w:t>
            </w:r>
          </w:p>
        </w:tc>
      </w:tr>
      <w:tr w14:paraId="23919DBD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F3FAA2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功能包与合作方配置</w:t>
            </w:r>
          </w:p>
        </w:tc>
        <w:tc>
          <w:tcPr>
            <w:tcW w:w="453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9F7C1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按项目配置开放模块、合作方能力与渠道策略。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12450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不同学校可按需组合能力包。</w:t>
            </w:r>
          </w:p>
        </w:tc>
      </w:tr>
      <w:tr w14:paraId="346D7FC9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D3A0D0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平台管理员首页</w:t>
            </w:r>
          </w:p>
        </w:tc>
        <w:tc>
          <w:tcPr>
            <w:tcW w:w="453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5C22E9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展示学校项目清单、状态、关键异常和待处理事项。</w:t>
            </w:r>
          </w:p>
        </w:tc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BD2412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平台侧可以快速掌握整体运行情况。</w:t>
            </w:r>
          </w:p>
        </w:tc>
      </w:tr>
    </w:tbl>
    <w:p w14:paraId="3BE4AB41"/>
    <w:p w14:paraId="3EAEE75B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7.2 学校治理与执行模块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76B15413">
        <w:trPr>
          <w:jc w:val="center"/>
        </w:trPr>
        <w:tc>
          <w:tcPr>
            <w:tcW w:w="9128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F7FAFF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6D276520">
            <w:pPr>
              <w:keepNext w:val="0"/>
              <w:keepLines w:val="0"/>
              <w:spacing w:before="0" w:after="0" w:line="30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模块目标：</w:t>
            </w:r>
            <w:r>
              <w:rPr>
                <w:rFonts w:ascii="Noto Sans CJK SC" w:hAnsi="Noto Sans CJK SC" w:eastAsia="Noto Sans CJK SC" w:cs="Noto Sans CJK SC"/>
                <w:color w:val="2B2B2B"/>
                <w:sz w:val="20"/>
              </w:rPr>
              <w:t>让学校把“卖什么、什么时候卖、卖给谁、怎么限制、异常怎么处理”在同一套系统中管理起来。</w:t>
            </w:r>
          </w:p>
        </w:tc>
      </w:tr>
    </w:tbl>
    <w:p w14:paraId="577AAD69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00189D21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7C3FC4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 / 能力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912E35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核心需求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C23532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关键规则</w:t>
            </w:r>
          </w:p>
        </w:tc>
      </w:tr>
      <w:tr w14:paraId="59716D69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898988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菜品库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68F21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支持搜索、重置、模板下载、批量导入、新增、编辑和启停。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32A13F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菜品状态变化应影响套餐可用性。</w:t>
            </w:r>
          </w:p>
        </w:tc>
      </w:tr>
      <w:tr w14:paraId="014E3589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4E5A62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套餐管理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FAB1BA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支持分类筛选、价格、标签、启停与组合明细管理。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7CBA08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套餐必须可追溯至菜品明细。</w:t>
            </w:r>
          </w:p>
        </w:tc>
      </w:tr>
      <w:tr w14:paraId="7AF24BB9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329648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每日发餐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8B697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支持周视图、整周发布、复制、裁切、预览和移动端预览。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BBBEAE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发布成功后家长端与设备端均应可见。</w:t>
            </w:r>
          </w:p>
        </w:tc>
      </w:tr>
      <w:tr w14:paraId="482E0676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B6AD23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补贴管理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DED293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按人群、餐次、场景、金额和次数配置补贴规则。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01EDA8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补贴校验需在下单前完成。</w:t>
            </w:r>
          </w:p>
        </w:tc>
      </w:tr>
      <w:tr w14:paraId="59677D22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7D5838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消费限制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236BB8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按班级、餐次、模式和次数进行限制。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4C1208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重复消费和超额消费必须被阻断。</w:t>
            </w:r>
          </w:p>
        </w:tc>
      </w:tr>
      <w:tr w14:paraId="3CD2911F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C6054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后台订餐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E08771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支持搜索用户、选择日期和餐次、查看余额与总价，并支持立即订餐和批量订餐。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835BA4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代订行为必须形成订单和流水记录。</w:t>
            </w:r>
          </w:p>
        </w:tc>
      </w:tr>
      <w:tr w14:paraId="4595AC1A">
        <w:trPr>
          <w:jc w:val="center"/>
        </w:trPr>
        <w:tc>
          <w:tcPr>
            <w:tcW w:w="1984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38FC48B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后勤主任 / 食堂管理员工作台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2EE85E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展示当天发餐、异常订单、待处理事项和执行入口。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52BB4A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首屏应优先暴露高频处理动作。</w:t>
            </w:r>
          </w:p>
        </w:tc>
      </w:tr>
    </w:tbl>
    <w:p w14:paraId="55884B01"/>
    <w:p w14:paraId="4F805433">
      <w:pPr>
        <w:keepNext/>
        <w:keepLines/>
        <w:spacing w:before="80" w:after="40" w:line="240" w:lineRule="auto"/>
        <w:jc w:val="center"/>
      </w:pPr>
      <w:r>
        <w:drawing>
          <wp:inline distT="0" distB="0" distL="114300" distR="114300">
            <wp:extent cx="4967605" cy="4225290"/>
            <wp:effectExtent l="0" t="0" r="10795" b="165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42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E9BA2">
      <w:pPr>
        <w:keepNext/>
        <w:keepLines w:val="0"/>
        <w:spacing w:before="0" w:after="40" w:line="288" w:lineRule="auto"/>
        <w:jc w:val="center"/>
      </w:pPr>
      <w:r>
        <w:rPr>
          <w:rFonts w:ascii="Noto Sans CJK SC" w:hAnsi="Noto Sans CJK SC" w:eastAsia="Noto Sans CJK SC" w:cs="Noto Sans CJK SC"/>
          <w:color w:val="626262"/>
          <w:sz w:val="18"/>
        </w:rPr>
        <w:t>图 5 后勤主任工作台原型示意</w:t>
      </w:r>
    </w:p>
    <w:p w14:paraId="375769A0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7.3 家长移动端模块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7C1B353B">
        <w:trPr>
          <w:jc w:val="center"/>
        </w:trPr>
        <w:tc>
          <w:tcPr>
            <w:tcW w:w="9128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F7FAFF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5631EDE5">
            <w:pPr>
              <w:keepNext w:val="0"/>
              <w:keepLines w:val="0"/>
              <w:spacing w:before="0" w:after="0" w:line="30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模块目标：</w:t>
            </w:r>
            <w:r>
              <w:rPr>
                <w:rFonts w:ascii="Noto Sans CJK SC" w:hAnsi="Noto Sans CJK SC" w:eastAsia="Noto Sans CJK SC" w:cs="Noto Sans CJK SC"/>
                <w:color w:val="2B2B2B"/>
                <w:sz w:val="20"/>
              </w:rPr>
              <w:t>让家长无需培训即可完成订餐、支付、查看记录和发起退餐。</w:t>
            </w:r>
          </w:p>
        </w:tc>
      </w:tr>
    </w:tbl>
    <w:p w14:paraId="0C561354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1BB9C2F0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386C91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E7F9E4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核心需求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656300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关键体验要求</w:t>
            </w:r>
          </w:p>
        </w:tc>
      </w:tr>
      <w:tr w14:paraId="586197F0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50136E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首页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2334EC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支持切换孩子，并展示今日订餐、待办提醒和快捷入口。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17C1EE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首屏应能直达订餐、钱包和记录。</w:t>
            </w:r>
          </w:p>
        </w:tc>
      </w:tr>
      <w:tr w14:paraId="02658C46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D5369F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订餐页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C9CF3F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清晰展示日期、餐次、套餐、价格、补贴和限制信息。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1CBE68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避免家长选错餐次或重复下单。</w:t>
            </w:r>
          </w:p>
        </w:tc>
      </w:tr>
      <w:tr w14:paraId="261B332D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798A0D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套餐详情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8C2E2A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说明套餐内容、金额、适用条件和限制。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559B2F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价格与规则信息不得缺失。</w:t>
            </w:r>
          </w:p>
        </w:tc>
      </w:tr>
      <w:tr w14:paraId="1523C04F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57894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钱包页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197434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展示余额、充值入口、收支流水与支付结果。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A51095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余额不足时可直接跳转充值。</w:t>
            </w:r>
          </w:p>
        </w:tc>
      </w:tr>
      <w:tr w14:paraId="759DECE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2835DC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退餐与记录页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D67C83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展示可退状态、规则说明、进度和结果。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1D3F90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必须让家长清楚知道能否退、为何不能退。</w:t>
            </w:r>
          </w:p>
        </w:tc>
      </w:tr>
      <w:tr w14:paraId="1658E2BD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BB9B8F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消息中心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CD1844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承载订单成功、退款进度和规则变更通知。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37E46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消息类型需可追溯到具体业务动作。</w:t>
            </w:r>
          </w:p>
        </w:tc>
      </w:tr>
    </w:tbl>
    <w:p w14:paraId="7A24F1D1"/>
    <w:p w14:paraId="535A6E17">
      <w:pPr>
        <w:keepNext/>
        <w:keepLines/>
        <w:spacing w:before="80" w:after="40" w:line="240" w:lineRule="auto"/>
        <w:jc w:val="center"/>
      </w:pPr>
      <w:r>
        <w:drawing>
          <wp:inline distT="0" distB="0" distL="114300" distR="114300">
            <wp:extent cx="1583690" cy="6513195"/>
            <wp:effectExtent l="0" t="0" r="16510" b="146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651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07CB">
      <w:pPr>
        <w:keepNext/>
        <w:keepLines w:val="0"/>
        <w:spacing w:before="0" w:after="40" w:line="288" w:lineRule="auto"/>
        <w:jc w:val="center"/>
      </w:pPr>
      <w:r>
        <w:rPr>
          <w:rFonts w:ascii="Noto Sans CJK SC" w:hAnsi="Noto Sans CJK SC" w:eastAsia="Noto Sans CJK SC" w:cs="Noto Sans CJK SC"/>
          <w:color w:val="626262"/>
          <w:sz w:val="18"/>
        </w:rPr>
        <w:t>图 6 家长端订餐页原型示意</w:t>
      </w:r>
    </w:p>
    <w:p w14:paraId="6191CF67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7.4 学生设备端模块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09DB3000">
        <w:trPr>
          <w:jc w:val="center"/>
        </w:trPr>
        <w:tc>
          <w:tcPr>
            <w:tcW w:w="9128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F7FAFF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5219A26C">
            <w:pPr>
              <w:keepNext w:val="0"/>
              <w:keepLines w:val="0"/>
              <w:spacing w:before="0" w:after="0" w:line="30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模块目标：</w:t>
            </w:r>
            <w:r>
              <w:rPr>
                <w:rFonts w:ascii="Noto Sans CJK SC" w:hAnsi="Noto Sans CJK SC" w:eastAsia="Noto Sans CJK SC" w:cs="Noto Sans CJK SC"/>
                <w:color w:val="2B2B2B"/>
                <w:sz w:val="20"/>
              </w:rPr>
              <w:t>在现场高峰期以最少步骤完成识别、核销和消费，保障吞吐效率。</w:t>
            </w:r>
          </w:p>
        </w:tc>
      </w:tr>
    </w:tbl>
    <w:p w14:paraId="4279C192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3D657F64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8BAEE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5286A8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核心需求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D51A1B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关键规则</w:t>
            </w:r>
          </w:p>
        </w:tc>
      </w:tr>
      <w:tr w14:paraId="20D1311F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CA3DF7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待识别页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D2AEAC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支持刷脸和刷卡待机，页面保持极简。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C0DDAB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必须适应现场高频连续使用。</w:t>
            </w:r>
          </w:p>
        </w:tc>
      </w:tr>
      <w:tr w14:paraId="72E0ADFB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B67FFC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已订餐核销成功页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D494E3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在 2 至 3 秒内返回清晰结果，并提示取餐。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91A961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成功后自动回到待识别状态。</w:t>
            </w:r>
          </w:p>
        </w:tc>
      </w:tr>
      <w:tr w14:paraId="74090A6F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BAA190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核销失败页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FFB30F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明确失败原因和下一步操作建议。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41C03C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不能只展示失败提示，不给处理指引。</w:t>
            </w:r>
          </w:p>
        </w:tc>
      </w:tr>
      <w:tr w14:paraId="704A0F2B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DD20B6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现场选餐盒页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3C8E9B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支持选择当前可售餐盒或套餐。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3E37DC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仅展示授权范围内的可售项。</w:t>
            </w:r>
          </w:p>
        </w:tc>
      </w:tr>
      <w:tr w14:paraId="295774FD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FB250C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确认消费页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2B4C3A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展示金额、扣费账户、确认按钮和结果反馈。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933FEB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扣费动作必须可追溯。</w:t>
            </w:r>
          </w:p>
        </w:tc>
      </w:tr>
      <w:tr w14:paraId="42E9092C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7FE924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消费成功页</w:t>
            </w:r>
          </w:p>
        </w:tc>
        <w:tc>
          <w:tcPr>
            <w:tcW w:w="464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BBC18E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提示完成并自动回退至待识别页。</w:t>
            </w:r>
          </w:p>
        </w:tc>
        <w:tc>
          <w:tcPr>
            <w:tcW w:w="272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5D3406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保证下一位学生可快速继续使用。</w:t>
            </w:r>
          </w:p>
        </w:tc>
      </w:tr>
    </w:tbl>
    <w:p w14:paraId="6650DFDA"/>
    <w:p w14:paraId="64F7AFB6">
      <w:pPr>
        <w:keepNext/>
        <w:keepLines/>
        <w:spacing w:before="80" w:after="40" w:line="240" w:lineRule="auto"/>
        <w:jc w:val="center"/>
      </w:pPr>
      <w:r>
        <w:drawing>
          <wp:inline distT="0" distB="0" distL="114300" distR="114300">
            <wp:extent cx="1511935" cy="3956685"/>
            <wp:effectExtent l="0" t="0" r="1206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95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96019">
      <w:pPr>
        <w:keepNext/>
        <w:keepLines w:val="0"/>
        <w:spacing w:before="0" w:after="40" w:line="288" w:lineRule="auto"/>
        <w:jc w:val="center"/>
      </w:pPr>
      <w:r>
        <w:rPr>
          <w:rFonts w:ascii="Noto Sans CJK SC" w:hAnsi="Noto Sans CJK SC" w:eastAsia="Noto Sans CJK SC" w:cs="Noto Sans CJK SC"/>
          <w:color w:val="626262"/>
          <w:sz w:val="18"/>
        </w:rPr>
        <w:t>图 7 学生设备端核销成功页原型示意</w:t>
      </w:r>
    </w:p>
    <w:p w14:paraId="4E971BFA">
      <w:pPr>
        <w:pStyle w:val="4"/>
        <w:keepNext/>
        <w:keepLines w:val="0"/>
        <w:spacing w:before="160" w:after="80" w:line="288" w:lineRule="auto"/>
        <w:jc w:val="left"/>
      </w:pPr>
      <w:bookmarkStart w:id="0" w:name="_GoBack"/>
      <w:bookmarkEnd w:id="0"/>
      <w:r>
        <w:rPr>
          <w:rFonts w:ascii="Noto Sans CJK SC" w:hAnsi="Noto Sans CJK SC" w:eastAsia="Noto Sans CJK SC" w:cs="Noto Sans CJK SC"/>
          <w:b/>
          <w:color w:val="1F3A5F"/>
          <w:sz w:val="26"/>
        </w:rPr>
        <w:t>7.5 财务与结算模块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40478B4E">
        <w:trPr>
          <w:jc w:val="center"/>
        </w:trPr>
        <w:tc>
          <w:tcPr>
            <w:tcW w:w="9128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F7FAFF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5337656F">
            <w:pPr>
              <w:keepNext w:val="0"/>
              <w:keepLines w:val="0"/>
              <w:spacing w:before="0" w:after="0" w:line="30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模块目标：</w:t>
            </w:r>
            <w:r>
              <w:rPr>
                <w:rFonts w:ascii="Noto Sans CJK SC" w:hAnsi="Noto Sans CJK SC" w:eastAsia="Noto Sans CJK SC" w:cs="Noto Sans CJK SC"/>
                <w:color w:val="2B2B2B"/>
                <w:sz w:val="20"/>
              </w:rPr>
              <w:t>把学校最关注的钱和账统一到同一条业务线中，减少人工核对和口径不一致。</w:t>
            </w:r>
          </w:p>
        </w:tc>
      </w:tr>
    </w:tbl>
    <w:p w14:paraId="3E15EB5C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0D6C27AC">
        <w:trPr>
          <w:jc w:val="center"/>
        </w:trPr>
        <w:tc>
          <w:tcPr>
            <w:tcW w:w="192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0E5DF2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 / 能力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991824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核心需求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EBC106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关键规则</w:t>
            </w:r>
          </w:p>
        </w:tc>
      </w:tr>
      <w:tr w14:paraId="2331104A">
        <w:trPr>
          <w:jc w:val="center"/>
        </w:trPr>
        <w:tc>
          <w:tcPr>
            <w:tcW w:w="192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EC4BF9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缴费项目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831AE2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支持收费头、收费项目、人群、收费方式和商户配置。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8833F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收费项目必须与支付主体和商户配置一致。</w:t>
            </w:r>
          </w:p>
        </w:tc>
      </w:tr>
      <w:tr w14:paraId="7A085881">
        <w:trPr>
          <w:jc w:val="center"/>
        </w:trPr>
        <w:tc>
          <w:tcPr>
            <w:tcW w:w="192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E2F68B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缴费管理 / 缴费统计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93E81B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按时间、状态、班级和项目查看应缴、已缴、未缴与详情。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76218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统计口径需与支付订单一致。</w:t>
            </w:r>
          </w:p>
        </w:tc>
      </w:tr>
      <w:tr w14:paraId="7370FEEE">
        <w:trPr>
          <w:jc w:val="center"/>
        </w:trPr>
        <w:tc>
          <w:tcPr>
            <w:tcW w:w="192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F52F3F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对账中心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A83C4D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先展示摘要，再展示差异清单和明细抽屉。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909A46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支持差异筛选、确认和处理跟踪。</w:t>
            </w:r>
          </w:p>
        </w:tc>
      </w:tr>
      <w:tr w14:paraId="0539B351">
        <w:trPr>
          <w:jc w:val="center"/>
        </w:trPr>
        <w:tc>
          <w:tcPr>
            <w:tcW w:w="192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D1CE17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结算中心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4B58FB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支持结算周期、应收应付摘要、结算单列表和详情。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AEDC4D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结算依据必须可回溯到对账结果。</w:t>
            </w:r>
          </w:p>
        </w:tc>
      </w:tr>
      <w:tr w14:paraId="1C59A248">
        <w:trPr>
          <w:jc w:val="center"/>
        </w:trPr>
        <w:tc>
          <w:tcPr>
            <w:tcW w:w="192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E17C3E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出金审批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9E17C2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支持申请金额、收款账户、结算单引用、审批时间线和驳回处理。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B02A35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驳回原因必须保留并支持重提。</w:t>
            </w:r>
          </w:p>
        </w:tc>
      </w:tr>
      <w:tr w14:paraId="38B81BE1">
        <w:trPr>
          <w:jc w:val="center"/>
        </w:trPr>
        <w:tc>
          <w:tcPr>
            <w:tcW w:w="192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F525A4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资金报表</w:t>
            </w:r>
          </w:p>
        </w:tc>
        <w:tc>
          <w:tcPr>
            <w:tcW w:w="413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CAAF70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输出周期收支、差异、结算与出金状态。</w:t>
            </w:r>
          </w:p>
        </w:tc>
        <w:tc>
          <w:tcPr>
            <w:tcW w:w="3005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E81FC4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报表维度需支持学校、食堂和周期筛选。</w:t>
            </w:r>
          </w:p>
        </w:tc>
      </w:tr>
    </w:tbl>
    <w:p w14:paraId="5DADB890"/>
    <w:p w14:paraId="521E251D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7.6 监管与经营协同模块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1E2163B2">
        <w:trPr>
          <w:jc w:val="center"/>
        </w:trPr>
        <w:tc>
          <w:tcPr>
            <w:tcW w:w="9128" w:type="dxa"/>
            <w:tcBorders>
              <w:top w:val="single" w:color="D5E2F5" w:sz="8" w:space="0"/>
              <w:left w:val="single" w:color="D5E2F5" w:sz="8" w:space="0"/>
              <w:bottom w:val="single" w:color="D5E2F5" w:sz="8" w:space="0"/>
              <w:right w:val="single" w:color="D5E2F5" w:sz="8" w:space="0"/>
            </w:tcBorders>
            <w:shd w:val="clear" w:color="auto" w:fill="F7FAFF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5241A321">
            <w:pPr>
              <w:keepNext w:val="0"/>
              <w:keepLines w:val="0"/>
              <w:spacing w:before="0" w:after="0" w:line="300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F3A5F"/>
                <w:sz w:val="20"/>
              </w:rPr>
              <w:t>模块目标：</w:t>
            </w:r>
            <w:r>
              <w:rPr>
                <w:rFonts w:ascii="Noto Sans CJK SC" w:hAnsi="Noto Sans CJK SC" w:eastAsia="Noto Sans CJK SC" w:cs="Noto Sans CJK SC"/>
                <w:color w:val="2B2B2B"/>
                <w:sz w:val="20"/>
              </w:rPr>
              <w:t>让管理层和监管方在不陷入复杂操作的前提下，看清结果、风险和待处理事项。</w:t>
            </w:r>
          </w:p>
        </w:tc>
      </w:tr>
    </w:tbl>
    <w:p w14:paraId="6DA6FCE5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747D3AD6">
        <w:trPr>
          <w:jc w:val="center"/>
        </w:trPr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D6297A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 / 能力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C59E23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核心需求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0D842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设计原则</w:t>
            </w:r>
          </w:p>
        </w:tc>
      </w:tr>
      <w:tr w14:paraId="4EA2412F">
        <w:trPr>
          <w:jc w:val="center"/>
        </w:trPr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54974A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校长 / 分管副校长首页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A6336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展示结果、风险和关键审批，不堆叠复杂操作按钮。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920FF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结果优先、风险前置、审批聚焦。</w:t>
            </w:r>
          </w:p>
        </w:tc>
      </w:tr>
      <w:tr w14:paraId="67FFB2E8">
        <w:trPr>
          <w:jc w:val="center"/>
        </w:trPr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E7810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监管驾驶舱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CFBD9F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支持市级、区级多层级查看，并快速进入风险和督办页面。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DA77E5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按层级控制数据边界。</w:t>
            </w:r>
          </w:p>
        </w:tc>
      </w:tr>
      <w:tr w14:paraId="704B36D5">
        <w:trPr>
          <w:jc w:val="center"/>
        </w:trPr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3979F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督办与整改时间线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4C50B1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展示问题发现、责任人、处理过程、复核结果与归档。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CAC6B9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必须具备时间线视图而非单一状态标签。</w:t>
            </w:r>
          </w:p>
        </w:tc>
      </w:tr>
      <w:tr w14:paraId="76D3C894">
        <w:trPr>
          <w:jc w:val="center"/>
        </w:trPr>
        <w:tc>
          <w:tcPr>
            <w:tcW w:w="238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0BAD8FB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统一经营工作台</w:t>
            </w:r>
          </w:p>
        </w:tc>
        <w:tc>
          <w:tcPr>
            <w:tcW w:w="408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45E256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展示经营概览、异常处理和协同入口。</w:t>
            </w:r>
          </w:p>
        </w:tc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4B89F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支持平台侧与餐企侧快速联动。</w:t>
            </w:r>
          </w:p>
        </w:tc>
      </w:tr>
    </w:tbl>
    <w:p w14:paraId="4D5AFC4D"/>
    <w:p w14:paraId="35FFD499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8. 页面与角色映射</w:t>
      </w:r>
    </w:p>
    <w:p w14:paraId="352DD50B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8.1 PC 端映射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2338"/>
        <w:gridCol w:w="2338"/>
        <w:gridCol w:w="2338"/>
      </w:tblGrid>
      <w:tr w14:paraId="4FF75237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D4DD9E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页面组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196A60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主角色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1629DA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辅助角色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56374D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 w14:paraId="56EAD639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A79DB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平台总入口 / 接入向导 / 功能包配置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6739C8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平台管理员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5EC5BB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项目实施人员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37B7AA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用于学校接入、功能开通与通道配置。</w:t>
            </w:r>
          </w:p>
        </w:tc>
      </w:tr>
      <w:tr w14:paraId="12BE3EA5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C0EC1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平台管理员首页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5E28B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平台管理员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9B399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经营侧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209F0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查看学校项目状态、异常和待办。</w:t>
            </w:r>
          </w:p>
        </w:tc>
      </w:tr>
      <w:tr w14:paraId="030487ED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D230FB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监管首页 / 驾驶舱 / 督办页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AF2DD7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市教委、区教委、监管专员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8EE23C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校级管理者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9FFED6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按层级查看监管数据并追踪闭环。</w:t>
            </w:r>
          </w:p>
        </w:tc>
      </w:tr>
      <w:tr w14:paraId="45954A20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7E5240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后勤主任工作台 / 菜品库 / 套餐管理 / 每日发餐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0DCC72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后勤主任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13B8D4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食堂管理员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3A4E0A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负责学校供餐配置与执行。</w:t>
            </w:r>
          </w:p>
        </w:tc>
      </w:tr>
      <w:tr w14:paraId="02CE8B40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E21A1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补贴管理 / 消费限制 / 后台订餐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B588AB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后勤主任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3DDE43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食堂管理员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BCB9CB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负责特殊规则配置与代订操作。</w:t>
            </w:r>
          </w:p>
        </w:tc>
      </w:tr>
      <w:tr w14:paraId="52199AB3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B882F3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缴费项目 / 缴费管理 / 对账中心 / 结算中心 / 出金审批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A22B6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学校财务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4CEF2D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后勤主任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EE617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承接学校财务闭环与审批动作。</w:t>
            </w:r>
          </w:p>
        </w:tc>
      </w:tr>
      <w:tr w14:paraId="0C0CEBA2">
        <w:trPr>
          <w:jc w:val="center"/>
        </w:trPr>
        <w:tc>
          <w:tcPr>
            <w:tcW w:w="260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F0430E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经营工作台 / 差异详情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1E5EFA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餐企财务与经营侧</w:t>
            </w:r>
          </w:p>
        </w:tc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D7754B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平台管理员</w:t>
            </w:r>
          </w:p>
        </w:tc>
        <w:tc>
          <w:tcPr>
            <w:tcW w:w="306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D49F93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聚焦经营协同和差异处理。</w:t>
            </w:r>
          </w:p>
        </w:tc>
      </w:tr>
    </w:tbl>
    <w:p w14:paraId="6A60A37C"/>
    <w:p w14:paraId="015FE336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8.2 Mobile 与 Device 端映射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2338"/>
        <w:gridCol w:w="2338"/>
        <w:gridCol w:w="2338"/>
      </w:tblGrid>
      <w:tr w14:paraId="43C2393C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930F7D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终端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7FF06C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页面组</w:t>
            </w:r>
          </w:p>
        </w:tc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A12437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主角色</w:t>
            </w:r>
          </w:p>
        </w:tc>
        <w:tc>
          <w:tcPr>
            <w:tcW w:w="153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E438F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 w14:paraId="0E162642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C4AFA9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Mobile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264C07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首页、订餐页、钱包页、退餐与记录页、消息中心</w:t>
            </w:r>
          </w:p>
        </w:tc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F23AF9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家长端用户</w:t>
            </w:r>
          </w:p>
        </w:tc>
        <w:tc>
          <w:tcPr>
            <w:tcW w:w="153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239880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用于家长订餐、支付、查看记录与接收通知。</w:t>
            </w:r>
          </w:p>
        </w:tc>
      </w:tr>
      <w:tr w14:paraId="3CC18C06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EC00062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Device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9C98EC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待识别、核销成功、核销失败、现场选餐盒、确认消费、消费成功</w:t>
            </w:r>
          </w:p>
        </w:tc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CBE8B3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学生消费机终端</w:t>
            </w:r>
          </w:p>
        </w:tc>
        <w:tc>
          <w:tcPr>
            <w:tcW w:w="153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116E3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用于学生现场识别、核销和消费。</w:t>
            </w:r>
          </w:p>
        </w:tc>
      </w:tr>
    </w:tbl>
    <w:p w14:paraId="21BF0258"/>
    <w:p w14:paraId="265CD68B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9. 业务规则</w:t>
      </w:r>
    </w:p>
    <w:p w14:paraId="35382049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9.1 补贴与消费限制规则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55D566F3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9BDEC6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规则域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AAC4FE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规则要求</w:t>
            </w:r>
          </w:p>
        </w:tc>
      </w:tr>
      <w:tr w14:paraId="64DBF584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0CBED6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补贴规则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0D38A1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每条规则必须明确适用人群、人群类型、餐次、场景、补贴类型、金额、次数限制和启停状态。</w:t>
            </w:r>
          </w:p>
        </w:tc>
      </w:tr>
      <w:tr w14:paraId="3351F452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D5C38D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消费限制规则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EDF10D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每条规则必须明确班级、人群、餐次、消费模式、次数与有效范围。</w:t>
            </w:r>
          </w:p>
        </w:tc>
      </w:tr>
      <w:tr w14:paraId="5701B44B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F5C66E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校验时机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589BE4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家长下单、后台订餐和设备现场消费前均需完成规则校验，不允许先下单后补判断。</w:t>
            </w:r>
          </w:p>
        </w:tc>
      </w:tr>
    </w:tbl>
    <w:p w14:paraId="3363125C"/>
    <w:p w14:paraId="5458A96B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9.2 订单、账户与退款规则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06C6B7B4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8C64BB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1D47BF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要求</w:t>
            </w:r>
          </w:p>
        </w:tc>
      </w:tr>
      <w:tr w14:paraId="4356097B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D0C11B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订单与流水联动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DCAD4C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订餐成功后必须同时生成订单记录和账户流水。</w:t>
            </w:r>
          </w:p>
        </w:tc>
      </w:tr>
      <w:tr w14:paraId="51AF67F3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BE3C6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核销状态回写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5FB791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设备核销成功后，订单状态、流水状态和设备结果应同步更新。</w:t>
            </w:r>
          </w:p>
        </w:tc>
      </w:tr>
      <w:tr w14:paraId="11FDDA39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502BF3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退款留痕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0FB91A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退款、补贴回退和冲销动作必须保留完整记录。</w:t>
            </w:r>
          </w:p>
        </w:tc>
      </w:tr>
      <w:tr w14:paraId="540FED4C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187EF4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退餐校验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8BCEE2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超过退餐截止时间或餐次已执行时，应阻断退餐并明确说明原因。</w:t>
            </w:r>
          </w:p>
        </w:tc>
      </w:tr>
    </w:tbl>
    <w:p w14:paraId="4A0F4DB6"/>
    <w:p w14:paraId="72803CCC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9.3 对账、结算与出金规则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4165CDA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899BB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7DEE94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要求</w:t>
            </w:r>
          </w:p>
        </w:tc>
      </w:tr>
      <w:tr w14:paraId="773A1D4F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1D9E9BE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对账展示顺序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FF9B1F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必须先展示摘要和差异，再下钻交易明细。</w:t>
            </w:r>
          </w:p>
        </w:tc>
      </w:tr>
      <w:tr w14:paraId="614494E0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D328A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差异处理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8FCDDB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差异状态应支持筛选、确认、责任人跟踪和处理结果记录。</w:t>
            </w:r>
          </w:p>
        </w:tc>
      </w:tr>
      <w:tr w14:paraId="0BB131E4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A420F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结算与出金关联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3A674D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结算单与出金申请必须互相引用，确保资金拨付依据明确。</w:t>
            </w:r>
          </w:p>
        </w:tc>
      </w:tr>
      <w:tr w14:paraId="5BC373E3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ABFA88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驳回重提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08395D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出金审批被驳回后，系统需保留驳回原因并支持重新提交。</w:t>
            </w:r>
          </w:p>
        </w:tc>
      </w:tr>
    </w:tbl>
    <w:p w14:paraId="3248652C"/>
    <w:p w14:paraId="0F13CF70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9.4 设备离线与异常规则</w:t>
      </w:r>
    </w:p>
    <w:p w14:paraId="0DBC20C3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设备离线时应具备本地缓存和补传策略，并展示可见的离线状态。</w:t>
      </w:r>
    </w:p>
    <w:p w14:paraId="12377CFE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核销失败页必须给出下一步建议，例如重试、人工处理或现场补订。</w:t>
      </w:r>
    </w:p>
    <w:p w14:paraId="7966FB41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餐次下架、停售或权限受限时，应阻断下单或消费，不允许先交易后回滚。</w:t>
      </w:r>
    </w:p>
    <w:p w14:paraId="3F4F1E13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银行、识别和消息通道异常应具备告警与处理入口。</w:t>
      </w:r>
    </w:p>
    <w:p w14:paraId="21DE62C4"/>
    <w:p w14:paraId="46071F4B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10. 权限与数据边界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6F15DEF0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AF95A4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角色</w:t>
            </w:r>
          </w:p>
        </w:tc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16FFFB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数据范围</w:t>
            </w:r>
          </w:p>
        </w:tc>
        <w:tc>
          <w:tcPr>
            <w:tcW w:w="425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B88E27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操作边界</w:t>
            </w:r>
          </w:p>
        </w:tc>
      </w:tr>
      <w:tr w14:paraId="5D53F39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9A945B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市教委</w:t>
            </w:r>
          </w:p>
        </w:tc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2EAAD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全市范围</w:t>
            </w:r>
          </w:p>
        </w:tc>
        <w:tc>
          <w:tcPr>
            <w:tcW w:w="425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53FC01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查看全市监管数据与督办闭环，不执行学校业务操作。</w:t>
            </w:r>
          </w:p>
        </w:tc>
      </w:tr>
      <w:tr w14:paraId="45737C74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307084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区教委</w:t>
            </w:r>
          </w:p>
        </w:tc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26019B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本区范围</w:t>
            </w:r>
          </w:p>
        </w:tc>
        <w:tc>
          <w:tcPr>
            <w:tcW w:w="425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0D57C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查看本区学校数据，不可查看其他区数据。</w:t>
            </w:r>
          </w:p>
        </w:tc>
      </w:tr>
      <w:tr w14:paraId="426CAC57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AA932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学校角色</w:t>
            </w:r>
          </w:p>
        </w:tc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CE127F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本校或授权范围</w:t>
            </w:r>
          </w:p>
        </w:tc>
        <w:tc>
          <w:tcPr>
            <w:tcW w:w="425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2E70AB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仅在本校范围内进行配置、执行、对账和审批。</w:t>
            </w:r>
          </w:p>
        </w:tc>
      </w:tr>
      <w:tr w14:paraId="68788469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71F350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家长端用户</w:t>
            </w:r>
          </w:p>
        </w:tc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A0C45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本人名下学生</w:t>
            </w:r>
          </w:p>
        </w:tc>
        <w:tc>
          <w:tcPr>
            <w:tcW w:w="425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1AA17A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仅查看本人孩子的订单、余额和记录。</w:t>
            </w:r>
          </w:p>
        </w:tc>
      </w:tr>
      <w:tr w14:paraId="37B160FC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BED2C7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设备</w:t>
            </w:r>
          </w:p>
        </w:tc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51C23B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授权学校、食堂、餐次和窗口范围</w:t>
            </w:r>
          </w:p>
        </w:tc>
        <w:tc>
          <w:tcPr>
            <w:tcW w:w="425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EA049D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只能执行授权场景下的识别、核销和消费任务。</w:t>
            </w:r>
          </w:p>
        </w:tc>
      </w:tr>
      <w:tr w14:paraId="32D4B936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4D05DB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监管角色</w:t>
            </w:r>
          </w:p>
        </w:tc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3C98A3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监管授权范围</w:t>
            </w:r>
          </w:p>
        </w:tc>
        <w:tc>
          <w:tcPr>
            <w:tcW w:w="425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0FDDF3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以查看、督办、整改跟踪为主，不直接执行学校经营动作。</w:t>
            </w:r>
          </w:p>
        </w:tc>
      </w:tr>
    </w:tbl>
    <w:p w14:paraId="17BEF484"/>
    <w:p w14:paraId="43767438">
      <w:pPr>
        <w:keepNext w:val="0"/>
        <w:keepLines w:val="0"/>
        <w:spacing w:before="0" w:after="160" w:line="312" w:lineRule="auto"/>
        <w:jc w:val="left"/>
      </w:pPr>
      <w:r>
        <w:rPr>
          <w:rFonts w:ascii="Noto Sans CJK SC" w:hAnsi="Noto Sans CJK SC" w:eastAsia="Noto Sans CJK SC" w:cs="Noto Sans CJK SC"/>
          <w:b/>
          <w:color w:val="626262"/>
          <w:sz w:val="18"/>
        </w:rPr>
        <w:t>说明：</w:t>
      </w:r>
      <w:r>
        <w:rPr>
          <w:rFonts w:ascii="Noto Sans CJK SC" w:hAnsi="Noto Sans CJK SC" w:eastAsia="Noto Sans CJK SC" w:cs="Noto Sans CJK SC"/>
          <w:color w:val="626262"/>
          <w:sz w:val="18"/>
        </w:rPr>
        <w:t>权限设计需在接口层、页面层和导出能力中同时生效，避免仅在菜单层做表面隔离。</w:t>
      </w:r>
    </w:p>
    <w:p w14:paraId="7D514991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11. 数据、埋点与审计要求</w:t>
      </w:r>
    </w:p>
    <w:p w14:paraId="56448B2B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11.1 核心数据维度</w:t>
      </w:r>
    </w:p>
    <w:p w14:paraId="0961BEE5">
      <w:pPr>
        <w:keepNext w:val="0"/>
        <w:keepLines w:val="0"/>
        <w:spacing w:before="0" w:after="120" w:line="348" w:lineRule="auto"/>
        <w:jc w:val="both"/>
      </w:pPr>
      <w:r>
        <w:rPr>
          <w:rFonts w:ascii="Noto Sans CJK SC" w:hAnsi="Noto Sans CJK SC" w:eastAsia="Noto Sans CJK SC" w:cs="Noto Sans CJK SC"/>
          <w:b w:val="0"/>
          <w:color w:val="2B2B2B"/>
          <w:sz w:val="21"/>
        </w:rPr>
        <w:t>系统至少应围绕学校、食堂、窗口、设备、餐次、菜品与套餐、角色与人群、订单状态、钱包与流水、对账单、结算单和出金单统一统计与展示数据，确保各端口径一致。</w:t>
      </w:r>
    </w:p>
    <w:p w14:paraId="2D3D07B9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11.2 核心埋点事件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6421EE99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E765670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事件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198BBC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触发说明</w:t>
            </w:r>
          </w:p>
        </w:tc>
      </w:tr>
      <w:tr w14:paraId="174725AD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3DB711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menu_publish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BF0342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餐单发布。</w:t>
            </w:r>
          </w:p>
        </w:tc>
      </w:tr>
      <w:tr w14:paraId="32C26409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ABF862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subsidy_rule_update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C60CD6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补贴规则新增、编辑或启停。</w:t>
            </w:r>
          </w:p>
        </w:tc>
      </w:tr>
      <w:tr w14:paraId="627C7DB1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9E0EF34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consume_limit_update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837735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消费限制规则新增、编辑或启停。</w:t>
            </w:r>
          </w:p>
        </w:tc>
      </w:tr>
      <w:tr w14:paraId="70E5AC40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4AC64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order_create / payment_success / payment_fail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812657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订单创建与支付结果。</w:t>
            </w:r>
          </w:p>
        </w:tc>
      </w:tr>
      <w:tr w14:paraId="10BCC7F4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0B6343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pickup_complete / verify_fail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17E8C6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设备核销完成或核销失败。</w:t>
            </w:r>
          </w:p>
        </w:tc>
      </w:tr>
      <w:tr w14:paraId="0707C001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6B0774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refund_submit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F0C47FB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退餐或退款申请提交。</w:t>
            </w:r>
          </w:p>
        </w:tc>
      </w:tr>
      <w:tr w14:paraId="306C341E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0CC91F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reconciliation_confirm / settlement_confirm / cashout_submit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D0320F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对账确认、结算确认和出金申请。</w:t>
            </w:r>
          </w:p>
        </w:tc>
      </w:tr>
      <w:tr w14:paraId="3546F9F4">
        <w:trPr>
          <w:jc w:val="center"/>
        </w:trPr>
        <w:tc>
          <w:tcPr>
            <w:tcW w:w="311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A9CEC1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device_offline</w:t>
            </w:r>
          </w:p>
        </w:tc>
        <w:tc>
          <w:tcPr>
            <w:tcW w:w="595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B98187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设备离线。</w:t>
            </w:r>
          </w:p>
        </w:tc>
      </w:tr>
    </w:tbl>
    <w:p w14:paraId="3CC1B19C"/>
    <w:p w14:paraId="308C8154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11.3 审计要求</w:t>
      </w:r>
    </w:p>
    <w:p w14:paraId="716B6CC8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关键配置变更应记录操作人、时间、变更前后内容和影响范围。</w:t>
      </w:r>
    </w:p>
    <w:p w14:paraId="14C55790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钱包、退款、结算和出金等资金动作必须具备审计日志。</w:t>
      </w:r>
    </w:p>
    <w:p w14:paraId="012A502F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监管督办、整改、复核和归档动作必须完整留痕，支持后续核查。</w:t>
      </w:r>
    </w:p>
    <w:p w14:paraId="79201785"/>
    <w:p w14:paraId="17C18B70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12. 非功能要求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678ED32B">
        <w:trPr>
          <w:jc w:val="center"/>
        </w:trPr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85A1C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维度</w:t>
            </w:r>
          </w:p>
        </w:tc>
        <w:tc>
          <w:tcPr>
            <w:tcW w:w="748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7869B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要求</w:t>
            </w:r>
          </w:p>
        </w:tc>
      </w:tr>
      <w:tr w14:paraId="1DDB039E">
        <w:trPr>
          <w:jc w:val="center"/>
        </w:trPr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466B1E5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可用性</w:t>
            </w:r>
          </w:p>
        </w:tc>
        <w:tc>
          <w:tcPr>
            <w:tcW w:w="748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2BE836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后台页面优先采用“搜索区 + 表格区 + 行内操作”或“摘要卡片 + 主要动作”结构；设备端保持极简；首页首屏优先展示高频动作和关键结果。</w:t>
            </w:r>
          </w:p>
        </w:tc>
      </w:tr>
      <w:tr w14:paraId="3D82AE6D">
        <w:trPr>
          <w:jc w:val="center"/>
        </w:trPr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48D0D0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性能</w:t>
            </w:r>
          </w:p>
        </w:tc>
        <w:tc>
          <w:tcPr>
            <w:tcW w:w="748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B396A6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设备核销主路径反馈控制在 2 至 3 秒；摘要页优先返回摘要内容，明细按需加载。</w:t>
            </w:r>
          </w:p>
        </w:tc>
      </w:tr>
      <w:tr w14:paraId="578C8261">
        <w:trPr>
          <w:jc w:val="center"/>
        </w:trPr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2196E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稳定性</w:t>
            </w:r>
          </w:p>
        </w:tc>
        <w:tc>
          <w:tcPr>
            <w:tcW w:w="748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F86BBF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设备离线、网络波动和补传失败需有可见状态和恢复策略；银行、识别和消息通道异常需可监控、可告警。</w:t>
            </w:r>
          </w:p>
        </w:tc>
      </w:tr>
      <w:tr w14:paraId="4225F3C0">
        <w:trPr>
          <w:jc w:val="center"/>
        </w:trPr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EAA24CB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一致性</w:t>
            </w:r>
          </w:p>
        </w:tc>
        <w:tc>
          <w:tcPr>
            <w:tcW w:w="748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3380ED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页面名称、角色名称、关键状态与原型、UML、前端路由和接口命名保持一致。</w:t>
            </w:r>
          </w:p>
        </w:tc>
      </w:tr>
      <w:tr w14:paraId="374DCC69">
        <w:trPr>
          <w:jc w:val="center"/>
        </w:trPr>
        <w:tc>
          <w:tcPr>
            <w:tcW w:w="158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9A0C32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可扩展性</w:t>
            </w:r>
          </w:p>
        </w:tc>
        <w:tc>
          <w:tcPr>
            <w:tcW w:w="748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95765E4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应支持 10 校、30 校、100 校的分阶段扩容，并保留经营协同与监管深化能力。</w:t>
            </w:r>
          </w:p>
        </w:tc>
      </w:tr>
    </w:tbl>
    <w:p w14:paraId="1B8784C7"/>
    <w:p w14:paraId="51412984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13. 验收标准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45FB11EA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EBB55E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验收维度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9EE728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验收标准</w:t>
            </w:r>
          </w:p>
        </w:tc>
      </w:tr>
      <w:tr w14:paraId="4F1481B0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1F12B0F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范围验收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D10F43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本期仅覆盖订餐、支付、核销、运营、基础监管与财务闭环，不引入采购、库存、招投标和会计凭证。</w:t>
            </w:r>
          </w:p>
        </w:tc>
      </w:tr>
      <w:tr w14:paraId="28D5952B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3FE9E7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角色验收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71D20B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平台、监管、学校治理、食堂执行、经营、财务、家长和设备端角色必须分层清晰。</w:t>
            </w:r>
          </w:p>
        </w:tc>
      </w:tr>
      <w:tr w14:paraId="20906355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3451EE3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交互验收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774DF9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首页一级动作控制在 7 个以内；对账与流水场景必须先摘要后明细；设备端状态反馈清晰。</w:t>
            </w:r>
          </w:p>
        </w:tc>
      </w:tr>
      <w:tr w14:paraId="377B8802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EF0ABF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状态验收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1153CD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必须覆盖空态、成功态、错误态、审批中、风险预警、设备离线和权限受限等关键状态。</w:t>
            </w:r>
          </w:p>
        </w:tc>
      </w:tr>
      <w:tr w14:paraId="6D4D6BF1">
        <w:trPr>
          <w:jc w:val="center"/>
        </w:trPr>
        <w:tc>
          <w:tcPr>
            <w:tcW w:w="1701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E19B5E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场景验收</w:t>
            </w:r>
          </w:p>
        </w:tc>
        <w:tc>
          <w:tcPr>
            <w:tcW w:w="7370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A09004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家长可在 3 步内完成订餐；退餐可见规则、进度和结果；设备端失败有明确指引；后勤主任可快速进入异常订单、对账中心和出金审批；监管端数据边界正确且时间线完整。</w:t>
            </w:r>
          </w:p>
        </w:tc>
      </w:tr>
    </w:tbl>
    <w:p w14:paraId="6046DD06"/>
    <w:p w14:paraId="7F9F7E20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14. 风险、依赖与待确认项</w:t>
      </w:r>
    </w:p>
    <w:p w14:paraId="25D8A96B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14.1 关键依赖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1D9E8A48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7F3BECC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依赖项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456A61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影响说明</w:t>
            </w:r>
          </w:p>
        </w:tc>
      </w:tr>
      <w:tr w14:paraId="1553B728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7C1A637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银行通道接入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B5787A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决定支付、回单和出金是否能稳定运行。</w:t>
            </w:r>
          </w:p>
        </w:tc>
      </w:tr>
      <w:tr w14:paraId="0744EE28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1BF08D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校园卡 / 人脸识别能力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405AC2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决定学生现场识别和核销体验。</w:t>
            </w:r>
          </w:p>
        </w:tc>
      </w:tr>
      <w:tr w14:paraId="6294AA2C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50BDA6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学校网络与设备质量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B9D994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直接影响现场执行稳定性与补传效果。</w:t>
            </w:r>
          </w:p>
        </w:tc>
      </w:tr>
      <w:tr w14:paraId="120DC9AF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B91419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各校补贴与收费规则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F15857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影响统一产品模型的可复制性。</w:t>
            </w:r>
          </w:p>
        </w:tc>
      </w:tr>
      <w:tr w14:paraId="5A8AFF24">
        <w:trPr>
          <w:jc w:val="center"/>
        </w:trPr>
        <w:tc>
          <w:tcPr>
            <w:tcW w:w="2268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FCCF50A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边缘节点部署与运维能力</w:t>
            </w:r>
          </w:p>
        </w:tc>
        <w:tc>
          <w:tcPr>
            <w:tcW w:w="6803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8DCA27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9"/>
              </w:rPr>
              <w:t>决定弱网场景下是否具备业务连续性。</w:t>
            </w:r>
          </w:p>
        </w:tc>
      </w:tr>
    </w:tbl>
    <w:p w14:paraId="74A800B5"/>
    <w:p w14:paraId="260C84AC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14.2 主要风险</w:t>
      </w:r>
    </w:p>
    <w:p w14:paraId="1897FD01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若学校规则差异过大，系统容易被过度项目化，削弱复制能力。</w:t>
      </w:r>
    </w:p>
    <w:p w14:paraId="18D5F590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若设备协议和识别能力不统一，现场体验与补传稳定性会受到明显影响。</w:t>
      </w:r>
    </w:p>
    <w:p w14:paraId="7A4F1588">
      <w:pPr>
        <w:keepNext w:val="0"/>
        <w:keepLines w:val="0"/>
        <w:spacing w:before="0" w:after="20" w:line="324" w:lineRule="auto"/>
        <w:ind w:left="113"/>
        <w:jc w:val="left"/>
      </w:pPr>
      <w:r>
        <w:rPr>
          <w:rFonts w:ascii="Noto Sans CJK SC" w:hAnsi="Noto Sans CJK SC" w:eastAsia="Noto Sans CJK SC" w:cs="Noto Sans CJK SC"/>
          <w:b w:val="0"/>
          <w:color w:val="2B2B2B"/>
          <w:sz w:val="20"/>
        </w:rPr>
        <w:t>• 若平台、监管与学校三侧边界不清，权限、页面和数据范围将持续返工。</w:t>
      </w:r>
    </w:p>
    <w:p w14:paraId="6AD74741"/>
    <w:p w14:paraId="5439AB42">
      <w:pPr>
        <w:pStyle w:val="4"/>
        <w:keepNext/>
        <w:keepLines w:val="0"/>
        <w:spacing w:before="16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26"/>
        </w:rPr>
        <w:t>14.3 待确认事项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 w14:paraId="4E737856">
        <w:trPr>
          <w:jc w:val="center"/>
        </w:trPr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26099B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待确认项</w:t>
            </w:r>
          </w:p>
        </w:tc>
        <w:tc>
          <w:tcPr>
            <w:tcW w:w="566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6BD30AA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当前说明</w:t>
            </w:r>
          </w:p>
        </w:tc>
      </w:tr>
      <w:tr w14:paraId="729334D6">
        <w:trPr>
          <w:jc w:val="center"/>
        </w:trPr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5E2FDB6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学校财务、餐企财务与供应商轻门户的完整页面清单</w:t>
            </w:r>
          </w:p>
        </w:tc>
        <w:tc>
          <w:tcPr>
            <w:tcW w:w="566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DB3160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当前文档仅冻结主链路相关页面，完整清单待后续确认。</w:t>
            </w:r>
          </w:p>
        </w:tc>
      </w:tr>
      <w:tr w14:paraId="7B8E89D3">
        <w:trPr>
          <w:jc w:val="center"/>
        </w:trPr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1187D1E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AI 问答入口的能力边界与权限限制</w:t>
            </w:r>
          </w:p>
        </w:tc>
        <w:tc>
          <w:tcPr>
            <w:tcW w:w="566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8923B4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可作为辅助入口存在，但不得直接执行关键业务动作。</w:t>
            </w:r>
          </w:p>
        </w:tc>
      </w:tr>
      <w:tr w14:paraId="64ECEAD2">
        <w:trPr>
          <w:jc w:val="center"/>
        </w:trPr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BB644C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教师与工作人员消费模型</w:t>
            </w:r>
          </w:p>
        </w:tc>
        <w:tc>
          <w:tcPr>
            <w:tcW w:w="566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84F09F5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待确认是否完全复用学生消费资金模型。</w:t>
            </w:r>
          </w:p>
        </w:tc>
      </w:tr>
      <w:tr w14:paraId="1D84E549">
        <w:trPr>
          <w:jc w:val="center"/>
        </w:trPr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A59E903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边缘节点启用时机</w:t>
            </w:r>
          </w:p>
        </w:tc>
        <w:tc>
          <w:tcPr>
            <w:tcW w:w="566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E0561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待确认是否在 10 校试点阶段即启用，或仅作为预留能力。</w:t>
            </w:r>
          </w:p>
        </w:tc>
      </w:tr>
    </w:tbl>
    <w:p w14:paraId="178FAADB"/>
    <w:p w14:paraId="6EB779B2">
      <w:pPr>
        <w:pStyle w:val="3"/>
        <w:keepNext/>
        <w:keepLines w:val="0"/>
        <w:spacing w:before="240" w:after="80" w:line="288" w:lineRule="auto"/>
        <w:jc w:val="left"/>
      </w:pPr>
      <w:r>
        <w:rPr>
          <w:rFonts w:ascii="Noto Sans CJK SC" w:hAnsi="Noto Sans CJK SC" w:eastAsia="Noto Sans CJK SC" w:cs="Noto Sans CJK SC"/>
          <w:b/>
          <w:color w:val="1F3A5F"/>
          <w:sz w:val="32"/>
        </w:rPr>
        <w:t>15. 实施建议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18"/>
        <w:gridCol w:w="3118"/>
      </w:tblGrid>
      <w:tr w14:paraId="400EBED3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C93D229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阶段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F9E5EF2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建议动作</w:t>
            </w:r>
          </w:p>
        </w:tc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355D8C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A34FDEC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产出物</w:t>
            </w:r>
          </w:p>
        </w:tc>
      </w:tr>
      <w:tr w14:paraId="06E6FF7F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F05C3FE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阶段一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8E7C370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冻结 PRD、页面命名、角色命名、核心实体和状态词汇。</w:t>
            </w:r>
          </w:p>
        </w:tc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00F9C2F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需求基线、术语表、页面清单。</w:t>
            </w:r>
          </w:p>
        </w:tc>
      </w:tr>
      <w:tr w14:paraId="5D9BB8B7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244B9C6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阶段二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33545BD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按 UML 清单补齐图模，并回修暴露出的逻辑缺口。</w:t>
            </w:r>
          </w:p>
        </w:tc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B8A7EE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UML 图、流程校对结论。</w:t>
            </w:r>
          </w:p>
        </w:tc>
      </w:tr>
      <w:tr w14:paraId="5926D2AB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61F078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阶段三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80144F9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完成 PC、Mobile、Device 三端 P0 原型细化与状态补齐，并在前端工程骨架中落地页面壳与 mock 数据。</w:t>
            </w:r>
          </w:p>
        </w:tc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FE7A2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原型、前端骨架、Mock 数据。</w:t>
            </w:r>
          </w:p>
        </w:tc>
      </w:tr>
      <w:tr w14:paraId="08162653">
        <w:trPr>
          <w:jc w:val="center"/>
        </w:trPr>
        <w:tc>
          <w:tcPr>
            <w:tcW w:w="1417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D54F931">
            <w:pPr>
              <w:keepNext w:val="0"/>
              <w:keepLines w:val="0"/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阶段四</w:t>
            </w:r>
          </w:p>
        </w:tc>
        <w:tc>
          <w:tcPr>
            <w:tcW w:w="4819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17160D1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输出接口清单、权限矩阵、数据字典、日志方案和 UAT 场景清单，进入联调和试点实施。</w:t>
            </w:r>
          </w:p>
        </w:tc>
        <w:tc>
          <w:tcPr>
            <w:tcW w:w="3402" w:type="dxa"/>
            <w:tcBorders>
              <w:top w:val="single" w:color="C7D3E3" w:sz="8" w:space="0"/>
              <w:left w:val="single" w:color="C7D3E3" w:sz="8" w:space="0"/>
              <w:bottom w:val="single" w:color="C7D3E3" w:sz="8" w:space="0"/>
              <w:right w:val="single" w:color="C7D3E3" w:sz="8" w:space="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26EFB18">
            <w:pPr>
              <w:keepNext w:val="0"/>
              <w:keepLines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2B2B2B"/>
                <w:sz w:val="18"/>
              </w:rPr>
              <w:t>接口清单、权限矩阵、数据字典、测试与 UAT 清单。</w:t>
            </w:r>
          </w:p>
        </w:tc>
      </w:tr>
    </w:tbl>
    <w:p w14:paraId="48E29518"/>
    <w:sectPr>
      <w:headerReference r:id="rId5" w:type="default"/>
      <w:footerReference r:id="rId6" w:type="default"/>
      <w:pgSz w:w="11906" w:h="16838"/>
      <w:pgMar w:top="1191" w:right="1276" w:bottom="1020" w:left="1276" w:header="567" w:footer="454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1AC50">
    <w:pPr>
      <w:pStyle w:val="24"/>
      <w:keepNext w:val="0"/>
      <w:keepLines w:val="0"/>
      <w:spacing w:before="0" w:after="0" w:line="240" w:lineRule="auto"/>
      <w:jc w:val="center"/>
    </w:pPr>
    <w:r>
      <w:rPr>
        <w:rFonts w:ascii="Noto Sans CJK SC" w:hAnsi="Noto Sans CJK SC" w:eastAsia="Noto Sans CJK SC" w:cs="Noto Sans CJK SC"/>
        <w:color w:val="626262"/>
        <w:sz w:val="17"/>
      </w:rPr>
      <w:t xml:space="preserve">平安云厨市级校园智慧团餐 SaaS 平台 | 第 </w:t>
    </w:r>
    <w:r>
      <w:rPr>
        <w:rFonts w:ascii="Noto Sans CJK SC" w:hAnsi="Noto Sans CJK SC" w:eastAsia="Noto Sans CJK SC" w:cs="Noto Sans CJK SC"/>
        <w:color w:val="626262"/>
        <w:sz w:val="17"/>
      </w:rPr>
      <w:fldChar w:fldCharType="begin"/>
    </w:r>
    <w:r>
      <w:rPr>
        <w:rFonts w:ascii="Noto Sans CJK SC" w:hAnsi="Noto Sans CJK SC" w:eastAsia="Noto Sans CJK SC" w:cs="Noto Sans CJK SC"/>
        <w:color w:val="626262"/>
        <w:sz w:val="17"/>
      </w:rPr>
      <w:instrText xml:space="preserve"> PAGE </w:instrText>
    </w:r>
    <w:r>
      <w:rPr>
        <w:rFonts w:ascii="Noto Sans CJK SC" w:hAnsi="Noto Sans CJK SC" w:eastAsia="Noto Sans CJK SC" w:cs="Noto Sans CJK SC"/>
        <w:color w:val="626262"/>
        <w:sz w:val="17"/>
      </w:rPr>
      <w:fldChar w:fldCharType="end"/>
    </w:r>
    <w:r>
      <w:rPr>
        <w:rFonts w:ascii="Noto Sans CJK SC" w:hAnsi="Noto Sans CJK SC" w:eastAsia="Noto Sans CJK SC" w:cs="Noto Sans CJK SC"/>
        <w:color w:val="626262"/>
        <w:sz w:val="17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45B2">
    <w:pPr>
      <w:pStyle w:val="25"/>
      <w:keepNext w:val="0"/>
      <w:keepLines w:val="0"/>
      <w:spacing w:before="0" w:after="0" w:line="240" w:lineRule="auto"/>
      <w:jc w:val="right"/>
    </w:pPr>
    <w:r>
      <w:rPr>
        <w:rFonts w:ascii="Noto Sans CJK SC" w:hAnsi="Noto Sans CJK SC" w:eastAsia="Noto Sans CJK SC" w:cs="Noto Sans CJK SC"/>
        <w:color w:val="626262"/>
        <w:sz w:val="17"/>
      </w:rPr>
      <w:t>平安云厨市级校园智慧团餐 SaaS 平台 | 产品需求文档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BF7F387D"/>
    <w:rsid w:val="DBBCC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 CJK SC" w:hAnsi="Noto Sans CJK SC" w:eastAsia="Noto Sans CJK SC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1F3A5F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1F3A5F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2F5D9F"/>
      <w:sz w:val="23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626262"/>
      <w:spacing w:val="15"/>
      <w:sz w:val="26"/>
      <w:szCs w:val="24"/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F3A5F"/>
      <w:spacing w:val="5"/>
      <w:kern w:val="28"/>
      <w:sz w:val="48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李曼</cp:lastModifiedBy>
  <dcterms:modified xsi:type="dcterms:W3CDTF">2026-04-08T15:09:09Z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9B647DE1A2D1F5FDA9FED569C1D81A54_42</vt:lpwstr>
  </property>
</Properties>
</file>