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sz w:val="40"/>
        </w:rPr>
        <w:t>国信智慧食堂项目软件开发功能范围</w:t>
      </w:r>
    </w:p>
    <w:p>
      <w:pPr>
        <w:jc w:val="center"/>
      </w:pPr>
      <w:r>
        <w:rPr>
          <w:rFonts w:ascii="微软雅黑" w:hAnsi="微软雅黑" w:eastAsia="微软雅黑"/>
          <w:color w:val="5F6F84"/>
          <w:sz w:val="24"/>
        </w:rPr>
        <w:t>合同附件（建议稿）</w:t>
      </w:r>
    </w:p>
    <w:p>
      <w:pPr>
        <w:jc w:val="center"/>
      </w:pPr>
      <w:r>
        <w:rPr>
          <w:rFonts w:ascii="微软雅黑" w:hAnsi="微软雅黑" w:eastAsia="微软雅黑"/>
          <w:color w:val="788291"/>
          <w:sz w:val="18"/>
        </w:rPr>
        <w:t>整理日期：2026-06-10</w:t>
      </w:r>
    </w:p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一、附件定位</w:t>
      </w:r>
    </w:p>
    <w:p>
      <w:pPr>
        <w:spacing w:after="80" w:line="300" w:lineRule="auto"/>
      </w:pPr>
      <w:r>
        <w:rPr>
          <w:rFonts w:ascii="微软雅黑" w:hAnsi="微软雅黑" w:eastAsia="微软雅黑"/>
          <w:sz w:val="21"/>
        </w:rPr>
        <w:t>本附件用于说明国信智慧食堂项目的软件开发功能范围，可作为合同附件引用。原《国信智慧食堂实施计划》中的任务拆分、开发负责人、排期和具体实现过程不直接写入本附件，合同附件以功能边界、业务规则、数据同步和验收口径为主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268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项目</w:t>
            </w:r>
          </w:p>
        </w:tc>
        <w:tc>
          <w:tcPr>
            <w:tcW w:type="dxa" w:w="7087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说明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项目名称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国信智慧食堂项目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文档用途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软件开发功能范围合同附件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资料来源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《国信智慧食堂实施计划.xlsx》及前期原型需求沟通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整理原则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保留交付范围，压缩内部开发细节；对价格、扣款、核销、统计等关键业务规则明确验收口径。</w:t>
            </w:r>
          </w:p>
        </w:tc>
      </w:tr>
    </w:tbl>
    <w:p/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二、软件功能范围总览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268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功能域</w:t>
            </w:r>
          </w:p>
        </w:tc>
        <w:tc>
          <w:tcPr>
            <w:tcW w:type="dxa" w:w="7087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交付内容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手机端 H5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提供本人订餐、亲友餐、招待餐、外卖点餐、订餐记录、外卖记录、支付结果跳转和取消等功能。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PC 订餐管理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管理手机端订餐数据，支持订餐记录、状态、金额、费用归属、核销结果、统计汇总和导出。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PC 订单管理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管理手机端外卖点单订单，支持消费订单、退款订单、部门筛选、状态查询、统计汇总和导出。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消费规则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配置身份类别、价格规则、错峰就餐规则、取消规则、亲友餐费和招待餐费，并同步影响手机端下单与消费机核销。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组织与权限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支持部门档案、部门账户、接待负责人、角色权限、账号分配，控制招待餐发起权限。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设备与核销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支持人脸核销、二维码核销、消费机扫码、重复消费提示、设备管理及设备版本管理。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统计报表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支持消费汇总、餐厅收入、菜品销量、补贴统计、订餐统计、人员/部门/设备报表和就餐评价统计。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餐厅配置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支持餐厅、档口、营业时间、取消时间、档口类型、其他配置和就餐评价管理。</w:t>
            </w:r>
          </w:p>
        </w:tc>
      </w:tr>
    </w:tbl>
    <w:p/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三、手机端功能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3.1 入口与基础展示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从国信小程序入口进入 H5，自动带入用户姓名、部门等基础信息。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首页展示订餐、外卖点餐、订餐记录、外卖记录、消费记录等必要入口。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账户余额作为二级入口展示，不作为首页主入口；部门账户余额不在手机端展示。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3.2 订餐功能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587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订餐类型</w:t>
            </w:r>
          </w:p>
        </w:tc>
        <w:tc>
          <w:tcPr>
            <w:tcW w:type="dxa" w:w="1701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适用对象</w:t>
            </w:r>
          </w:p>
        </w:tc>
        <w:tc>
          <w:tcPr>
            <w:tcW w:type="dxa" w:w="3402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核心功能</w:t>
            </w:r>
          </w:p>
        </w:tc>
        <w:tc>
          <w:tcPr>
            <w:tcW w:type="dxa" w:w="1304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核销方式</w:t>
            </w:r>
          </w:p>
        </w:tc>
        <w:tc>
          <w:tcPr>
            <w:tcW w:type="dxa" w:w="1361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费用归属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本人订餐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系统内员工本人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选择日期、餐段、按部门错峰时间展示；线上支付；支付成功后跳转订餐记录。</w:t>
            </w:r>
          </w:p>
        </w:tc>
        <w:tc>
          <w:tcPr>
            <w:tcW w:type="dxa" w:w="1304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人脸核销</w:t>
            </w:r>
          </w:p>
        </w:tc>
        <w:tc>
          <w:tcPr>
            <w:tcW w:type="dxa" w:w="136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个人账户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亲友餐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员工代亲友预约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填写用餐人数、联系人姓名、手机号；支持多人；线上支付；支付成功后跳转订餐记录。</w:t>
            </w:r>
          </w:p>
        </w:tc>
        <w:tc>
          <w:tcPr>
            <w:tcW w:type="dxa" w:w="1304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二维码核销</w:t>
            </w:r>
          </w:p>
        </w:tc>
        <w:tc>
          <w:tcPr>
            <w:tcW w:type="dxa" w:w="136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个人账户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招待餐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部门接待负责人发起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填写接待对象、接待部门、预定人、用餐人数、日期餐段；线上提交并生成核销记录。</w:t>
            </w:r>
          </w:p>
        </w:tc>
        <w:tc>
          <w:tcPr>
            <w:tcW w:type="dxa" w:w="1304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二维码核销</w:t>
            </w:r>
          </w:p>
        </w:tc>
        <w:tc>
          <w:tcPr>
            <w:tcW w:type="dxa" w:w="1361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部门账户</w:t>
            </w:r>
          </w:p>
        </w:tc>
      </w:tr>
    </w:tbl>
    <w:p/>
    <w:p>
      <w:pPr>
        <w:spacing w:after="80" w:line="300" w:lineRule="auto"/>
      </w:pPr>
      <w:r>
        <w:rPr>
          <w:rFonts w:ascii="微软雅黑" w:hAnsi="微软雅黑" w:eastAsia="微软雅黑"/>
          <w:sz w:val="21"/>
        </w:rPr>
        <w:t>招待餐按“日期 + 餐段 + 订单”生成二维码。若一次提交两天的早餐和午餐，则分别形成对应餐次的记录与二维码；PC 端订餐记录同步展示相同口径。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3.3 记录、支付与取消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订餐与外卖点餐均采用线上支付，支付完成后自动跳转到各自记录页面。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订餐记录支持订餐类型筛选：本人、亲友、招待；不同订餐类型展示与自身业务对应的字段。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订餐状态为待核销、已取消、已完成；取消不走 PC 审核流程。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取消需遵循后台配置的开餐前可取消时间，超过可取消时间后手机端按钮应呈现不可取消状态并提示原因。</w:t>
      </w:r>
    </w:p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四、PC 端管理功能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4.1 订餐管理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订餐管理用于承接手机端订餐业务，包含本人订餐、亲友餐和招待餐数据。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列表支持按日期、部门、订餐类型、餐段、档口、订餐状态等条件查询；部门筛选支持多选。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列表统计应展示订餐金额合计、订餐笔数合计、实付金额合计、实付笔数合计，并可体现已取消笔数。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订餐记录与消费订单分工：订餐记录记录预约、支付、核销状态；消费订单记录实际支付或消费流水。订餐业务归属订餐管理，外卖点单归属订单管理。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4.2 订单管理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订单管理用于手机端外卖点餐订单，包含消费订单和退款订单。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消费订单和退款订单列表增加部门字段，筛选项中的部门支持多选。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字段口径与手机端外卖记录保持一致，支持查询、查看、退款记录、导出与统计。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4.3 消费规则与餐厅配置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268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模块</w:t>
            </w:r>
          </w:p>
        </w:tc>
        <w:tc>
          <w:tcPr>
            <w:tcW w:type="dxa" w:w="7087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功能要求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消费策略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配置身份类别及已报餐、未报餐减免规则；本人订餐和系统内人员使用内部价；亲友餐、招待餐使用餐厅其他设置中的餐费配置。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错峰就餐规则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按部门、档口、餐次设置允许就餐时间；非本部门允许时间刷脸不通过，并给出提示。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取消规则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按餐次配置开餐前可取消时间，手机端订餐和外卖点餐取消逻辑同步读取。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餐厅设置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维护餐厅、档口、营业时间、取消时间、档口类型、档口图片和状态。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其他设置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配置亲友订餐餐费、招待订餐餐费；支持按早餐、午餐、晚餐分别设置价格。</w:t>
            </w:r>
          </w:p>
        </w:tc>
      </w:tr>
    </w:tbl>
    <w:p/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4.4 组织、权限与账户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部门档案维护部门负责人、上级部门、部门账户、接待负责人等信息；接待负责人通过下拉搜索选择系统人员。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角色设置新增“部门接待负责人”角色，功能权限中包含“招待餐发起”。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账号设置支持为指定人员分配部门接待负责人角色；普通员工不可发起招待餐。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部门接待负责人本人订餐时仍使用个人账户；进入招待餐时使用部门账户，且招待餐允许部门账户负数订餐。</w:t>
      </w:r>
    </w:p>
    <w:p>
      <w:pPr>
        <w:pStyle w:val="Heading2"/>
      </w:pPr>
      <w:r>
        <w:rPr>
          <w:rFonts w:ascii="微软雅黑" w:hAnsi="微软雅黑" w:eastAsia="微软雅黑"/>
          <w:b/>
          <w:color w:val="1F2D3D"/>
          <w:sz w:val="24"/>
        </w:rPr>
        <w:t>4.5 人脸、设备与评价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人脸管理列表增加员工工号、手机号、采集状态；支持单人图片上传和批量照片上传。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系统管理增加设备管理，包含设备列表和设备版本管理。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餐厅管理增加就餐评价，PC 端可查看手机端提交的就餐环境、服务态度、菜品评分和评价内容。</w:t>
      </w:r>
    </w:p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五、关键业务规则与验收口径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268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规则项</w:t>
            </w:r>
          </w:p>
        </w:tc>
        <w:tc>
          <w:tcPr>
            <w:tcW w:type="dxa" w:w="7087"/>
            <w:shd w:fill="EAF2FF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F2D3D"/>
                <w:sz w:val="19"/>
              </w:rPr>
              <w:t>验收口径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身份归类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系统根据用户是否主动订餐/报餐归类为已报餐、未报餐，并同步影响消费减免。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价格规则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基准价 38 元；已报餐者减免 30 元实付 8 元；未报餐者减免 29 元实付 9 元；亲友餐和招待餐按后台餐次价格配置执行。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招待餐二维码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招待餐按一餐次一单一码生成核销记录；同一次提交多个日期或多个餐段时，按日期和餐段拆分记录。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费用归属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本人订餐、亲友餐归个人账户；招待餐归部门账户；统计报表可按个人账户、部门账户筛选。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取消退款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用户在后台规则允许时间内取消，系统按原支付路径退回；超过可取消时间不允许取消。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核销限制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人脸或二维码核销后，同餐次重复核销需提示已消费，避免重复扣费或重复核销。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数据同步</w:t>
            </w:r>
          </w:p>
        </w:tc>
        <w:tc>
          <w:tcPr>
            <w:tcW w:type="dxa" w:w="7087"/>
            <w:vAlign w:val="center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sz w:val="18"/>
              </w:rPr>
              <w:t>手机端支付、取消、核销、评价等操作应同步到 PC 订餐管理、订单管理、统计报表和就餐评价。</w:t>
            </w:r>
          </w:p>
        </w:tc>
      </w:tr>
    </w:tbl>
    <w:p/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六、报表与对账范围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消费汇总统计：支持日期、部门、人员、费用归属、账户名称等筛选；张丽等接待负责人发起的招待餐应可按部门账户筛出。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人员报表、部门报表、设备报表：增加订餐类别筛选和列表字段，支持区分工作餐、亲友餐、招待餐等业务来源。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补贴统计：支持按日期、部门、姓名、手机号查询补贴日期、补贴金额等信息。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订餐统计：支持统计订餐笔数、取消笔数、已完成笔数、订餐金额、实付金额等指标。</w:t>
      </w:r>
    </w:p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七、不包含或需另行确认事项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第三方平台接口字段、支付通道、退款到账规则以客户方和第三方实际接口能力为准。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消费机、闸机、扫码设备等硬件采购、安装布线、网络环境改造不包含在本软件功能范围内，除非合同正文另有约定。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历史数据迁移、财务系统深度对接、组织主数据全量同步、人脸识别算法模型训练不默认包含在本附件范围内。</w:t>
      </w:r>
    </w:p>
    <w:p>
      <w:pPr>
        <w:pStyle w:val="ListBullet"/>
        <w:spacing w:after="40"/>
        <w:ind w:left="227"/>
      </w:pPr>
      <w:r>
        <w:rPr>
          <w:rFonts w:ascii="微软雅黑" w:hAnsi="微软雅黑" w:eastAsia="微软雅黑"/>
          <w:sz w:val="21"/>
        </w:rPr>
        <w:t>正式上线验收应以双方确认的原型、测试用例、接口联调结果和合同正文约定为准。</w:t>
      </w:r>
    </w:p>
    <w:p>
      <w:pPr>
        <w:pStyle w:val="Heading1"/>
      </w:pPr>
      <w:r>
        <w:rPr>
          <w:rFonts w:ascii="微软雅黑" w:hAnsi="微软雅黑" w:eastAsia="微软雅黑"/>
          <w:b/>
          <w:color w:val="1F2D3D"/>
          <w:sz w:val="28"/>
        </w:rPr>
        <w:t>八、附件效力说明</w:t>
      </w:r>
    </w:p>
    <w:p>
      <w:pPr>
        <w:spacing w:after="80" w:line="300" w:lineRule="auto"/>
      </w:pPr>
      <w:r>
        <w:rPr>
          <w:rFonts w:ascii="微软雅黑" w:hAnsi="微软雅黑" w:eastAsia="微软雅黑"/>
          <w:sz w:val="21"/>
        </w:rPr>
        <w:t>本附件用于界定软件开发功能范围。若合同正文、补充协议与本附件存在不一致，以双方签署的最新合同文件或补充协议为准。后续新增需求、范围变更、第三方接口变化或硬件联调范围扩大，应通过需求变更单或补充协议另行确认。</w:t>
      </w:r>
    </w:p>
    <w:sectPr w:rsidR="00FC693F" w:rsidRPr="0006063C" w:rsidSect="00034616">
      <w:pgSz w:w="11906" w:h="16838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微软雅黑" w:hAnsi="微软雅黑" w:eastAsia="微软雅黑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