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C5372C9">
      <w:pPr>
        <w:ind w:left="-410" w:leftChars="-171" w:firstLine="0" w:firstLineChars="0"/>
        <w:rPr>
          <w:rFonts w:hint="eastAsia" w:eastAsia="宋体"/>
          <w:color w:val="000000"/>
          <w:sz w:val="32"/>
          <w:szCs w:val="32"/>
          <w:lang w:eastAsia="zh-CN"/>
        </w:rPr>
      </w:pPr>
      <w:bookmarkStart w:id="0" w:name="_Toc88839006"/>
      <w:bookmarkStart w:id="1" w:name="_Toc9282"/>
      <w:r>
        <w:rPr>
          <w:rFonts w:hint="eastAsia" w:ascii="Songti SC" w:hAnsi="Songti SC" w:eastAsia="Songti SC" w:cs="Songti SC"/>
          <w:color w:val="000000"/>
          <w:sz w:val="32"/>
          <w:szCs w:val="32"/>
          <w:lang w:eastAsia="zh-Hans"/>
        </w:rPr>
        <w:t>附件</w:t>
      </w:r>
      <w:bookmarkEnd w:id="0"/>
      <w:bookmarkEnd w:id="1"/>
      <w:r>
        <w:rPr>
          <w:rFonts w:hint="eastAsia" w:ascii="Songti SC" w:hAnsi="Songti SC" w:eastAsia="Songti SC" w:cs="Songti SC"/>
          <w:color w:val="000000"/>
          <w:sz w:val="32"/>
          <w:szCs w:val="32"/>
          <w:lang w:val="en-US" w:eastAsia="zh-CN"/>
        </w:rPr>
        <w:t>1</w:t>
      </w:r>
    </w:p>
    <w:p w14:paraId="18674AE2">
      <w:pPr>
        <w:ind w:left="-410" w:leftChars="-171" w:firstLine="0" w:firstLineChars="0"/>
        <w:rPr>
          <w:rFonts w:hint="eastAsia"/>
          <w:color w:val="000000"/>
          <w:sz w:val="32"/>
          <w:szCs w:val="32"/>
        </w:rPr>
      </w:pPr>
    </w:p>
    <w:p w14:paraId="4DB08CFA">
      <w:pPr>
        <w:ind w:left="-410" w:leftChars="-171" w:firstLine="0" w:firstLineChars="0"/>
        <w:rPr>
          <w:rFonts w:hint="eastAsia"/>
          <w:color w:val="000000"/>
          <w:sz w:val="32"/>
          <w:szCs w:val="32"/>
        </w:rPr>
      </w:pPr>
    </w:p>
    <w:p w14:paraId="091D3A9A">
      <w:pPr>
        <w:pStyle w:val="97"/>
        <w:adjustRightInd w:val="0"/>
        <w:snapToGrid w:val="0"/>
        <w:ind w:firstLine="0" w:firstLineChars="0"/>
        <w:jc w:val="center"/>
        <w:rPr>
          <w:rFonts w:hint="eastAsia"/>
          <w:b/>
          <w:bCs/>
          <w:color w:val="000000"/>
          <w:sz w:val="48"/>
          <w:szCs w:val="48"/>
        </w:rPr>
      </w:pPr>
      <w:r>
        <w:rPr>
          <w:rFonts w:hint="eastAsia" w:ascii="Songti SC" w:hAnsi="Songti SC" w:eastAsia="Songti SC" w:cs="Songti SC"/>
          <w:b/>
          <w:bCs/>
          <w:color w:val="000000"/>
          <w:sz w:val="48"/>
          <w:szCs w:val="48"/>
        </w:rPr>
        <w:t>食堂消费系统升级改造项目</w:t>
      </w:r>
    </w:p>
    <w:p w14:paraId="415DC903">
      <w:pPr>
        <w:ind w:firstLine="0" w:firstLineChars="0"/>
        <w:jc w:val="center"/>
        <w:rPr>
          <w:rFonts w:hint="eastAsia"/>
          <w:b/>
          <w:bCs/>
          <w:color w:val="000000"/>
          <w:sz w:val="32"/>
          <w:szCs w:val="32"/>
        </w:rPr>
      </w:pPr>
    </w:p>
    <w:p w14:paraId="45F5523B">
      <w:pPr>
        <w:ind w:firstLine="0" w:firstLineChars="0"/>
        <w:jc w:val="center"/>
        <w:rPr>
          <w:rFonts w:hint="eastAsia"/>
          <w:b/>
          <w:bCs/>
          <w:color w:val="000000"/>
          <w:sz w:val="48"/>
          <w:szCs w:val="48"/>
        </w:rPr>
      </w:pPr>
      <w:r>
        <w:rPr>
          <w:rFonts w:hint="eastAsia" w:ascii="Songti SC" w:hAnsi="Songti SC" w:eastAsia="Songti SC" w:cs="Songti SC"/>
          <w:b/>
          <w:bCs/>
          <w:color w:val="000000"/>
          <w:sz w:val="48"/>
          <w:szCs w:val="48"/>
        </w:rPr>
        <w:t>实施方案</w:t>
      </w:r>
    </w:p>
    <w:p w14:paraId="6F60689D">
      <w:pPr>
        <w:spacing w:line="240" w:lineRule="auto"/>
        <w:ind w:firstLine="0" w:firstLineChars="0"/>
        <w:jc w:val="center"/>
        <w:rPr>
          <w:rFonts w:hint="eastAsia"/>
          <w:color w:val="000000"/>
          <w:sz w:val="32"/>
          <w:szCs w:val="32"/>
        </w:rPr>
      </w:pPr>
    </w:p>
    <w:p w14:paraId="609A3E4D">
      <w:pPr>
        <w:spacing w:line="240" w:lineRule="auto"/>
        <w:ind w:firstLine="0" w:firstLineChars="0"/>
        <w:jc w:val="center"/>
        <w:rPr>
          <w:rFonts w:hint="eastAsia"/>
          <w:color w:val="000000"/>
          <w:sz w:val="32"/>
          <w:szCs w:val="32"/>
        </w:rPr>
      </w:pPr>
    </w:p>
    <w:p w14:paraId="18550623">
      <w:pPr>
        <w:ind w:firstLine="0" w:firstLineChars="0"/>
        <w:jc w:val="center"/>
        <w:rPr>
          <w:rFonts w:hint="eastAsia"/>
          <w:color w:val="000000"/>
          <w:sz w:val="32"/>
          <w:szCs w:val="32"/>
        </w:rPr>
      </w:pPr>
    </w:p>
    <w:p w14:paraId="10D9315A">
      <w:pPr>
        <w:ind w:firstLine="0" w:firstLineChars="0"/>
        <w:jc w:val="center"/>
        <w:rPr>
          <w:rFonts w:hint="eastAsia"/>
          <w:color w:val="000000"/>
          <w:sz w:val="32"/>
          <w:szCs w:val="32"/>
        </w:rPr>
      </w:pPr>
    </w:p>
    <w:p w14:paraId="77470BDB">
      <w:pPr>
        <w:ind w:firstLine="0" w:firstLineChars="0"/>
        <w:jc w:val="center"/>
        <w:rPr>
          <w:rFonts w:hint="eastAsia"/>
          <w:color w:val="000000"/>
          <w:sz w:val="32"/>
          <w:szCs w:val="32"/>
        </w:rPr>
      </w:pPr>
    </w:p>
    <w:p w14:paraId="7B9EB94E">
      <w:pPr>
        <w:ind w:firstLine="0" w:firstLineChars="0"/>
        <w:jc w:val="center"/>
        <w:rPr>
          <w:rFonts w:hint="eastAsia"/>
          <w:color w:val="000000"/>
          <w:sz w:val="32"/>
          <w:szCs w:val="32"/>
        </w:rPr>
      </w:pPr>
    </w:p>
    <w:p w14:paraId="1337E325">
      <w:pPr>
        <w:ind w:firstLine="0" w:firstLineChars="0"/>
        <w:jc w:val="center"/>
        <w:rPr>
          <w:rFonts w:hint="eastAsia"/>
          <w:color w:val="000000"/>
          <w:sz w:val="32"/>
          <w:szCs w:val="32"/>
        </w:rPr>
      </w:pPr>
    </w:p>
    <w:p w14:paraId="0BF0A3CC">
      <w:pPr>
        <w:ind w:firstLine="0" w:firstLineChars="0"/>
        <w:jc w:val="center"/>
        <w:rPr>
          <w:rFonts w:hint="eastAsia"/>
          <w:color w:val="000000"/>
          <w:sz w:val="32"/>
          <w:szCs w:val="32"/>
        </w:rPr>
      </w:pPr>
    </w:p>
    <w:p w14:paraId="67F35D8C">
      <w:pPr>
        <w:ind w:firstLine="0" w:firstLineChars="0"/>
        <w:jc w:val="center"/>
        <w:rPr>
          <w:rFonts w:hint="eastAsia"/>
          <w:color w:val="000000"/>
          <w:sz w:val="32"/>
          <w:szCs w:val="32"/>
        </w:rPr>
      </w:pPr>
    </w:p>
    <w:p w14:paraId="26DC4174">
      <w:pPr>
        <w:ind w:firstLine="0" w:firstLineChars="0"/>
        <w:jc w:val="center"/>
        <w:rPr>
          <w:rFonts w:hint="eastAsia"/>
          <w:color w:val="000000"/>
          <w:sz w:val="32"/>
          <w:szCs w:val="32"/>
        </w:rPr>
      </w:pPr>
    </w:p>
    <w:p w14:paraId="6211B504">
      <w:pPr>
        <w:ind w:firstLine="0" w:firstLineChars="0"/>
        <w:jc w:val="center"/>
        <w:rPr>
          <w:rFonts w:hint="eastAsia"/>
          <w:color w:val="000000"/>
          <w:sz w:val="32"/>
          <w:szCs w:val="32"/>
        </w:rPr>
      </w:pPr>
    </w:p>
    <w:p w14:paraId="0C5EC694">
      <w:pPr>
        <w:spacing w:line="240" w:lineRule="auto"/>
        <w:ind w:firstLine="0" w:firstLineChars="0"/>
        <w:jc w:val="center"/>
        <w:rPr>
          <w:rFonts w:hint="eastAsia" w:ascii="Songti SC" w:hAnsi="Songti SC" w:eastAsia="Songti SC" w:cs="Songti SC"/>
          <w:b/>
          <w:bCs/>
          <w:color w:val="000000"/>
          <w:sz w:val="32"/>
          <w:szCs w:val="32"/>
        </w:rPr>
      </w:pPr>
      <w:r>
        <w:rPr>
          <w:rFonts w:hint="eastAsia" w:ascii="Songti SC" w:hAnsi="Songti SC" w:eastAsia="Songti SC" w:cs="Songti SC"/>
          <w:b/>
          <w:bCs/>
          <w:color w:val="000000" w:themeColor="text1"/>
          <w:sz w:val="32"/>
          <w:szCs w:val="32"/>
          <w14:textFill>
            <w14:solidFill>
              <w14:schemeClr w14:val="tx1"/>
            </w14:solidFill>
          </w14:textFill>
        </w:rPr>
        <w:t>项目建设单位：北京市大兴区机关事务管理服务中心</w:t>
      </w:r>
    </w:p>
    <w:p w14:paraId="3C514820">
      <w:pPr>
        <w:spacing w:line="240" w:lineRule="auto"/>
        <w:ind w:firstLine="0" w:firstLineChars="0"/>
        <w:jc w:val="center"/>
        <w:rPr>
          <w:rFonts w:hint="eastAsia" w:ascii="Songti SC" w:hAnsi="Songti SC" w:eastAsia="Songti SC" w:cs="Songti SC"/>
          <w:b/>
          <w:bCs/>
          <w:color w:val="000000"/>
          <w:sz w:val="32"/>
          <w:szCs w:val="32"/>
        </w:rPr>
      </w:pPr>
    </w:p>
    <w:p w14:paraId="1548D0B0">
      <w:pPr>
        <w:spacing w:line="240" w:lineRule="auto"/>
        <w:ind w:firstLine="0" w:firstLineChars="0"/>
        <w:jc w:val="center"/>
        <w:rPr>
          <w:rFonts w:hint="eastAsia" w:ascii="Songti SC" w:hAnsi="Songti SC" w:eastAsia="Songti SC" w:cs="Songti SC"/>
          <w:b/>
          <w:bCs/>
          <w:color w:val="000000"/>
          <w:sz w:val="32"/>
          <w:szCs w:val="32"/>
        </w:rPr>
        <w:sectPr>
          <w:headerReference r:id="rId7" w:type="first"/>
          <w:footerReference r:id="rId10" w:type="first"/>
          <w:headerReference r:id="rId5" w:type="default"/>
          <w:footerReference r:id="rId8" w:type="default"/>
          <w:headerReference r:id="rId6" w:type="even"/>
          <w:footerReference r:id="rId9" w:type="even"/>
          <w:pgSz w:w="11906" w:h="16838"/>
          <w:pgMar w:top="1440" w:right="1797" w:bottom="1440" w:left="1797" w:header="851" w:footer="992" w:gutter="0"/>
          <w:pgNumType w:fmt="lowerRoman" w:start="1"/>
          <w:cols w:space="425" w:num="1"/>
          <w:docGrid w:type="lines" w:linePitch="312" w:charSpace="0"/>
        </w:sectPr>
      </w:pPr>
      <w:r>
        <w:rPr>
          <w:rFonts w:hint="eastAsia" w:ascii="Songti SC" w:hAnsi="Songti SC" w:eastAsia="Songti SC" w:cs="Songti SC"/>
          <w:b/>
          <w:bCs/>
          <w:color w:val="000000"/>
          <w:sz w:val="32"/>
          <w:szCs w:val="32"/>
        </w:rPr>
        <w:t>2026年9月7日</w:t>
      </w:r>
    </w:p>
    <w:sdt>
      <w:sdtPr>
        <w:rPr>
          <w:color w:val="000000"/>
          <w:sz w:val="21"/>
        </w:rPr>
        <w:id w:val="11676551"/>
        <w15:color w:val="DBDBDB"/>
        <w:docPartObj>
          <w:docPartGallery w:val="Table of Contents"/>
          <w:docPartUnique/>
        </w:docPartObj>
      </w:sdtPr>
      <w:sdtEndPr>
        <w:rPr>
          <w:rFonts w:hint="eastAsia"/>
          <w:color w:val="000000"/>
          <w:sz w:val="24"/>
          <w:szCs w:val="36"/>
        </w:rPr>
      </w:sdtEndPr>
      <w:sdtContent>
        <w:p w14:paraId="257ABA58">
          <w:pPr>
            <w:spacing w:line="240" w:lineRule="auto"/>
            <w:ind w:firstLine="0" w:firstLineChars="0"/>
            <w:jc w:val="center"/>
            <w:rPr>
              <w:rFonts w:hint="eastAsia"/>
              <w:color w:val="000000"/>
            </w:rPr>
          </w:pPr>
          <w:r>
            <w:rPr>
              <w:rFonts w:ascii="Songti SC" w:hAnsi="Songti SC" w:eastAsia="Songti SC" w:cs="Songti SC"/>
              <w:color w:val="000000"/>
              <w:sz w:val="21"/>
            </w:rPr>
            <w:t>目录</w:t>
          </w:r>
        </w:p>
        <w:p w14:paraId="7AEE52EB">
          <w:pPr>
            <w:pStyle w:val="39"/>
            <w:tabs>
              <w:tab w:val="right" w:leader="dot" w:pos="8121"/>
            </w:tabs>
          </w:pPr>
          <w:r>
            <w:rPr>
              <w:rFonts w:hint="eastAsia" w:ascii="Songti SC" w:hAnsi="Songti SC" w:eastAsia="Songti SC" w:cs="Songti SC"/>
              <w:color w:val="000000"/>
              <w:sz w:val="36"/>
              <w:szCs w:val="36"/>
            </w:rPr>
            <w:fldChar w:fldCharType="begin"/>
          </w:r>
          <w:r>
            <w:rPr>
              <w:rFonts w:hint="eastAsia" w:ascii="Songti SC" w:hAnsi="Songti SC" w:eastAsia="Songti SC" w:cs="Songti SC"/>
              <w:color w:val="000000"/>
              <w:sz w:val="36"/>
              <w:szCs w:val="36"/>
            </w:rPr>
            <w:instrText xml:space="preserve">TOC \o "1-3" \h \u </w:instrText>
          </w:r>
          <w:r>
            <w:rPr>
              <w:rFonts w:hint="eastAsia" w:ascii="Songti SC" w:hAnsi="Songti SC" w:eastAsia="Songti SC" w:cs="Songti SC"/>
              <w:color w:val="000000"/>
              <w:sz w:val="36"/>
              <w:szCs w:val="36"/>
            </w:rPr>
            <w:fldChar w:fldCharType="separate"/>
          </w:r>
          <w:r>
            <w:rPr>
              <w:rFonts w:hint="eastAsia" w:ascii="Songti SC" w:hAnsi="Songti SC" w:eastAsia="Songti SC" w:cs="Songti SC"/>
              <w:color w:val="000000"/>
              <w:szCs w:val="36"/>
            </w:rPr>
            <w:fldChar w:fldCharType="begin"/>
          </w:r>
          <w:r>
            <w:rPr>
              <w:rFonts w:hint="eastAsia" w:ascii="Songti SC" w:hAnsi="Songti SC" w:eastAsia="Songti SC" w:cs="Songti SC"/>
              <w:szCs w:val="36"/>
            </w:rPr>
            <w:instrText xml:space="preserve"> HYPERLINK \l _Toc186149105 </w:instrText>
          </w:r>
          <w:r>
            <w:rPr>
              <w:rFonts w:hint="eastAsia" w:ascii="Songti SC" w:hAnsi="Songti SC" w:eastAsia="Songti SC" w:cs="Songti SC"/>
              <w:szCs w:val="36"/>
            </w:rPr>
            <w:fldChar w:fldCharType="separate"/>
          </w:r>
          <w:r>
            <w:rPr>
              <w:rFonts w:hint="eastAsia"/>
            </w:rPr>
            <w:t xml:space="preserve">第1章 </w:t>
          </w:r>
          <w:r>
            <w:rPr>
              <w:rFonts w:hint="eastAsia" w:ascii="Songti SC" w:hAnsi="Songti SC" w:eastAsia="Songti SC" w:cs="Songti SC"/>
            </w:rPr>
            <w:t>项目概述</w:t>
          </w:r>
          <w:r>
            <w:tab/>
          </w:r>
          <w:r>
            <w:fldChar w:fldCharType="begin"/>
          </w:r>
          <w:r>
            <w:instrText xml:space="preserve"> PAGEREF _Toc186149105 \h </w:instrText>
          </w:r>
          <w:r>
            <w:fldChar w:fldCharType="separate"/>
          </w:r>
          <w:r>
            <w:t>1</w:t>
          </w:r>
          <w:r>
            <w:fldChar w:fldCharType="end"/>
          </w:r>
          <w:r>
            <w:rPr>
              <w:rFonts w:hint="eastAsia" w:ascii="Songti SC" w:hAnsi="Songti SC" w:eastAsia="Songti SC" w:cs="Songti SC"/>
              <w:color w:val="000000"/>
              <w:szCs w:val="36"/>
            </w:rPr>
            <w:fldChar w:fldCharType="end"/>
          </w:r>
        </w:p>
        <w:p w14:paraId="149A919A">
          <w:pPr>
            <w:pStyle w:val="50"/>
            <w:tabs>
              <w:tab w:val="right" w:leader="dot" w:pos="8121"/>
            </w:tabs>
          </w:pPr>
          <w:r>
            <w:rPr>
              <w:rFonts w:hint="eastAsia" w:ascii="Songti SC" w:hAnsi="Songti SC" w:eastAsia="Songti SC" w:cs="Songti SC"/>
              <w:color w:val="000000"/>
              <w:szCs w:val="36"/>
            </w:rPr>
            <w:fldChar w:fldCharType="begin"/>
          </w:r>
          <w:r>
            <w:rPr>
              <w:rFonts w:hint="eastAsia" w:ascii="Songti SC" w:hAnsi="Songti SC" w:eastAsia="Songti SC" w:cs="Songti SC"/>
              <w:szCs w:val="36"/>
            </w:rPr>
            <w:instrText xml:space="preserve"> HYPERLINK \l _Toc1871817703 </w:instrText>
          </w:r>
          <w:r>
            <w:rPr>
              <w:rFonts w:hint="eastAsia" w:ascii="Songti SC" w:hAnsi="Songti SC" w:eastAsia="Songti SC" w:cs="Songti SC"/>
              <w:szCs w:val="36"/>
            </w:rPr>
            <w:fldChar w:fldCharType="separate"/>
          </w:r>
          <w:r>
            <w:rPr>
              <w:rFonts w:hint="eastAsia"/>
            </w:rPr>
            <w:t xml:space="preserve">1.1 </w:t>
          </w:r>
          <w:r>
            <w:rPr>
              <w:rFonts w:hint="eastAsia" w:ascii="Songti SC" w:hAnsi="Songti SC" w:eastAsia="Songti SC" w:cs="Songti SC"/>
            </w:rPr>
            <w:t>项目名称</w:t>
          </w:r>
          <w:r>
            <w:tab/>
          </w:r>
          <w:r>
            <w:fldChar w:fldCharType="begin"/>
          </w:r>
          <w:r>
            <w:instrText xml:space="preserve"> PAGEREF _Toc1871817703 \h </w:instrText>
          </w:r>
          <w:r>
            <w:fldChar w:fldCharType="separate"/>
          </w:r>
          <w:r>
            <w:t>1</w:t>
          </w:r>
          <w:r>
            <w:fldChar w:fldCharType="end"/>
          </w:r>
          <w:r>
            <w:rPr>
              <w:rFonts w:hint="eastAsia" w:ascii="Songti SC" w:hAnsi="Songti SC" w:eastAsia="Songti SC" w:cs="Songti SC"/>
              <w:color w:val="000000"/>
              <w:szCs w:val="36"/>
            </w:rPr>
            <w:fldChar w:fldCharType="end"/>
          </w:r>
        </w:p>
        <w:p w14:paraId="0D1B86A2">
          <w:pPr>
            <w:pStyle w:val="50"/>
            <w:tabs>
              <w:tab w:val="right" w:leader="dot" w:pos="8121"/>
            </w:tabs>
          </w:pPr>
          <w:r>
            <w:rPr>
              <w:rFonts w:hint="eastAsia" w:ascii="Songti SC" w:hAnsi="Songti SC" w:eastAsia="Songti SC" w:cs="Songti SC"/>
              <w:color w:val="000000"/>
              <w:szCs w:val="36"/>
            </w:rPr>
            <w:fldChar w:fldCharType="begin"/>
          </w:r>
          <w:r>
            <w:rPr>
              <w:rFonts w:hint="eastAsia" w:ascii="Songti SC" w:hAnsi="Songti SC" w:eastAsia="Songti SC" w:cs="Songti SC"/>
              <w:szCs w:val="36"/>
            </w:rPr>
            <w:instrText xml:space="preserve"> HYPERLINK \l _Toc1152189418 </w:instrText>
          </w:r>
          <w:r>
            <w:rPr>
              <w:rFonts w:hint="eastAsia" w:ascii="Songti SC" w:hAnsi="Songti SC" w:eastAsia="Songti SC" w:cs="Songti SC"/>
              <w:szCs w:val="36"/>
            </w:rPr>
            <w:fldChar w:fldCharType="separate"/>
          </w:r>
          <w:r>
            <w:rPr>
              <w:rFonts w:hint="eastAsia"/>
              <w:lang w:eastAsia="zh-CN"/>
            </w:rPr>
            <w:t xml:space="preserve">1.2 </w:t>
          </w:r>
          <w:r>
            <w:rPr>
              <w:rFonts w:hint="eastAsia" w:ascii="Songti SC" w:hAnsi="Songti SC" w:eastAsia="Songti SC" w:cs="Songti SC"/>
              <w:lang w:eastAsia="zh-CN"/>
            </w:rPr>
            <w:t>项目建设单位及负责人</w:t>
          </w:r>
          <w:r>
            <w:tab/>
          </w:r>
          <w:r>
            <w:fldChar w:fldCharType="begin"/>
          </w:r>
          <w:r>
            <w:instrText xml:space="preserve"> PAGEREF _Toc1152189418 \h </w:instrText>
          </w:r>
          <w:r>
            <w:fldChar w:fldCharType="separate"/>
          </w:r>
          <w:r>
            <w:t>1</w:t>
          </w:r>
          <w:r>
            <w:fldChar w:fldCharType="end"/>
          </w:r>
          <w:r>
            <w:rPr>
              <w:rFonts w:hint="eastAsia" w:ascii="Songti SC" w:hAnsi="Songti SC" w:eastAsia="Songti SC" w:cs="Songti SC"/>
              <w:color w:val="000000"/>
              <w:szCs w:val="36"/>
            </w:rPr>
            <w:fldChar w:fldCharType="end"/>
          </w:r>
        </w:p>
        <w:p w14:paraId="6ECFF433">
          <w:pPr>
            <w:pStyle w:val="50"/>
            <w:tabs>
              <w:tab w:val="right" w:leader="dot" w:pos="8121"/>
            </w:tabs>
          </w:pPr>
          <w:r>
            <w:rPr>
              <w:rFonts w:hint="eastAsia" w:ascii="Songti SC" w:hAnsi="Songti SC" w:eastAsia="Songti SC" w:cs="Songti SC"/>
              <w:color w:val="000000"/>
              <w:szCs w:val="36"/>
            </w:rPr>
            <w:fldChar w:fldCharType="begin"/>
          </w:r>
          <w:r>
            <w:rPr>
              <w:rFonts w:hint="eastAsia" w:ascii="Songti SC" w:hAnsi="Songti SC" w:eastAsia="Songti SC" w:cs="Songti SC"/>
              <w:szCs w:val="36"/>
            </w:rPr>
            <w:instrText xml:space="preserve"> HYPERLINK \l _Toc987503327 </w:instrText>
          </w:r>
          <w:r>
            <w:rPr>
              <w:rFonts w:hint="eastAsia" w:ascii="Songti SC" w:hAnsi="Songti SC" w:eastAsia="Songti SC" w:cs="Songti SC"/>
              <w:szCs w:val="36"/>
            </w:rPr>
            <w:fldChar w:fldCharType="separate"/>
          </w:r>
          <w:r>
            <w:rPr>
              <w:rFonts w:hint="eastAsia"/>
              <w:lang w:eastAsia="zh-CN"/>
            </w:rPr>
            <w:t xml:space="preserve">1.3 </w:t>
          </w:r>
          <w:r>
            <w:rPr>
              <w:rFonts w:hint="eastAsia" w:ascii="Songti SC" w:hAnsi="Songti SC" w:eastAsia="Songti SC" w:cs="Songti SC"/>
              <w:lang w:eastAsia="zh-CN"/>
            </w:rPr>
            <w:t>项目建设目标、内容、规模、周期</w:t>
          </w:r>
          <w:r>
            <w:tab/>
          </w:r>
          <w:r>
            <w:fldChar w:fldCharType="begin"/>
          </w:r>
          <w:r>
            <w:instrText xml:space="preserve"> PAGEREF _Toc987503327 \h </w:instrText>
          </w:r>
          <w:r>
            <w:fldChar w:fldCharType="separate"/>
          </w:r>
          <w:r>
            <w:t>1</w:t>
          </w:r>
          <w:r>
            <w:fldChar w:fldCharType="end"/>
          </w:r>
          <w:r>
            <w:rPr>
              <w:rFonts w:hint="eastAsia" w:ascii="Songti SC" w:hAnsi="Songti SC" w:eastAsia="Songti SC" w:cs="Songti SC"/>
              <w:color w:val="000000"/>
              <w:szCs w:val="36"/>
            </w:rPr>
            <w:fldChar w:fldCharType="end"/>
          </w:r>
        </w:p>
        <w:p w14:paraId="55FB490D">
          <w:pPr>
            <w:pStyle w:val="29"/>
            <w:tabs>
              <w:tab w:val="right" w:leader="dot" w:pos="8121"/>
            </w:tabs>
          </w:pPr>
          <w:r>
            <w:rPr>
              <w:rFonts w:hint="eastAsia" w:ascii="Songti SC" w:hAnsi="Songti SC" w:eastAsia="Songti SC" w:cs="Songti SC"/>
              <w:color w:val="000000"/>
              <w:szCs w:val="36"/>
            </w:rPr>
            <w:fldChar w:fldCharType="begin"/>
          </w:r>
          <w:r>
            <w:rPr>
              <w:rFonts w:hint="eastAsia" w:ascii="Songti SC" w:hAnsi="Songti SC" w:eastAsia="Songti SC" w:cs="Songti SC"/>
              <w:szCs w:val="36"/>
            </w:rPr>
            <w:instrText xml:space="preserve"> HYPERLINK \l _Toc1214792873 </w:instrText>
          </w:r>
          <w:r>
            <w:rPr>
              <w:rFonts w:hint="eastAsia" w:ascii="Songti SC" w:hAnsi="Songti SC" w:eastAsia="Songti SC" w:cs="Songti SC"/>
              <w:szCs w:val="36"/>
            </w:rPr>
            <w:fldChar w:fldCharType="separate"/>
          </w:r>
          <w:r>
            <w:rPr>
              <w:rFonts w:hint="eastAsia"/>
            </w:rPr>
            <w:t xml:space="preserve">1.3.1 </w:t>
          </w:r>
          <w:r>
            <w:rPr>
              <w:rFonts w:hint="eastAsia" w:ascii="Songti SC" w:hAnsi="Songti SC" w:eastAsia="Songti SC" w:cs="Songti SC"/>
            </w:rPr>
            <w:t>建设目标</w:t>
          </w:r>
          <w:r>
            <w:tab/>
          </w:r>
          <w:r>
            <w:fldChar w:fldCharType="begin"/>
          </w:r>
          <w:r>
            <w:instrText xml:space="preserve"> PAGEREF _Toc1214792873 \h </w:instrText>
          </w:r>
          <w:r>
            <w:fldChar w:fldCharType="separate"/>
          </w:r>
          <w:r>
            <w:t>1</w:t>
          </w:r>
          <w:r>
            <w:fldChar w:fldCharType="end"/>
          </w:r>
          <w:r>
            <w:rPr>
              <w:rFonts w:hint="eastAsia" w:ascii="Songti SC" w:hAnsi="Songti SC" w:eastAsia="Songti SC" w:cs="Songti SC"/>
              <w:color w:val="000000"/>
              <w:szCs w:val="36"/>
            </w:rPr>
            <w:fldChar w:fldCharType="end"/>
          </w:r>
        </w:p>
        <w:p w14:paraId="6153D063">
          <w:pPr>
            <w:pStyle w:val="29"/>
            <w:tabs>
              <w:tab w:val="right" w:leader="dot" w:pos="8121"/>
            </w:tabs>
          </w:pPr>
          <w:r>
            <w:rPr>
              <w:rFonts w:hint="eastAsia" w:ascii="Songti SC" w:hAnsi="Songti SC" w:eastAsia="Songti SC" w:cs="Songti SC"/>
              <w:color w:val="000000"/>
              <w:szCs w:val="36"/>
            </w:rPr>
            <w:fldChar w:fldCharType="begin"/>
          </w:r>
          <w:r>
            <w:rPr>
              <w:rFonts w:hint="eastAsia" w:ascii="Songti SC" w:hAnsi="Songti SC" w:eastAsia="Songti SC" w:cs="Songti SC"/>
              <w:szCs w:val="36"/>
            </w:rPr>
            <w:instrText xml:space="preserve"> HYPERLINK \l _Toc896784482 </w:instrText>
          </w:r>
          <w:r>
            <w:rPr>
              <w:rFonts w:hint="eastAsia" w:ascii="Songti SC" w:hAnsi="Songti SC" w:eastAsia="Songti SC" w:cs="Songti SC"/>
              <w:szCs w:val="36"/>
            </w:rPr>
            <w:fldChar w:fldCharType="separate"/>
          </w:r>
          <w:r>
            <w:rPr>
              <w:rFonts w:hint="eastAsia"/>
            </w:rPr>
            <w:t xml:space="preserve">1.3.2 </w:t>
          </w:r>
          <w:r>
            <w:rPr>
              <w:rFonts w:hint="eastAsia" w:ascii="Songti SC" w:hAnsi="Songti SC" w:eastAsia="Songti SC" w:cs="Songti SC"/>
            </w:rPr>
            <w:t>建设内容</w:t>
          </w:r>
          <w:r>
            <w:tab/>
          </w:r>
          <w:r>
            <w:fldChar w:fldCharType="begin"/>
          </w:r>
          <w:r>
            <w:instrText xml:space="preserve"> PAGEREF _Toc896784482 \h </w:instrText>
          </w:r>
          <w:r>
            <w:fldChar w:fldCharType="separate"/>
          </w:r>
          <w:r>
            <w:t>2</w:t>
          </w:r>
          <w:r>
            <w:fldChar w:fldCharType="end"/>
          </w:r>
          <w:r>
            <w:rPr>
              <w:rFonts w:hint="eastAsia" w:ascii="Songti SC" w:hAnsi="Songti SC" w:eastAsia="Songti SC" w:cs="Songti SC"/>
              <w:color w:val="000000"/>
              <w:szCs w:val="36"/>
            </w:rPr>
            <w:fldChar w:fldCharType="end"/>
          </w:r>
        </w:p>
        <w:p w14:paraId="2B42EFDA">
          <w:pPr>
            <w:pStyle w:val="29"/>
            <w:tabs>
              <w:tab w:val="right" w:leader="dot" w:pos="8121"/>
            </w:tabs>
          </w:pPr>
          <w:r>
            <w:rPr>
              <w:rFonts w:hint="eastAsia" w:ascii="Songti SC" w:hAnsi="Songti SC" w:eastAsia="Songti SC" w:cs="Songti SC"/>
              <w:color w:val="000000"/>
              <w:szCs w:val="36"/>
            </w:rPr>
            <w:fldChar w:fldCharType="begin"/>
          </w:r>
          <w:r>
            <w:rPr>
              <w:rFonts w:hint="eastAsia" w:ascii="Songti SC" w:hAnsi="Songti SC" w:eastAsia="Songti SC" w:cs="Songti SC"/>
              <w:szCs w:val="36"/>
            </w:rPr>
            <w:instrText xml:space="preserve"> HYPERLINK \l _Toc1216554328 </w:instrText>
          </w:r>
          <w:r>
            <w:rPr>
              <w:rFonts w:hint="eastAsia" w:ascii="Songti SC" w:hAnsi="Songti SC" w:eastAsia="Songti SC" w:cs="Songti SC"/>
              <w:szCs w:val="36"/>
            </w:rPr>
            <w:fldChar w:fldCharType="separate"/>
          </w:r>
          <w:r>
            <w:rPr>
              <w:rFonts w:hint="eastAsia"/>
            </w:rPr>
            <w:t xml:space="preserve">1.3.3 </w:t>
          </w:r>
          <w:r>
            <w:rPr>
              <w:rFonts w:hint="eastAsia" w:ascii="Songti SC" w:hAnsi="Songti SC" w:eastAsia="Songti SC" w:cs="Songti SC"/>
            </w:rPr>
            <w:t>建设规模</w:t>
          </w:r>
          <w:r>
            <w:tab/>
          </w:r>
          <w:r>
            <w:fldChar w:fldCharType="begin"/>
          </w:r>
          <w:r>
            <w:instrText xml:space="preserve"> PAGEREF _Toc1216554328 \h </w:instrText>
          </w:r>
          <w:r>
            <w:fldChar w:fldCharType="separate"/>
          </w:r>
          <w:r>
            <w:t>4</w:t>
          </w:r>
          <w:r>
            <w:fldChar w:fldCharType="end"/>
          </w:r>
          <w:r>
            <w:rPr>
              <w:rFonts w:hint="eastAsia" w:ascii="Songti SC" w:hAnsi="Songti SC" w:eastAsia="Songti SC" w:cs="Songti SC"/>
              <w:color w:val="000000"/>
              <w:szCs w:val="36"/>
            </w:rPr>
            <w:fldChar w:fldCharType="end"/>
          </w:r>
        </w:p>
        <w:p w14:paraId="7F243D9A">
          <w:pPr>
            <w:pStyle w:val="29"/>
            <w:tabs>
              <w:tab w:val="right" w:leader="dot" w:pos="8121"/>
            </w:tabs>
          </w:pPr>
          <w:r>
            <w:rPr>
              <w:rFonts w:hint="eastAsia" w:ascii="Songti SC" w:hAnsi="Songti SC" w:eastAsia="Songti SC" w:cs="Songti SC"/>
              <w:color w:val="000000"/>
              <w:szCs w:val="36"/>
            </w:rPr>
            <w:fldChar w:fldCharType="begin"/>
          </w:r>
          <w:r>
            <w:rPr>
              <w:rFonts w:hint="eastAsia" w:ascii="Songti SC" w:hAnsi="Songti SC" w:eastAsia="Songti SC" w:cs="Songti SC"/>
              <w:szCs w:val="36"/>
            </w:rPr>
            <w:instrText xml:space="preserve"> HYPERLINK \l _Toc436787609 </w:instrText>
          </w:r>
          <w:r>
            <w:rPr>
              <w:rFonts w:hint="eastAsia" w:ascii="Songti SC" w:hAnsi="Songti SC" w:eastAsia="Songti SC" w:cs="Songti SC"/>
              <w:szCs w:val="36"/>
            </w:rPr>
            <w:fldChar w:fldCharType="separate"/>
          </w:r>
          <w:r>
            <w:rPr>
              <w:rFonts w:hint="eastAsia"/>
            </w:rPr>
            <w:t xml:space="preserve">1.3.4 </w:t>
          </w:r>
          <w:r>
            <w:rPr>
              <w:rFonts w:hint="eastAsia" w:ascii="Songti SC" w:hAnsi="Songti SC" w:eastAsia="Songti SC" w:cs="Songti SC"/>
            </w:rPr>
            <w:t>建设周期</w:t>
          </w:r>
          <w:r>
            <w:tab/>
          </w:r>
          <w:r>
            <w:fldChar w:fldCharType="begin"/>
          </w:r>
          <w:r>
            <w:instrText xml:space="preserve"> PAGEREF _Toc436787609 \h </w:instrText>
          </w:r>
          <w:r>
            <w:fldChar w:fldCharType="separate"/>
          </w:r>
          <w:r>
            <w:t>4</w:t>
          </w:r>
          <w:r>
            <w:fldChar w:fldCharType="end"/>
          </w:r>
          <w:r>
            <w:rPr>
              <w:rFonts w:hint="eastAsia" w:ascii="Songti SC" w:hAnsi="Songti SC" w:eastAsia="Songti SC" w:cs="Songti SC"/>
              <w:color w:val="000000"/>
              <w:szCs w:val="36"/>
            </w:rPr>
            <w:fldChar w:fldCharType="end"/>
          </w:r>
        </w:p>
        <w:p w14:paraId="37F0C022">
          <w:pPr>
            <w:pStyle w:val="50"/>
            <w:tabs>
              <w:tab w:val="right" w:leader="dot" w:pos="8121"/>
            </w:tabs>
          </w:pPr>
          <w:r>
            <w:rPr>
              <w:rFonts w:hint="eastAsia" w:ascii="Songti SC" w:hAnsi="Songti SC" w:eastAsia="Songti SC" w:cs="Songti SC"/>
              <w:color w:val="000000"/>
              <w:szCs w:val="36"/>
            </w:rPr>
            <w:fldChar w:fldCharType="begin"/>
          </w:r>
          <w:r>
            <w:rPr>
              <w:rFonts w:hint="eastAsia" w:ascii="Songti SC" w:hAnsi="Songti SC" w:eastAsia="Songti SC" w:cs="Songti SC"/>
              <w:szCs w:val="36"/>
            </w:rPr>
            <w:instrText xml:space="preserve"> HYPERLINK \l _Toc990239017 </w:instrText>
          </w:r>
          <w:r>
            <w:rPr>
              <w:rFonts w:hint="eastAsia" w:ascii="Songti SC" w:hAnsi="Songti SC" w:eastAsia="Songti SC" w:cs="Songti SC"/>
              <w:szCs w:val="36"/>
            </w:rPr>
            <w:fldChar w:fldCharType="separate"/>
          </w:r>
          <w:r>
            <w:rPr>
              <w:rFonts w:hint="eastAsia"/>
            </w:rPr>
            <w:t xml:space="preserve">1.4 </w:t>
          </w:r>
          <w:r>
            <w:rPr>
              <w:rFonts w:hint="eastAsia" w:ascii="Songti SC" w:hAnsi="Songti SC" w:eastAsia="Songti SC" w:cs="Songti SC"/>
            </w:rPr>
            <w:t>建设地点</w:t>
          </w:r>
          <w:r>
            <w:tab/>
          </w:r>
          <w:r>
            <w:fldChar w:fldCharType="begin"/>
          </w:r>
          <w:r>
            <w:instrText xml:space="preserve"> PAGEREF _Toc990239017 \h </w:instrText>
          </w:r>
          <w:r>
            <w:fldChar w:fldCharType="separate"/>
          </w:r>
          <w:r>
            <w:t>4</w:t>
          </w:r>
          <w:r>
            <w:fldChar w:fldCharType="end"/>
          </w:r>
          <w:r>
            <w:rPr>
              <w:rFonts w:hint="eastAsia" w:ascii="Songti SC" w:hAnsi="Songti SC" w:eastAsia="Songti SC" w:cs="Songti SC"/>
              <w:color w:val="000000"/>
              <w:szCs w:val="36"/>
            </w:rPr>
            <w:fldChar w:fldCharType="end"/>
          </w:r>
        </w:p>
        <w:p w14:paraId="6F158F2C">
          <w:pPr>
            <w:pStyle w:val="50"/>
            <w:tabs>
              <w:tab w:val="right" w:leader="dot" w:pos="8121"/>
            </w:tabs>
          </w:pPr>
          <w:r>
            <w:rPr>
              <w:rFonts w:hint="eastAsia" w:ascii="Songti SC" w:hAnsi="Songti SC" w:eastAsia="Songti SC" w:cs="Songti SC"/>
              <w:color w:val="000000"/>
              <w:szCs w:val="36"/>
            </w:rPr>
            <w:fldChar w:fldCharType="begin"/>
          </w:r>
          <w:r>
            <w:rPr>
              <w:rFonts w:hint="eastAsia" w:ascii="Songti SC" w:hAnsi="Songti SC" w:eastAsia="Songti SC" w:cs="Songti SC"/>
              <w:szCs w:val="36"/>
            </w:rPr>
            <w:instrText xml:space="preserve"> HYPERLINK \l _Toc2096378116 </w:instrText>
          </w:r>
          <w:r>
            <w:rPr>
              <w:rFonts w:hint="eastAsia" w:ascii="Songti SC" w:hAnsi="Songti SC" w:eastAsia="Songti SC" w:cs="Songti SC"/>
              <w:szCs w:val="36"/>
            </w:rPr>
            <w:fldChar w:fldCharType="separate"/>
          </w:r>
          <w:r>
            <w:rPr>
              <w:rFonts w:hint="eastAsia"/>
              <w:lang w:eastAsia="zh-CN"/>
            </w:rPr>
            <w:t xml:space="preserve">1.5 </w:t>
          </w:r>
          <w:r>
            <w:rPr>
              <w:rFonts w:hint="eastAsia" w:ascii="Songti SC" w:hAnsi="Songti SC" w:eastAsia="Songti SC" w:cs="Songti SC"/>
              <w:lang w:eastAsia="zh-CN"/>
            </w:rPr>
            <w:t>总投资及资金来源</w:t>
          </w:r>
          <w:r>
            <w:tab/>
          </w:r>
          <w:r>
            <w:fldChar w:fldCharType="begin"/>
          </w:r>
          <w:r>
            <w:instrText xml:space="preserve"> PAGEREF _Toc2096378116 \h </w:instrText>
          </w:r>
          <w:r>
            <w:fldChar w:fldCharType="separate"/>
          </w:r>
          <w:r>
            <w:t>4</w:t>
          </w:r>
          <w:r>
            <w:fldChar w:fldCharType="end"/>
          </w:r>
          <w:r>
            <w:rPr>
              <w:rFonts w:hint="eastAsia" w:ascii="Songti SC" w:hAnsi="Songti SC" w:eastAsia="Songti SC" w:cs="Songti SC"/>
              <w:color w:val="000000"/>
              <w:szCs w:val="36"/>
            </w:rPr>
            <w:fldChar w:fldCharType="end"/>
          </w:r>
        </w:p>
        <w:p w14:paraId="49D16D81">
          <w:pPr>
            <w:pStyle w:val="50"/>
            <w:tabs>
              <w:tab w:val="right" w:leader="dot" w:pos="8121"/>
            </w:tabs>
          </w:pPr>
          <w:r>
            <w:rPr>
              <w:rFonts w:hint="eastAsia" w:ascii="Songti SC" w:hAnsi="Songti SC" w:eastAsia="Songti SC" w:cs="Songti SC"/>
              <w:color w:val="000000"/>
              <w:szCs w:val="36"/>
            </w:rPr>
            <w:fldChar w:fldCharType="begin"/>
          </w:r>
          <w:r>
            <w:rPr>
              <w:rFonts w:hint="eastAsia" w:ascii="Songti SC" w:hAnsi="Songti SC" w:eastAsia="Songti SC" w:cs="Songti SC"/>
              <w:szCs w:val="36"/>
            </w:rPr>
            <w:instrText xml:space="preserve"> HYPERLINK \l _Toc62799283 </w:instrText>
          </w:r>
          <w:r>
            <w:rPr>
              <w:rFonts w:hint="eastAsia" w:ascii="Songti SC" w:hAnsi="Songti SC" w:eastAsia="Songti SC" w:cs="Songti SC"/>
              <w:szCs w:val="36"/>
            </w:rPr>
            <w:fldChar w:fldCharType="separate"/>
          </w:r>
          <w:r>
            <w:rPr>
              <w:rFonts w:hint="eastAsia"/>
            </w:rPr>
            <w:t xml:space="preserve">1.6 </w:t>
          </w:r>
          <w:r>
            <w:rPr>
              <w:rFonts w:hint="eastAsia" w:ascii="Songti SC" w:hAnsi="Songti SC" w:eastAsia="Songti SC" w:cs="Songti SC"/>
            </w:rPr>
            <w:t>方案编制依据</w:t>
          </w:r>
          <w:r>
            <w:tab/>
          </w:r>
          <w:r>
            <w:fldChar w:fldCharType="begin"/>
          </w:r>
          <w:r>
            <w:instrText xml:space="preserve"> PAGEREF _Toc62799283 \h </w:instrText>
          </w:r>
          <w:r>
            <w:fldChar w:fldCharType="separate"/>
          </w:r>
          <w:r>
            <w:t>5</w:t>
          </w:r>
          <w:r>
            <w:fldChar w:fldCharType="end"/>
          </w:r>
          <w:r>
            <w:rPr>
              <w:rFonts w:hint="eastAsia" w:ascii="Songti SC" w:hAnsi="Songti SC" w:eastAsia="Songti SC" w:cs="Songti SC"/>
              <w:color w:val="000000"/>
              <w:szCs w:val="36"/>
            </w:rPr>
            <w:fldChar w:fldCharType="end"/>
          </w:r>
        </w:p>
        <w:p w14:paraId="0EA1C70F">
          <w:pPr>
            <w:pStyle w:val="29"/>
            <w:tabs>
              <w:tab w:val="right" w:leader="dot" w:pos="8121"/>
            </w:tabs>
          </w:pPr>
          <w:r>
            <w:rPr>
              <w:rFonts w:hint="eastAsia" w:ascii="Songti SC" w:hAnsi="Songti SC" w:eastAsia="Songti SC" w:cs="Songti SC"/>
              <w:color w:val="000000"/>
              <w:szCs w:val="36"/>
            </w:rPr>
            <w:fldChar w:fldCharType="begin"/>
          </w:r>
          <w:r>
            <w:rPr>
              <w:rFonts w:hint="eastAsia" w:ascii="Songti SC" w:hAnsi="Songti SC" w:eastAsia="Songti SC" w:cs="Songti SC"/>
              <w:szCs w:val="36"/>
            </w:rPr>
            <w:instrText xml:space="preserve"> HYPERLINK \l _Toc1053078704 </w:instrText>
          </w:r>
          <w:r>
            <w:rPr>
              <w:rFonts w:hint="eastAsia" w:ascii="Songti SC" w:hAnsi="Songti SC" w:eastAsia="Songti SC" w:cs="Songti SC"/>
              <w:szCs w:val="36"/>
            </w:rPr>
            <w:fldChar w:fldCharType="separate"/>
          </w:r>
          <w:r>
            <w:rPr>
              <w:rFonts w:hint="eastAsia"/>
            </w:rPr>
            <w:t xml:space="preserve">1.6.1 </w:t>
          </w:r>
          <w:r>
            <w:rPr>
              <w:rFonts w:hint="eastAsia" w:ascii="Songti SC" w:hAnsi="Songti SC" w:eastAsia="Songti SC" w:cs="Songti SC"/>
            </w:rPr>
            <w:t>政策依据</w:t>
          </w:r>
          <w:r>
            <w:tab/>
          </w:r>
          <w:r>
            <w:fldChar w:fldCharType="begin"/>
          </w:r>
          <w:r>
            <w:instrText xml:space="preserve"> PAGEREF _Toc1053078704 \h </w:instrText>
          </w:r>
          <w:r>
            <w:fldChar w:fldCharType="separate"/>
          </w:r>
          <w:r>
            <w:t>5</w:t>
          </w:r>
          <w:r>
            <w:fldChar w:fldCharType="end"/>
          </w:r>
          <w:r>
            <w:rPr>
              <w:rFonts w:hint="eastAsia" w:ascii="Songti SC" w:hAnsi="Songti SC" w:eastAsia="Songti SC" w:cs="Songti SC"/>
              <w:color w:val="000000"/>
              <w:szCs w:val="36"/>
            </w:rPr>
            <w:fldChar w:fldCharType="end"/>
          </w:r>
        </w:p>
        <w:p w14:paraId="4F5C474B">
          <w:pPr>
            <w:pStyle w:val="29"/>
            <w:tabs>
              <w:tab w:val="right" w:leader="dot" w:pos="8121"/>
            </w:tabs>
          </w:pPr>
          <w:r>
            <w:rPr>
              <w:rFonts w:hint="eastAsia" w:ascii="Songti SC" w:hAnsi="Songti SC" w:eastAsia="Songti SC" w:cs="Songti SC"/>
              <w:color w:val="000000"/>
              <w:szCs w:val="36"/>
            </w:rPr>
            <w:fldChar w:fldCharType="begin"/>
          </w:r>
          <w:r>
            <w:rPr>
              <w:rFonts w:hint="eastAsia" w:ascii="Songti SC" w:hAnsi="Songti SC" w:eastAsia="Songti SC" w:cs="Songti SC"/>
              <w:szCs w:val="36"/>
            </w:rPr>
            <w:instrText xml:space="preserve"> HYPERLINK \l _Toc1681043201 </w:instrText>
          </w:r>
          <w:r>
            <w:rPr>
              <w:rFonts w:hint="eastAsia" w:ascii="Songti SC" w:hAnsi="Songti SC" w:eastAsia="Songti SC" w:cs="Songti SC"/>
              <w:szCs w:val="36"/>
            </w:rPr>
            <w:fldChar w:fldCharType="separate"/>
          </w:r>
          <w:r>
            <w:rPr>
              <w:rFonts w:hint="eastAsia"/>
            </w:rPr>
            <w:t xml:space="preserve">1.6.2 </w:t>
          </w:r>
          <w:r>
            <w:rPr>
              <w:rFonts w:hint="eastAsia" w:ascii="Songti SC" w:hAnsi="Songti SC" w:eastAsia="Songti SC" w:cs="Songti SC"/>
            </w:rPr>
            <w:t>标准规范</w:t>
          </w:r>
          <w:r>
            <w:tab/>
          </w:r>
          <w:r>
            <w:fldChar w:fldCharType="begin"/>
          </w:r>
          <w:r>
            <w:instrText xml:space="preserve"> PAGEREF _Toc1681043201 \h </w:instrText>
          </w:r>
          <w:r>
            <w:fldChar w:fldCharType="separate"/>
          </w:r>
          <w:r>
            <w:t>5</w:t>
          </w:r>
          <w:r>
            <w:fldChar w:fldCharType="end"/>
          </w:r>
          <w:r>
            <w:rPr>
              <w:rFonts w:hint="eastAsia" w:ascii="Songti SC" w:hAnsi="Songti SC" w:eastAsia="Songti SC" w:cs="Songti SC"/>
              <w:color w:val="000000"/>
              <w:szCs w:val="36"/>
            </w:rPr>
            <w:fldChar w:fldCharType="end"/>
          </w:r>
        </w:p>
        <w:p w14:paraId="4EF5431A">
          <w:pPr>
            <w:pStyle w:val="50"/>
            <w:tabs>
              <w:tab w:val="right" w:leader="dot" w:pos="8121"/>
            </w:tabs>
          </w:pPr>
          <w:r>
            <w:rPr>
              <w:rFonts w:hint="eastAsia" w:ascii="Songti SC" w:hAnsi="Songti SC" w:eastAsia="Songti SC" w:cs="Songti SC"/>
              <w:color w:val="000000"/>
              <w:szCs w:val="36"/>
            </w:rPr>
            <w:fldChar w:fldCharType="begin"/>
          </w:r>
          <w:r>
            <w:rPr>
              <w:rFonts w:hint="eastAsia" w:ascii="Songti SC" w:hAnsi="Songti SC" w:eastAsia="Songti SC" w:cs="Songti SC"/>
              <w:szCs w:val="36"/>
            </w:rPr>
            <w:instrText xml:space="preserve"> HYPERLINK \l _Toc998219275 </w:instrText>
          </w:r>
          <w:r>
            <w:rPr>
              <w:rFonts w:hint="eastAsia" w:ascii="Songti SC" w:hAnsi="Songti SC" w:eastAsia="Songti SC" w:cs="Songti SC"/>
              <w:szCs w:val="36"/>
            </w:rPr>
            <w:fldChar w:fldCharType="separate"/>
          </w:r>
          <w:r>
            <w:rPr>
              <w:rFonts w:hint="eastAsia"/>
            </w:rPr>
            <w:t xml:space="preserve">1.7 </w:t>
          </w:r>
          <w:r>
            <w:rPr>
              <w:rFonts w:ascii="Songti SC" w:hAnsi="Songti SC" w:eastAsia="Songti SC" w:cs="Songti SC"/>
            </w:rPr>
            <w:t>经济及社会效益</w:t>
          </w:r>
          <w:r>
            <w:tab/>
          </w:r>
          <w:r>
            <w:fldChar w:fldCharType="begin"/>
          </w:r>
          <w:r>
            <w:instrText xml:space="preserve"> PAGEREF _Toc998219275 \h </w:instrText>
          </w:r>
          <w:r>
            <w:fldChar w:fldCharType="separate"/>
          </w:r>
          <w:r>
            <w:t>6</w:t>
          </w:r>
          <w:r>
            <w:fldChar w:fldCharType="end"/>
          </w:r>
          <w:r>
            <w:rPr>
              <w:rFonts w:hint="eastAsia" w:ascii="Songti SC" w:hAnsi="Songti SC" w:eastAsia="Songti SC" w:cs="Songti SC"/>
              <w:color w:val="000000"/>
              <w:szCs w:val="36"/>
            </w:rPr>
            <w:fldChar w:fldCharType="end"/>
          </w:r>
        </w:p>
        <w:p w14:paraId="349D9469">
          <w:pPr>
            <w:pStyle w:val="29"/>
            <w:tabs>
              <w:tab w:val="right" w:leader="dot" w:pos="8121"/>
            </w:tabs>
          </w:pPr>
          <w:r>
            <w:rPr>
              <w:rFonts w:hint="eastAsia" w:ascii="Songti SC" w:hAnsi="Songti SC" w:eastAsia="Songti SC" w:cs="Songti SC"/>
              <w:color w:val="000000"/>
              <w:szCs w:val="36"/>
            </w:rPr>
            <w:fldChar w:fldCharType="begin"/>
          </w:r>
          <w:r>
            <w:rPr>
              <w:rFonts w:hint="eastAsia" w:ascii="Songti SC" w:hAnsi="Songti SC" w:eastAsia="Songti SC" w:cs="Songti SC"/>
              <w:szCs w:val="36"/>
            </w:rPr>
            <w:instrText xml:space="preserve"> HYPERLINK \l _Toc929104561 </w:instrText>
          </w:r>
          <w:r>
            <w:rPr>
              <w:rFonts w:hint="eastAsia" w:ascii="Songti SC" w:hAnsi="Songti SC" w:eastAsia="Songti SC" w:cs="Songti SC"/>
              <w:szCs w:val="36"/>
            </w:rPr>
            <w:fldChar w:fldCharType="separate"/>
          </w:r>
          <w:r>
            <w:rPr>
              <w:rFonts w:hint="eastAsia"/>
            </w:rPr>
            <w:t xml:space="preserve">1.7.1 </w:t>
          </w:r>
          <w:r>
            <w:rPr>
              <w:rFonts w:hint="eastAsia" w:ascii="Songti SC" w:hAnsi="Songti SC" w:eastAsia="Songti SC" w:cs="Songti SC"/>
            </w:rPr>
            <w:t>社会效益</w:t>
          </w:r>
          <w:r>
            <w:tab/>
          </w:r>
          <w:r>
            <w:fldChar w:fldCharType="begin"/>
          </w:r>
          <w:r>
            <w:instrText xml:space="preserve"> PAGEREF _Toc929104561 \h </w:instrText>
          </w:r>
          <w:r>
            <w:fldChar w:fldCharType="separate"/>
          </w:r>
          <w:r>
            <w:t>6</w:t>
          </w:r>
          <w:r>
            <w:fldChar w:fldCharType="end"/>
          </w:r>
          <w:r>
            <w:rPr>
              <w:rFonts w:hint="eastAsia" w:ascii="Songti SC" w:hAnsi="Songti SC" w:eastAsia="Songti SC" w:cs="Songti SC"/>
              <w:color w:val="000000"/>
              <w:szCs w:val="36"/>
            </w:rPr>
            <w:fldChar w:fldCharType="end"/>
          </w:r>
        </w:p>
        <w:p w14:paraId="0533E1E5">
          <w:pPr>
            <w:pStyle w:val="29"/>
            <w:tabs>
              <w:tab w:val="right" w:leader="dot" w:pos="8121"/>
            </w:tabs>
          </w:pPr>
          <w:r>
            <w:rPr>
              <w:rFonts w:hint="eastAsia" w:ascii="Songti SC" w:hAnsi="Songti SC" w:eastAsia="Songti SC" w:cs="Songti SC"/>
              <w:color w:val="000000"/>
              <w:szCs w:val="36"/>
            </w:rPr>
            <w:fldChar w:fldCharType="begin"/>
          </w:r>
          <w:r>
            <w:rPr>
              <w:rFonts w:hint="eastAsia" w:ascii="Songti SC" w:hAnsi="Songti SC" w:eastAsia="Songti SC" w:cs="Songti SC"/>
              <w:szCs w:val="36"/>
            </w:rPr>
            <w:instrText xml:space="preserve"> HYPERLINK \l _Toc1106759390 </w:instrText>
          </w:r>
          <w:r>
            <w:rPr>
              <w:rFonts w:hint="eastAsia" w:ascii="Songti SC" w:hAnsi="Songti SC" w:eastAsia="Songti SC" w:cs="Songti SC"/>
              <w:szCs w:val="36"/>
            </w:rPr>
            <w:fldChar w:fldCharType="separate"/>
          </w:r>
          <w:r>
            <w:rPr>
              <w:rFonts w:hint="eastAsia"/>
            </w:rPr>
            <w:t xml:space="preserve">1.7.2 </w:t>
          </w:r>
          <w:r>
            <w:rPr>
              <w:rFonts w:hint="eastAsia" w:ascii="Songti SC" w:hAnsi="Songti SC" w:eastAsia="Songti SC" w:cs="Songti SC"/>
            </w:rPr>
            <w:t>经济效益</w:t>
          </w:r>
          <w:r>
            <w:tab/>
          </w:r>
          <w:r>
            <w:fldChar w:fldCharType="begin"/>
          </w:r>
          <w:r>
            <w:instrText xml:space="preserve"> PAGEREF _Toc1106759390 \h </w:instrText>
          </w:r>
          <w:r>
            <w:fldChar w:fldCharType="separate"/>
          </w:r>
          <w:r>
            <w:t>6</w:t>
          </w:r>
          <w:r>
            <w:fldChar w:fldCharType="end"/>
          </w:r>
          <w:r>
            <w:rPr>
              <w:rFonts w:hint="eastAsia" w:ascii="Songti SC" w:hAnsi="Songti SC" w:eastAsia="Songti SC" w:cs="Songti SC"/>
              <w:color w:val="000000"/>
              <w:szCs w:val="36"/>
            </w:rPr>
            <w:fldChar w:fldCharType="end"/>
          </w:r>
        </w:p>
        <w:p w14:paraId="07E930C3">
          <w:pPr>
            <w:pStyle w:val="39"/>
            <w:tabs>
              <w:tab w:val="right" w:leader="dot" w:pos="8121"/>
            </w:tabs>
          </w:pPr>
          <w:r>
            <w:rPr>
              <w:rFonts w:hint="eastAsia" w:ascii="Songti SC" w:hAnsi="Songti SC" w:eastAsia="Songti SC" w:cs="Songti SC"/>
              <w:color w:val="000000"/>
              <w:szCs w:val="36"/>
            </w:rPr>
            <w:fldChar w:fldCharType="begin"/>
          </w:r>
          <w:r>
            <w:rPr>
              <w:rFonts w:hint="eastAsia" w:ascii="Songti SC" w:hAnsi="Songti SC" w:eastAsia="Songti SC" w:cs="Songti SC"/>
              <w:szCs w:val="36"/>
            </w:rPr>
            <w:instrText xml:space="preserve"> HYPERLINK \l _Toc1949201063 </w:instrText>
          </w:r>
          <w:r>
            <w:rPr>
              <w:rFonts w:hint="eastAsia" w:ascii="Songti SC" w:hAnsi="Songti SC" w:eastAsia="Songti SC" w:cs="Songti SC"/>
              <w:szCs w:val="36"/>
            </w:rPr>
            <w:fldChar w:fldCharType="separate"/>
          </w:r>
          <w:r>
            <w:rPr>
              <w:rFonts w:hint="eastAsia"/>
            </w:rPr>
            <w:t xml:space="preserve">第2章 </w:t>
          </w:r>
          <w:r>
            <w:rPr>
              <w:rFonts w:hint="eastAsia" w:ascii="Songti SC" w:hAnsi="Songti SC" w:eastAsia="Songti SC" w:cs="Songti SC"/>
            </w:rPr>
            <w:t>项目单位概况</w:t>
          </w:r>
          <w:r>
            <w:tab/>
          </w:r>
          <w:r>
            <w:fldChar w:fldCharType="begin"/>
          </w:r>
          <w:r>
            <w:instrText xml:space="preserve"> PAGEREF _Toc1949201063 \h </w:instrText>
          </w:r>
          <w:r>
            <w:fldChar w:fldCharType="separate"/>
          </w:r>
          <w:r>
            <w:t>8</w:t>
          </w:r>
          <w:r>
            <w:fldChar w:fldCharType="end"/>
          </w:r>
          <w:r>
            <w:rPr>
              <w:rFonts w:hint="eastAsia" w:ascii="Songti SC" w:hAnsi="Songti SC" w:eastAsia="Songti SC" w:cs="Songti SC"/>
              <w:color w:val="000000"/>
              <w:szCs w:val="36"/>
            </w:rPr>
            <w:fldChar w:fldCharType="end"/>
          </w:r>
        </w:p>
        <w:p w14:paraId="01510D6B">
          <w:pPr>
            <w:pStyle w:val="50"/>
            <w:tabs>
              <w:tab w:val="right" w:leader="dot" w:pos="8121"/>
            </w:tabs>
          </w:pPr>
          <w:r>
            <w:rPr>
              <w:rFonts w:hint="eastAsia" w:ascii="Songti SC" w:hAnsi="Songti SC" w:eastAsia="Songti SC" w:cs="Songti SC"/>
              <w:color w:val="000000"/>
              <w:szCs w:val="36"/>
            </w:rPr>
            <w:fldChar w:fldCharType="begin"/>
          </w:r>
          <w:r>
            <w:rPr>
              <w:rFonts w:hint="eastAsia" w:ascii="Songti SC" w:hAnsi="Songti SC" w:eastAsia="Songti SC" w:cs="Songti SC"/>
              <w:szCs w:val="36"/>
            </w:rPr>
            <w:instrText xml:space="preserve"> HYPERLINK \l _Toc359230856 </w:instrText>
          </w:r>
          <w:r>
            <w:rPr>
              <w:rFonts w:hint="eastAsia" w:ascii="Songti SC" w:hAnsi="Songti SC" w:eastAsia="Songti SC" w:cs="Songti SC"/>
              <w:szCs w:val="36"/>
            </w:rPr>
            <w:fldChar w:fldCharType="separate"/>
          </w:r>
          <w:r>
            <w:rPr>
              <w:rFonts w:hint="eastAsia"/>
            </w:rPr>
            <w:t xml:space="preserve">2.1 </w:t>
          </w:r>
          <w:r>
            <w:rPr>
              <w:rFonts w:hint="eastAsia" w:ascii="Songti SC" w:hAnsi="Songti SC" w:eastAsia="Songti SC" w:cs="Songti SC"/>
            </w:rPr>
            <w:t>项目主责单位概况</w:t>
          </w:r>
          <w:r>
            <w:tab/>
          </w:r>
          <w:r>
            <w:fldChar w:fldCharType="begin"/>
          </w:r>
          <w:r>
            <w:instrText xml:space="preserve"> PAGEREF _Toc359230856 \h </w:instrText>
          </w:r>
          <w:r>
            <w:fldChar w:fldCharType="separate"/>
          </w:r>
          <w:r>
            <w:t>8</w:t>
          </w:r>
          <w:r>
            <w:fldChar w:fldCharType="end"/>
          </w:r>
          <w:r>
            <w:rPr>
              <w:rFonts w:hint="eastAsia" w:ascii="Songti SC" w:hAnsi="Songti SC" w:eastAsia="Songti SC" w:cs="Songti SC"/>
              <w:color w:val="000000"/>
              <w:szCs w:val="36"/>
            </w:rPr>
            <w:fldChar w:fldCharType="end"/>
          </w:r>
        </w:p>
        <w:p w14:paraId="4D50E158">
          <w:pPr>
            <w:pStyle w:val="50"/>
            <w:tabs>
              <w:tab w:val="right" w:leader="dot" w:pos="8121"/>
            </w:tabs>
          </w:pPr>
          <w:r>
            <w:rPr>
              <w:rFonts w:hint="eastAsia" w:ascii="Songti SC" w:hAnsi="Songti SC" w:eastAsia="Songti SC" w:cs="Songti SC"/>
              <w:color w:val="000000"/>
              <w:szCs w:val="36"/>
            </w:rPr>
            <w:fldChar w:fldCharType="begin"/>
          </w:r>
          <w:r>
            <w:rPr>
              <w:rFonts w:hint="eastAsia" w:ascii="Songti SC" w:hAnsi="Songti SC" w:eastAsia="Songti SC" w:cs="Songti SC"/>
              <w:szCs w:val="36"/>
            </w:rPr>
            <w:instrText xml:space="preserve"> HYPERLINK \l _Toc1016465075 </w:instrText>
          </w:r>
          <w:r>
            <w:rPr>
              <w:rFonts w:hint="eastAsia" w:ascii="Songti SC" w:hAnsi="Songti SC" w:eastAsia="Songti SC" w:cs="Songti SC"/>
              <w:szCs w:val="36"/>
            </w:rPr>
            <w:fldChar w:fldCharType="separate"/>
          </w:r>
          <w:r>
            <w:rPr>
              <w:rFonts w:hint="eastAsia"/>
              <w:lang w:eastAsia="zh-CN"/>
            </w:rPr>
            <w:t xml:space="preserve">2.2 </w:t>
          </w:r>
          <w:r>
            <w:rPr>
              <w:rFonts w:hint="eastAsia" w:ascii="Songti SC" w:hAnsi="Songti SC" w:eastAsia="Songti SC" w:cs="Songti SC"/>
              <w:lang w:eastAsia="zh-CN"/>
            </w:rPr>
            <w:t>项目主责单位及相关职责</w:t>
          </w:r>
          <w:r>
            <w:tab/>
          </w:r>
          <w:r>
            <w:fldChar w:fldCharType="begin"/>
          </w:r>
          <w:r>
            <w:instrText xml:space="preserve"> PAGEREF _Toc1016465075 \h </w:instrText>
          </w:r>
          <w:r>
            <w:fldChar w:fldCharType="separate"/>
          </w:r>
          <w:r>
            <w:t>8</w:t>
          </w:r>
          <w:r>
            <w:fldChar w:fldCharType="end"/>
          </w:r>
          <w:r>
            <w:rPr>
              <w:rFonts w:hint="eastAsia" w:ascii="Songti SC" w:hAnsi="Songti SC" w:eastAsia="Songti SC" w:cs="Songti SC"/>
              <w:color w:val="000000"/>
              <w:szCs w:val="36"/>
            </w:rPr>
            <w:fldChar w:fldCharType="end"/>
          </w:r>
        </w:p>
        <w:p w14:paraId="68599995">
          <w:pPr>
            <w:pStyle w:val="39"/>
            <w:tabs>
              <w:tab w:val="right" w:leader="dot" w:pos="8121"/>
            </w:tabs>
          </w:pPr>
          <w:r>
            <w:rPr>
              <w:rFonts w:hint="eastAsia" w:ascii="Songti SC" w:hAnsi="Songti SC" w:eastAsia="Songti SC" w:cs="Songti SC"/>
              <w:color w:val="000000"/>
              <w:szCs w:val="36"/>
            </w:rPr>
            <w:fldChar w:fldCharType="begin"/>
          </w:r>
          <w:r>
            <w:rPr>
              <w:rFonts w:hint="eastAsia" w:ascii="Songti SC" w:hAnsi="Songti SC" w:eastAsia="Songti SC" w:cs="Songti SC"/>
              <w:szCs w:val="36"/>
            </w:rPr>
            <w:instrText xml:space="preserve"> HYPERLINK \l _Toc496103640 </w:instrText>
          </w:r>
          <w:r>
            <w:rPr>
              <w:rFonts w:hint="eastAsia" w:ascii="Songti SC" w:hAnsi="Songti SC" w:eastAsia="Songti SC" w:cs="Songti SC"/>
              <w:szCs w:val="36"/>
            </w:rPr>
            <w:fldChar w:fldCharType="separate"/>
          </w:r>
          <w:r>
            <w:rPr>
              <w:rFonts w:hint="eastAsia"/>
            </w:rPr>
            <w:t>第3章 项目建设的必要性和可行性</w:t>
          </w:r>
          <w:r>
            <w:tab/>
          </w:r>
          <w:r>
            <w:fldChar w:fldCharType="begin"/>
          </w:r>
          <w:r>
            <w:instrText xml:space="preserve"> PAGEREF _Toc496103640 \h </w:instrText>
          </w:r>
          <w:r>
            <w:fldChar w:fldCharType="separate"/>
          </w:r>
          <w:r>
            <w:t>11</w:t>
          </w:r>
          <w:r>
            <w:fldChar w:fldCharType="end"/>
          </w:r>
          <w:r>
            <w:rPr>
              <w:rFonts w:hint="eastAsia" w:ascii="Songti SC" w:hAnsi="Songti SC" w:eastAsia="Songti SC" w:cs="Songti SC"/>
              <w:color w:val="000000"/>
              <w:szCs w:val="36"/>
            </w:rPr>
            <w:fldChar w:fldCharType="end"/>
          </w:r>
        </w:p>
        <w:p w14:paraId="7EA010AB">
          <w:pPr>
            <w:pStyle w:val="50"/>
            <w:tabs>
              <w:tab w:val="right" w:leader="dot" w:pos="8121"/>
            </w:tabs>
          </w:pPr>
          <w:r>
            <w:rPr>
              <w:rFonts w:hint="eastAsia" w:ascii="Songti SC" w:hAnsi="Songti SC" w:eastAsia="Songti SC" w:cs="Songti SC"/>
              <w:color w:val="000000"/>
              <w:szCs w:val="36"/>
            </w:rPr>
            <w:fldChar w:fldCharType="begin"/>
          </w:r>
          <w:r>
            <w:rPr>
              <w:rFonts w:hint="eastAsia" w:ascii="Songti SC" w:hAnsi="Songti SC" w:eastAsia="Songti SC" w:cs="Songti SC"/>
              <w:szCs w:val="36"/>
            </w:rPr>
            <w:instrText xml:space="preserve"> HYPERLINK \l _Toc1482359826 </w:instrText>
          </w:r>
          <w:r>
            <w:rPr>
              <w:rFonts w:hint="eastAsia" w:ascii="Songti SC" w:hAnsi="Songti SC" w:eastAsia="Songti SC" w:cs="Songti SC"/>
              <w:szCs w:val="36"/>
            </w:rPr>
            <w:fldChar w:fldCharType="separate"/>
          </w:r>
          <w:r>
            <w:rPr>
              <w:rFonts w:hint="eastAsia"/>
            </w:rPr>
            <w:t>3.1 项目背景</w:t>
          </w:r>
          <w:r>
            <w:tab/>
          </w:r>
          <w:r>
            <w:fldChar w:fldCharType="begin"/>
          </w:r>
          <w:r>
            <w:instrText xml:space="preserve"> PAGEREF _Toc1482359826 \h </w:instrText>
          </w:r>
          <w:r>
            <w:fldChar w:fldCharType="separate"/>
          </w:r>
          <w:r>
            <w:t>11</w:t>
          </w:r>
          <w:r>
            <w:fldChar w:fldCharType="end"/>
          </w:r>
          <w:r>
            <w:rPr>
              <w:rFonts w:hint="eastAsia" w:ascii="Songti SC" w:hAnsi="Songti SC" w:eastAsia="Songti SC" w:cs="Songti SC"/>
              <w:color w:val="000000"/>
              <w:szCs w:val="36"/>
            </w:rPr>
            <w:fldChar w:fldCharType="end"/>
          </w:r>
        </w:p>
        <w:p w14:paraId="0414083A">
          <w:pPr>
            <w:pStyle w:val="29"/>
            <w:tabs>
              <w:tab w:val="right" w:leader="dot" w:pos="8121"/>
            </w:tabs>
          </w:pPr>
          <w:r>
            <w:rPr>
              <w:rFonts w:hint="eastAsia" w:ascii="Songti SC" w:hAnsi="Songti SC" w:eastAsia="Songti SC" w:cs="Songti SC"/>
              <w:color w:val="000000"/>
              <w:szCs w:val="36"/>
            </w:rPr>
            <w:fldChar w:fldCharType="begin"/>
          </w:r>
          <w:r>
            <w:rPr>
              <w:rFonts w:hint="eastAsia" w:ascii="Songti SC" w:hAnsi="Songti SC" w:eastAsia="Songti SC" w:cs="Songti SC"/>
              <w:szCs w:val="36"/>
            </w:rPr>
            <w:instrText xml:space="preserve"> HYPERLINK \l _Toc1063806735 </w:instrText>
          </w:r>
          <w:r>
            <w:rPr>
              <w:rFonts w:hint="eastAsia" w:ascii="Songti SC" w:hAnsi="Songti SC" w:eastAsia="Songti SC" w:cs="Songti SC"/>
              <w:szCs w:val="36"/>
            </w:rPr>
            <w:fldChar w:fldCharType="separate"/>
          </w:r>
          <w:r>
            <w:rPr>
              <w:rFonts w:hint="eastAsia"/>
            </w:rPr>
            <w:t>3.1.1 规划定位</w:t>
          </w:r>
          <w:r>
            <w:tab/>
          </w:r>
          <w:r>
            <w:fldChar w:fldCharType="begin"/>
          </w:r>
          <w:r>
            <w:instrText xml:space="preserve"> PAGEREF _Toc1063806735 \h </w:instrText>
          </w:r>
          <w:r>
            <w:fldChar w:fldCharType="separate"/>
          </w:r>
          <w:r>
            <w:t>11</w:t>
          </w:r>
          <w:r>
            <w:fldChar w:fldCharType="end"/>
          </w:r>
          <w:r>
            <w:rPr>
              <w:rFonts w:hint="eastAsia" w:ascii="Songti SC" w:hAnsi="Songti SC" w:eastAsia="Songti SC" w:cs="Songti SC"/>
              <w:color w:val="000000"/>
              <w:szCs w:val="36"/>
            </w:rPr>
            <w:fldChar w:fldCharType="end"/>
          </w:r>
        </w:p>
        <w:p w14:paraId="5BB3EE2E">
          <w:pPr>
            <w:pStyle w:val="29"/>
            <w:tabs>
              <w:tab w:val="right" w:leader="dot" w:pos="8121"/>
            </w:tabs>
          </w:pPr>
          <w:r>
            <w:rPr>
              <w:rFonts w:hint="eastAsia" w:ascii="Songti SC" w:hAnsi="Songti SC" w:eastAsia="Songti SC" w:cs="Songti SC"/>
              <w:color w:val="000000"/>
              <w:szCs w:val="36"/>
            </w:rPr>
            <w:fldChar w:fldCharType="begin"/>
          </w:r>
          <w:r>
            <w:rPr>
              <w:rFonts w:hint="eastAsia" w:ascii="Songti SC" w:hAnsi="Songti SC" w:eastAsia="Songti SC" w:cs="Songti SC"/>
              <w:szCs w:val="36"/>
            </w:rPr>
            <w:instrText xml:space="preserve"> HYPERLINK \l _Toc1598433870 </w:instrText>
          </w:r>
          <w:r>
            <w:rPr>
              <w:rFonts w:hint="eastAsia" w:ascii="Songti SC" w:hAnsi="Songti SC" w:eastAsia="Songti SC" w:cs="Songti SC"/>
              <w:szCs w:val="36"/>
            </w:rPr>
            <w:fldChar w:fldCharType="separate"/>
          </w:r>
          <w:r>
            <w:rPr>
              <w:rFonts w:hint="eastAsia"/>
            </w:rPr>
            <w:t xml:space="preserve">3.1.2 </w:t>
          </w:r>
          <w:r>
            <w:rPr>
              <w:rFonts w:hint="eastAsia" w:ascii="Songti SC" w:hAnsi="Songti SC" w:eastAsia="Songti SC" w:cs="Songti SC"/>
            </w:rPr>
            <w:t>立项依据</w:t>
          </w:r>
          <w:r>
            <w:tab/>
          </w:r>
          <w:r>
            <w:fldChar w:fldCharType="begin"/>
          </w:r>
          <w:r>
            <w:instrText xml:space="preserve"> PAGEREF _Toc1598433870 \h </w:instrText>
          </w:r>
          <w:r>
            <w:fldChar w:fldCharType="separate"/>
          </w:r>
          <w:r>
            <w:t>12</w:t>
          </w:r>
          <w:r>
            <w:fldChar w:fldCharType="end"/>
          </w:r>
          <w:r>
            <w:rPr>
              <w:rFonts w:hint="eastAsia" w:ascii="Songti SC" w:hAnsi="Songti SC" w:eastAsia="Songti SC" w:cs="Songti SC"/>
              <w:color w:val="000000"/>
              <w:szCs w:val="36"/>
            </w:rPr>
            <w:fldChar w:fldCharType="end"/>
          </w:r>
        </w:p>
        <w:p w14:paraId="1268A9DF">
          <w:pPr>
            <w:pStyle w:val="50"/>
            <w:tabs>
              <w:tab w:val="right" w:leader="dot" w:pos="8121"/>
            </w:tabs>
          </w:pPr>
          <w:r>
            <w:rPr>
              <w:rFonts w:hint="eastAsia" w:ascii="Songti SC" w:hAnsi="Songti SC" w:eastAsia="Songti SC" w:cs="Songti SC"/>
              <w:color w:val="000000"/>
              <w:szCs w:val="36"/>
            </w:rPr>
            <w:fldChar w:fldCharType="begin"/>
          </w:r>
          <w:r>
            <w:rPr>
              <w:rFonts w:hint="eastAsia" w:ascii="Songti SC" w:hAnsi="Songti SC" w:eastAsia="Songti SC" w:cs="Songti SC"/>
              <w:szCs w:val="36"/>
            </w:rPr>
            <w:instrText xml:space="preserve"> HYPERLINK \l _Toc2005112767 </w:instrText>
          </w:r>
          <w:r>
            <w:rPr>
              <w:rFonts w:hint="eastAsia" w:ascii="Songti SC" w:hAnsi="Songti SC" w:eastAsia="Songti SC" w:cs="Songti SC"/>
              <w:szCs w:val="36"/>
            </w:rPr>
            <w:fldChar w:fldCharType="separate"/>
          </w:r>
          <w:r>
            <w:rPr>
              <w:rFonts w:hint="eastAsia"/>
              <w:lang w:eastAsia="zh-CN"/>
            </w:rPr>
            <w:t xml:space="preserve">3.2 </w:t>
          </w:r>
          <w:r>
            <w:rPr>
              <w:rFonts w:hint="eastAsia" w:ascii="Songti SC" w:hAnsi="Songti SC" w:eastAsia="Songti SC" w:cs="Songti SC"/>
            </w:rPr>
            <w:t>信息化现状及差距</w:t>
          </w:r>
          <w:r>
            <w:tab/>
          </w:r>
          <w:r>
            <w:fldChar w:fldCharType="begin"/>
          </w:r>
          <w:r>
            <w:instrText xml:space="preserve"> PAGEREF _Toc2005112767 \h </w:instrText>
          </w:r>
          <w:r>
            <w:fldChar w:fldCharType="separate"/>
          </w:r>
          <w:r>
            <w:t>13</w:t>
          </w:r>
          <w:r>
            <w:fldChar w:fldCharType="end"/>
          </w:r>
          <w:r>
            <w:rPr>
              <w:rFonts w:hint="eastAsia" w:ascii="Songti SC" w:hAnsi="Songti SC" w:eastAsia="Songti SC" w:cs="Songti SC"/>
              <w:color w:val="000000"/>
              <w:szCs w:val="36"/>
            </w:rPr>
            <w:fldChar w:fldCharType="end"/>
          </w:r>
        </w:p>
        <w:p w14:paraId="4C38766D">
          <w:pPr>
            <w:pStyle w:val="29"/>
            <w:tabs>
              <w:tab w:val="right" w:leader="dot" w:pos="8121"/>
            </w:tabs>
          </w:pPr>
          <w:r>
            <w:rPr>
              <w:rFonts w:hint="eastAsia" w:ascii="Songti SC" w:hAnsi="Songti SC" w:eastAsia="Songti SC" w:cs="Songti SC"/>
              <w:color w:val="000000"/>
              <w:szCs w:val="36"/>
            </w:rPr>
            <w:fldChar w:fldCharType="begin"/>
          </w:r>
          <w:r>
            <w:rPr>
              <w:rFonts w:hint="eastAsia" w:ascii="Songti SC" w:hAnsi="Songti SC" w:eastAsia="Songti SC" w:cs="Songti SC"/>
              <w:szCs w:val="36"/>
            </w:rPr>
            <w:instrText xml:space="preserve"> HYPERLINK \l _Toc1616886245 </w:instrText>
          </w:r>
          <w:r>
            <w:rPr>
              <w:rFonts w:hint="eastAsia" w:ascii="Songti SC" w:hAnsi="Songti SC" w:eastAsia="Songti SC" w:cs="Songti SC"/>
              <w:szCs w:val="36"/>
            </w:rPr>
            <w:fldChar w:fldCharType="separate"/>
          </w:r>
          <w:r>
            <w:rPr>
              <w:rFonts w:hint="eastAsia"/>
            </w:rPr>
            <w:t xml:space="preserve">3.2.1 </w:t>
          </w:r>
          <w:r>
            <w:rPr>
              <w:rFonts w:hint="eastAsia" w:ascii="Songti SC" w:hAnsi="Songti SC" w:eastAsia="Songti SC" w:cs="Songti SC"/>
            </w:rPr>
            <w:t>系统现状汇总</w:t>
          </w:r>
          <w:r>
            <w:tab/>
          </w:r>
          <w:r>
            <w:fldChar w:fldCharType="begin"/>
          </w:r>
          <w:r>
            <w:instrText xml:space="preserve"> PAGEREF _Toc1616886245 \h </w:instrText>
          </w:r>
          <w:r>
            <w:fldChar w:fldCharType="separate"/>
          </w:r>
          <w:r>
            <w:t>13</w:t>
          </w:r>
          <w:r>
            <w:fldChar w:fldCharType="end"/>
          </w:r>
          <w:r>
            <w:rPr>
              <w:rFonts w:hint="eastAsia" w:ascii="Songti SC" w:hAnsi="Songti SC" w:eastAsia="Songti SC" w:cs="Songti SC"/>
              <w:color w:val="000000"/>
              <w:szCs w:val="36"/>
            </w:rPr>
            <w:fldChar w:fldCharType="end"/>
          </w:r>
        </w:p>
        <w:p w14:paraId="77D8A8AF">
          <w:pPr>
            <w:pStyle w:val="29"/>
            <w:tabs>
              <w:tab w:val="right" w:leader="dot" w:pos="8121"/>
            </w:tabs>
          </w:pPr>
          <w:r>
            <w:rPr>
              <w:rFonts w:hint="eastAsia" w:ascii="Songti SC" w:hAnsi="Songti SC" w:eastAsia="Songti SC" w:cs="Songti SC"/>
              <w:color w:val="000000"/>
              <w:szCs w:val="36"/>
            </w:rPr>
            <w:fldChar w:fldCharType="begin"/>
          </w:r>
          <w:r>
            <w:rPr>
              <w:rFonts w:hint="eastAsia" w:ascii="Songti SC" w:hAnsi="Songti SC" w:eastAsia="Songti SC" w:cs="Songti SC"/>
              <w:szCs w:val="36"/>
            </w:rPr>
            <w:instrText xml:space="preserve"> HYPERLINK \l _Toc749050577 </w:instrText>
          </w:r>
          <w:r>
            <w:rPr>
              <w:rFonts w:hint="eastAsia" w:ascii="Songti SC" w:hAnsi="Songti SC" w:eastAsia="Songti SC" w:cs="Songti SC"/>
              <w:szCs w:val="36"/>
            </w:rPr>
            <w:fldChar w:fldCharType="separate"/>
          </w:r>
          <w:r>
            <w:rPr>
              <w:rFonts w:hint="eastAsia"/>
            </w:rPr>
            <w:t xml:space="preserve">3.2.2 </w:t>
          </w:r>
          <w:r>
            <w:rPr>
              <w:rFonts w:hint="eastAsia" w:ascii="Songti SC" w:hAnsi="Songti SC" w:eastAsia="Songti SC" w:cs="Songti SC"/>
            </w:rPr>
            <w:t>系统基础软硬件现状</w:t>
          </w:r>
          <w:r>
            <w:tab/>
          </w:r>
          <w:r>
            <w:fldChar w:fldCharType="begin"/>
          </w:r>
          <w:r>
            <w:instrText xml:space="preserve"> PAGEREF _Toc749050577 \h </w:instrText>
          </w:r>
          <w:r>
            <w:fldChar w:fldCharType="separate"/>
          </w:r>
          <w:r>
            <w:t>18</w:t>
          </w:r>
          <w:r>
            <w:fldChar w:fldCharType="end"/>
          </w:r>
          <w:r>
            <w:rPr>
              <w:rFonts w:hint="eastAsia" w:ascii="Songti SC" w:hAnsi="Songti SC" w:eastAsia="Songti SC" w:cs="Songti SC"/>
              <w:color w:val="000000"/>
              <w:szCs w:val="36"/>
            </w:rPr>
            <w:fldChar w:fldCharType="end"/>
          </w:r>
        </w:p>
        <w:p w14:paraId="7814CB9D">
          <w:pPr>
            <w:pStyle w:val="29"/>
            <w:tabs>
              <w:tab w:val="right" w:leader="dot" w:pos="8121"/>
            </w:tabs>
          </w:pPr>
          <w:r>
            <w:rPr>
              <w:rFonts w:hint="eastAsia" w:ascii="Songti SC" w:hAnsi="Songti SC" w:eastAsia="Songti SC" w:cs="Songti SC"/>
              <w:color w:val="000000"/>
              <w:szCs w:val="36"/>
            </w:rPr>
            <w:fldChar w:fldCharType="begin"/>
          </w:r>
          <w:r>
            <w:rPr>
              <w:rFonts w:hint="eastAsia" w:ascii="Songti SC" w:hAnsi="Songti SC" w:eastAsia="Songti SC" w:cs="Songti SC"/>
              <w:szCs w:val="36"/>
            </w:rPr>
            <w:instrText xml:space="preserve"> HYPERLINK \l _Toc743908925 </w:instrText>
          </w:r>
          <w:r>
            <w:rPr>
              <w:rFonts w:hint="eastAsia" w:ascii="Songti SC" w:hAnsi="Songti SC" w:eastAsia="Songti SC" w:cs="Songti SC"/>
              <w:szCs w:val="36"/>
            </w:rPr>
            <w:fldChar w:fldCharType="separate"/>
          </w:r>
          <w:r>
            <w:rPr>
              <w:rFonts w:hint="eastAsia"/>
            </w:rPr>
            <w:t>3.2.3 系统网络架构现状</w:t>
          </w:r>
          <w:r>
            <w:tab/>
          </w:r>
          <w:r>
            <w:fldChar w:fldCharType="begin"/>
          </w:r>
          <w:r>
            <w:instrText xml:space="preserve"> PAGEREF _Toc743908925 \h </w:instrText>
          </w:r>
          <w:r>
            <w:fldChar w:fldCharType="separate"/>
          </w:r>
          <w:r>
            <w:t>21</w:t>
          </w:r>
          <w:r>
            <w:fldChar w:fldCharType="end"/>
          </w:r>
          <w:r>
            <w:rPr>
              <w:rFonts w:hint="eastAsia" w:ascii="Songti SC" w:hAnsi="Songti SC" w:eastAsia="Songti SC" w:cs="Songti SC"/>
              <w:color w:val="000000"/>
              <w:szCs w:val="36"/>
            </w:rPr>
            <w:fldChar w:fldCharType="end"/>
          </w:r>
        </w:p>
        <w:p w14:paraId="0269B260">
          <w:pPr>
            <w:pStyle w:val="50"/>
            <w:tabs>
              <w:tab w:val="right" w:leader="dot" w:pos="8121"/>
            </w:tabs>
          </w:pPr>
          <w:r>
            <w:rPr>
              <w:rFonts w:hint="eastAsia" w:ascii="Songti SC" w:hAnsi="Songti SC" w:eastAsia="Songti SC" w:cs="Songti SC"/>
              <w:color w:val="000000"/>
              <w:szCs w:val="36"/>
            </w:rPr>
            <w:fldChar w:fldCharType="begin"/>
          </w:r>
          <w:r>
            <w:rPr>
              <w:rFonts w:hint="eastAsia" w:ascii="Songti SC" w:hAnsi="Songti SC" w:eastAsia="Songti SC" w:cs="Songti SC"/>
              <w:szCs w:val="36"/>
            </w:rPr>
            <w:instrText xml:space="preserve"> HYPERLINK \l _Toc227509641 </w:instrText>
          </w:r>
          <w:r>
            <w:rPr>
              <w:rFonts w:hint="eastAsia" w:ascii="Songti SC" w:hAnsi="Songti SC" w:eastAsia="Songti SC" w:cs="Songti SC"/>
              <w:szCs w:val="36"/>
            </w:rPr>
            <w:fldChar w:fldCharType="separate"/>
          </w:r>
          <w:r>
            <w:rPr>
              <w:rFonts w:hint="eastAsia"/>
            </w:rPr>
            <w:t>3.3 项目建设的必要性</w:t>
          </w:r>
          <w:r>
            <w:tab/>
          </w:r>
          <w:r>
            <w:fldChar w:fldCharType="begin"/>
          </w:r>
          <w:r>
            <w:instrText xml:space="preserve"> PAGEREF _Toc227509641 \h </w:instrText>
          </w:r>
          <w:r>
            <w:fldChar w:fldCharType="separate"/>
          </w:r>
          <w:r>
            <w:t>21</w:t>
          </w:r>
          <w:r>
            <w:fldChar w:fldCharType="end"/>
          </w:r>
          <w:r>
            <w:rPr>
              <w:rFonts w:hint="eastAsia" w:ascii="Songti SC" w:hAnsi="Songti SC" w:eastAsia="Songti SC" w:cs="Songti SC"/>
              <w:color w:val="000000"/>
              <w:szCs w:val="36"/>
            </w:rPr>
            <w:fldChar w:fldCharType="end"/>
          </w:r>
        </w:p>
        <w:p w14:paraId="5FDC468E">
          <w:pPr>
            <w:pStyle w:val="29"/>
            <w:tabs>
              <w:tab w:val="right" w:leader="dot" w:pos="8121"/>
            </w:tabs>
          </w:pPr>
          <w:r>
            <w:rPr>
              <w:rFonts w:hint="eastAsia" w:ascii="Songti SC" w:hAnsi="Songti SC" w:eastAsia="Songti SC" w:cs="Songti SC"/>
              <w:color w:val="000000"/>
              <w:szCs w:val="36"/>
            </w:rPr>
            <w:fldChar w:fldCharType="begin"/>
          </w:r>
          <w:r>
            <w:rPr>
              <w:rFonts w:hint="eastAsia" w:ascii="Songti SC" w:hAnsi="Songti SC" w:eastAsia="Songti SC" w:cs="Songti SC"/>
              <w:szCs w:val="36"/>
            </w:rPr>
            <w:instrText xml:space="preserve"> HYPERLINK \l _Toc1233644627 </w:instrText>
          </w:r>
          <w:r>
            <w:rPr>
              <w:rFonts w:hint="eastAsia" w:ascii="Songti SC" w:hAnsi="Songti SC" w:eastAsia="Songti SC" w:cs="Songti SC"/>
              <w:szCs w:val="36"/>
            </w:rPr>
            <w:fldChar w:fldCharType="separate"/>
          </w:r>
          <w:r>
            <w:rPr>
              <w:rFonts w:hint="eastAsia"/>
            </w:rPr>
            <w:t>3.3.1 满足国家政策要求</w:t>
          </w:r>
          <w:r>
            <w:tab/>
          </w:r>
          <w:r>
            <w:fldChar w:fldCharType="begin"/>
          </w:r>
          <w:r>
            <w:instrText xml:space="preserve"> PAGEREF _Toc1233644627 \h </w:instrText>
          </w:r>
          <w:r>
            <w:fldChar w:fldCharType="separate"/>
          </w:r>
          <w:r>
            <w:t>21</w:t>
          </w:r>
          <w:r>
            <w:fldChar w:fldCharType="end"/>
          </w:r>
          <w:r>
            <w:rPr>
              <w:rFonts w:hint="eastAsia" w:ascii="Songti SC" w:hAnsi="Songti SC" w:eastAsia="Songti SC" w:cs="Songti SC"/>
              <w:color w:val="000000"/>
              <w:szCs w:val="36"/>
            </w:rPr>
            <w:fldChar w:fldCharType="end"/>
          </w:r>
        </w:p>
        <w:p w14:paraId="47087AF3">
          <w:pPr>
            <w:pStyle w:val="29"/>
            <w:tabs>
              <w:tab w:val="right" w:leader="dot" w:pos="8121"/>
            </w:tabs>
          </w:pPr>
          <w:r>
            <w:rPr>
              <w:rFonts w:hint="eastAsia" w:ascii="Songti SC" w:hAnsi="Songti SC" w:eastAsia="Songti SC" w:cs="Songti SC"/>
              <w:color w:val="000000"/>
              <w:szCs w:val="36"/>
            </w:rPr>
            <w:fldChar w:fldCharType="begin"/>
          </w:r>
          <w:r>
            <w:rPr>
              <w:rFonts w:hint="eastAsia" w:ascii="Songti SC" w:hAnsi="Songti SC" w:eastAsia="Songti SC" w:cs="Songti SC"/>
              <w:szCs w:val="36"/>
            </w:rPr>
            <w:instrText xml:space="preserve"> HYPERLINK \l _Toc2058117851 </w:instrText>
          </w:r>
          <w:r>
            <w:rPr>
              <w:rFonts w:hint="eastAsia" w:ascii="Songti SC" w:hAnsi="Songti SC" w:eastAsia="Songti SC" w:cs="Songti SC"/>
              <w:szCs w:val="36"/>
            </w:rPr>
            <w:fldChar w:fldCharType="separate"/>
          </w:r>
          <w:r>
            <w:rPr>
              <w:rFonts w:hint="eastAsia"/>
            </w:rPr>
            <w:t>3.3.2 提升系统安全性</w:t>
          </w:r>
          <w:r>
            <w:tab/>
          </w:r>
          <w:r>
            <w:fldChar w:fldCharType="begin"/>
          </w:r>
          <w:r>
            <w:instrText xml:space="preserve"> PAGEREF _Toc2058117851 \h </w:instrText>
          </w:r>
          <w:r>
            <w:fldChar w:fldCharType="separate"/>
          </w:r>
          <w:r>
            <w:t>21</w:t>
          </w:r>
          <w:r>
            <w:fldChar w:fldCharType="end"/>
          </w:r>
          <w:r>
            <w:rPr>
              <w:rFonts w:hint="eastAsia" w:ascii="Songti SC" w:hAnsi="Songti SC" w:eastAsia="Songti SC" w:cs="Songti SC"/>
              <w:color w:val="000000"/>
              <w:szCs w:val="36"/>
            </w:rPr>
            <w:fldChar w:fldCharType="end"/>
          </w:r>
        </w:p>
        <w:p w14:paraId="28769121">
          <w:pPr>
            <w:pStyle w:val="29"/>
            <w:tabs>
              <w:tab w:val="right" w:leader="dot" w:pos="8121"/>
            </w:tabs>
          </w:pPr>
          <w:r>
            <w:rPr>
              <w:rFonts w:hint="eastAsia" w:ascii="Songti SC" w:hAnsi="Songti SC" w:eastAsia="Songti SC" w:cs="Songti SC"/>
              <w:color w:val="000000"/>
              <w:szCs w:val="36"/>
            </w:rPr>
            <w:fldChar w:fldCharType="begin"/>
          </w:r>
          <w:r>
            <w:rPr>
              <w:rFonts w:hint="eastAsia" w:ascii="Songti SC" w:hAnsi="Songti SC" w:eastAsia="Songti SC" w:cs="Songti SC"/>
              <w:szCs w:val="36"/>
            </w:rPr>
            <w:instrText xml:space="preserve"> HYPERLINK \l _Toc1267619528 </w:instrText>
          </w:r>
          <w:r>
            <w:rPr>
              <w:rFonts w:hint="eastAsia" w:ascii="Songti SC" w:hAnsi="Songti SC" w:eastAsia="Songti SC" w:cs="Songti SC"/>
              <w:szCs w:val="36"/>
            </w:rPr>
            <w:fldChar w:fldCharType="separate"/>
          </w:r>
          <w:r>
            <w:rPr>
              <w:rFonts w:hint="eastAsia"/>
            </w:rPr>
            <w:t xml:space="preserve">3.3.3 </w:t>
          </w:r>
          <w:r>
            <w:rPr>
              <w:rFonts w:hint="eastAsia" w:ascii="Songti SC" w:hAnsi="Songti SC" w:eastAsia="Songti SC" w:cs="Songti SC"/>
            </w:rPr>
            <w:t>适应技术发展趋势</w:t>
          </w:r>
          <w:r>
            <w:tab/>
          </w:r>
          <w:r>
            <w:fldChar w:fldCharType="begin"/>
          </w:r>
          <w:r>
            <w:instrText xml:space="preserve"> PAGEREF _Toc1267619528 \h </w:instrText>
          </w:r>
          <w:r>
            <w:fldChar w:fldCharType="separate"/>
          </w:r>
          <w:r>
            <w:t>22</w:t>
          </w:r>
          <w:r>
            <w:fldChar w:fldCharType="end"/>
          </w:r>
          <w:r>
            <w:rPr>
              <w:rFonts w:hint="eastAsia" w:ascii="Songti SC" w:hAnsi="Songti SC" w:eastAsia="Songti SC" w:cs="Songti SC"/>
              <w:color w:val="000000"/>
              <w:szCs w:val="36"/>
            </w:rPr>
            <w:fldChar w:fldCharType="end"/>
          </w:r>
        </w:p>
        <w:p w14:paraId="5090A46E">
          <w:pPr>
            <w:pStyle w:val="50"/>
            <w:tabs>
              <w:tab w:val="right" w:leader="dot" w:pos="8121"/>
            </w:tabs>
          </w:pPr>
          <w:r>
            <w:rPr>
              <w:rFonts w:hint="eastAsia" w:ascii="Songti SC" w:hAnsi="Songti SC" w:eastAsia="Songti SC" w:cs="Songti SC"/>
              <w:color w:val="000000"/>
              <w:szCs w:val="36"/>
            </w:rPr>
            <w:fldChar w:fldCharType="begin"/>
          </w:r>
          <w:r>
            <w:rPr>
              <w:rFonts w:hint="eastAsia" w:ascii="Songti SC" w:hAnsi="Songti SC" w:eastAsia="Songti SC" w:cs="Songti SC"/>
              <w:szCs w:val="36"/>
            </w:rPr>
            <w:instrText xml:space="preserve"> HYPERLINK \l _Toc1843628856 </w:instrText>
          </w:r>
          <w:r>
            <w:rPr>
              <w:rFonts w:hint="eastAsia" w:ascii="Songti SC" w:hAnsi="Songti SC" w:eastAsia="Songti SC" w:cs="Songti SC"/>
              <w:szCs w:val="36"/>
            </w:rPr>
            <w:fldChar w:fldCharType="separate"/>
          </w:r>
          <w:r>
            <w:rPr>
              <w:rFonts w:hint="eastAsia"/>
            </w:rPr>
            <w:t xml:space="preserve">3.4 </w:t>
          </w:r>
          <w:r>
            <w:rPr>
              <w:rFonts w:ascii="Songti SC" w:hAnsi="Songti SC" w:eastAsia="Songti SC" w:cs="Songti SC"/>
            </w:rPr>
            <w:t>项目建设的可行性</w:t>
          </w:r>
          <w:r>
            <w:tab/>
          </w:r>
          <w:r>
            <w:fldChar w:fldCharType="begin"/>
          </w:r>
          <w:r>
            <w:instrText xml:space="preserve"> PAGEREF _Toc1843628856 \h </w:instrText>
          </w:r>
          <w:r>
            <w:fldChar w:fldCharType="separate"/>
          </w:r>
          <w:r>
            <w:t>22</w:t>
          </w:r>
          <w:r>
            <w:fldChar w:fldCharType="end"/>
          </w:r>
          <w:r>
            <w:rPr>
              <w:rFonts w:hint="eastAsia" w:ascii="Songti SC" w:hAnsi="Songti SC" w:eastAsia="Songti SC" w:cs="Songti SC"/>
              <w:color w:val="000000"/>
              <w:szCs w:val="36"/>
            </w:rPr>
            <w:fldChar w:fldCharType="end"/>
          </w:r>
        </w:p>
        <w:p w14:paraId="280FD8DD">
          <w:pPr>
            <w:pStyle w:val="29"/>
            <w:tabs>
              <w:tab w:val="right" w:leader="dot" w:pos="8121"/>
            </w:tabs>
          </w:pPr>
          <w:r>
            <w:rPr>
              <w:rFonts w:hint="eastAsia" w:ascii="Songti SC" w:hAnsi="Songti SC" w:eastAsia="Songti SC" w:cs="Songti SC"/>
              <w:color w:val="000000"/>
              <w:szCs w:val="36"/>
            </w:rPr>
            <w:fldChar w:fldCharType="begin"/>
          </w:r>
          <w:r>
            <w:rPr>
              <w:rFonts w:hint="eastAsia" w:ascii="Songti SC" w:hAnsi="Songti SC" w:eastAsia="Songti SC" w:cs="Songti SC"/>
              <w:szCs w:val="36"/>
            </w:rPr>
            <w:instrText xml:space="preserve"> HYPERLINK \l _Toc1976123876 </w:instrText>
          </w:r>
          <w:r>
            <w:rPr>
              <w:rFonts w:hint="eastAsia" w:ascii="Songti SC" w:hAnsi="Songti SC" w:eastAsia="Songti SC" w:cs="Songti SC"/>
              <w:szCs w:val="36"/>
            </w:rPr>
            <w:fldChar w:fldCharType="separate"/>
          </w:r>
          <w:r>
            <w:rPr>
              <w:rFonts w:hint="eastAsia"/>
            </w:rPr>
            <w:t xml:space="preserve">3.4.1 </w:t>
          </w:r>
          <w:r>
            <w:rPr>
              <w:rFonts w:hint="eastAsia" w:ascii="Songti SC" w:hAnsi="Songti SC" w:eastAsia="Songti SC" w:cs="Songti SC"/>
            </w:rPr>
            <w:t>政策保障</w:t>
          </w:r>
          <w:r>
            <w:tab/>
          </w:r>
          <w:r>
            <w:fldChar w:fldCharType="begin"/>
          </w:r>
          <w:r>
            <w:instrText xml:space="preserve"> PAGEREF _Toc1976123876 \h </w:instrText>
          </w:r>
          <w:r>
            <w:fldChar w:fldCharType="separate"/>
          </w:r>
          <w:r>
            <w:t>22</w:t>
          </w:r>
          <w:r>
            <w:fldChar w:fldCharType="end"/>
          </w:r>
          <w:r>
            <w:rPr>
              <w:rFonts w:hint="eastAsia" w:ascii="Songti SC" w:hAnsi="Songti SC" w:eastAsia="Songti SC" w:cs="Songti SC"/>
              <w:color w:val="000000"/>
              <w:szCs w:val="36"/>
            </w:rPr>
            <w:fldChar w:fldCharType="end"/>
          </w:r>
        </w:p>
        <w:p w14:paraId="35EC04FF">
          <w:pPr>
            <w:pStyle w:val="29"/>
            <w:tabs>
              <w:tab w:val="right" w:leader="dot" w:pos="8121"/>
            </w:tabs>
          </w:pPr>
          <w:r>
            <w:rPr>
              <w:rFonts w:hint="eastAsia" w:ascii="Songti SC" w:hAnsi="Songti SC" w:eastAsia="Songti SC" w:cs="Songti SC"/>
              <w:color w:val="000000"/>
              <w:szCs w:val="36"/>
            </w:rPr>
            <w:fldChar w:fldCharType="begin"/>
          </w:r>
          <w:r>
            <w:rPr>
              <w:rFonts w:hint="eastAsia" w:ascii="Songti SC" w:hAnsi="Songti SC" w:eastAsia="Songti SC" w:cs="Songti SC"/>
              <w:szCs w:val="36"/>
            </w:rPr>
            <w:instrText xml:space="preserve"> HYPERLINK \l _Toc1879383077 </w:instrText>
          </w:r>
          <w:r>
            <w:rPr>
              <w:rFonts w:hint="eastAsia" w:ascii="Songti SC" w:hAnsi="Songti SC" w:eastAsia="Songti SC" w:cs="Songti SC"/>
              <w:szCs w:val="36"/>
            </w:rPr>
            <w:fldChar w:fldCharType="separate"/>
          </w:r>
          <w:r>
            <w:rPr>
              <w:rFonts w:hint="eastAsia"/>
              <w:lang w:eastAsia="zh-CN"/>
            </w:rPr>
            <w:t xml:space="preserve">3.4.2 </w:t>
          </w:r>
          <w:r>
            <w:rPr>
              <w:rFonts w:hint="eastAsia" w:ascii="Songti SC" w:hAnsi="Songti SC" w:eastAsia="Songti SC" w:cs="Songti SC"/>
            </w:rPr>
            <w:t>组织和人员保障</w:t>
          </w:r>
          <w:r>
            <w:tab/>
          </w:r>
          <w:r>
            <w:fldChar w:fldCharType="begin"/>
          </w:r>
          <w:r>
            <w:instrText xml:space="preserve"> PAGEREF _Toc1879383077 \h </w:instrText>
          </w:r>
          <w:r>
            <w:fldChar w:fldCharType="separate"/>
          </w:r>
          <w:r>
            <w:t>22</w:t>
          </w:r>
          <w:r>
            <w:fldChar w:fldCharType="end"/>
          </w:r>
          <w:r>
            <w:rPr>
              <w:rFonts w:hint="eastAsia" w:ascii="Songti SC" w:hAnsi="Songti SC" w:eastAsia="Songti SC" w:cs="Songti SC"/>
              <w:color w:val="000000"/>
              <w:szCs w:val="36"/>
            </w:rPr>
            <w:fldChar w:fldCharType="end"/>
          </w:r>
        </w:p>
        <w:p w14:paraId="55C42279">
          <w:pPr>
            <w:pStyle w:val="29"/>
            <w:tabs>
              <w:tab w:val="right" w:leader="dot" w:pos="8121"/>
            </w:tabs>
          </w:pPr>
          <w:r>
            <w:rPr>
              <w:rFonts w:hint="eastAsia" w:ascii="Songti SC" w:hAnsi="Songti SC" w:eastAsia="Songti SC" w:cs="Songti SC"/>
              <w:color w:val="000000"/>
              <w:szCs w:val="36"/>
            </w:rPr>
            <w:fldChar w:fldCharType="begin"/>
          </w:r>
          <w:r>
            <w:rPr>
              <w:rFonts w:hint="eastAsia" w:ascii="Songti SC" w:hAnsi="Songti SC" w:eastAsia="Songti SC" w:cs="Songti SC"/>
              <w:szCs w:val="36"/>
            </w:rPr>
            <w:instrText xml:space="preserve"> HYPERLINK \l _Toc1601895063 </w:instrText>
          </w:r>
          <w:r>
            <w:rPr>
              <w:rFonts w:hint="eastAsia" w:ascii="Songti SC" w:hAnsi="Songti SC" w:eastAsia="Songti SC" w:cs="Songti SC"/>
              <w:szCs w:val="36"/>
            </w:rPr>
            <w:fldChar w:fldCharType="separate"/>
          </w:r>
          <w:r>
            <w:rPr>
              <w:rFonts w:hint="eastAsia"/>
              <w:lang w:eastAsia="zh-CN"/>
            </w:rPr>
            <w:t xml:space="preserve">3.4.3 </w:t>
          </w:r>
          <w:r>
            <w:rPr>
              <w:rFonts w:hint="eastAsia" w:ascii="Songti SC" w:hAnsi="Songti SC" w:eastAsia="Songti SC" w:cs="Songti SC"/>
            </w:rPr>
            <w:t>技术保障</w:t>
          </w:r>
          <w:r>
            <w:tab/>
          </w:r>
          <w:r>
            <w:fldChar w:fldCharType="begin"/>
          </w:r>
          <w:r>
            <w:instrText xml:space="preserve"> PAGEREF _Toc1601895063 \h </w:instrText>
          </w:r>
          <w:r>
            <w:fldChar w:fldCharType="separate"/>
          </w:r>
          <w:r>
            <w:t>22</w:t>
          </w:r>
          <w:r>
            <w:fldChar w:fldCharType="end"/>
          </w:r>
          <w:r>
            <w:rPr>
              <w:rFonts w:hint="eastAsia" w:ascii="Songti SC" w:hAnsi="Songti SC" w:eastAsia="Songti SC" w:cs="Songti SC"/>
              <w:color w:val="000000"/>
              <w:szCs w:val="36"/>
            </w:rPr>
            <w:fldChar w:fldCharType="end"/>
          </w:r>
        </w:p>
        <w:p w14:paraId="1FA68DCB">
          <w:pPr>
            <w:pStyle w:val="50"/>
            <w:tabs>
              <w:tab w:val="right" w:leader="dot" w:pos="8121"/>
            </w:tabs>
          </w:pPr>
          <w:r>
            <w:rPr>
              <w:rFonts w:hint="eastAsia" w:ascii="Songti SC" w:hAnsi="Songti SC" w:eastAsia="Songti SC" w:cs="Songti SC"/>
              <w:color w:val="000000"/>
              <w:szCs w:val="36"/>
            </w:rPr>
            <w:fldChar w:fldCharType="begin"/>
          </w:r>
          <w:r>
            <w:rPr>
              <w:rFonts w:hint="eastAsia" w:ascii="Songti SC" w:hAnsi="Songti SC" w:eastAsia="Songti SC" w:cs="Songti SC"/>
              <w:szCs w:val="36"/>
            </w:rPr>
            <w:instrText xml:space="preserve"> HYPERLINK \l _Toc47841402 </w:instrText>
          </w:r>
          <w:r>
            <w:rPr>
              <w:rFonts w:hint="eastAsia" w:ascii="Songti SC" w:hAnsi="Songti SC" w:eastAsia="Songti SC" w:cs="Songti SC"/>
              <w:szCs w:val="36"/>
            </w:rPr>
            <w:fldChar w:fldCharType="separate"/>
          </w:r>
          <w:r>
            <w:rPr>
              <w:rFonts w:hint="eastAsia"/>
              <w:lang w:eastAsia="zh-CN"/>
            </w:rPr>
            <w:t xml:space="preserve">3.5 </w:t>
          </w:r>
          <w:r>
            <w:rPr>
              <w:rFonts w:ascii="Songti SC" w:hAnsi="Songti SC" w:eastAsia="Songti SC" w:cs="Songti SC"/>
            </w:rPr>
            <w:t>项目预期绩效</w:t>
          </w:r>
          <w:r>
            <w:tab/>
          </w:r>
          <w:r>
            <w:fldChar w:fldCharType="begin"/>
          </w:r>
          <w:r>
            <w:instrText xml:space="preserve"> PAGEREF _Toc47841402 \h </w:instrText>
          </w:r>
          <w:r>
            <w:fldChar w:fldCharType="separate"/>
          </w:r>
          <w:r>
            <w:t>23</w:t>
          </w:r>
          <w:r>
            <w:fldChar w:fldCharType="end"/>
          </w:r>
          <w:r>
            <w:rPr>
              <w:rFonts w:hint="eastAsia" w:ascii="Songti SC" w:hAnsi="Songti SC" w:eastAsia="Songti SC" w:cs="Songti SC"/>
              <w:color w:val="000000"/>
              <w:szCs w:val="36"/>
            </w:rPr>
            <w:fldChar w:fldCharType="end"/>
          </w:r>
        </w:p>
        <w:p w14:paraId="084853C7">
          <w:pPr>
            <w:pStyle w:val="29"/>
            <w:tabs>
              <w:tab w:val="right" w:leader="dot" w:pos="8121"/>
            </w:tabs>
          </w:pPr>
          <w:r>
            <w:rPr>
              <w:rFonts w:hint="eastAsia" w:ascii="Songti SC" w:hAnsi="Songti SC" w:eastAsia="Songti SC" w:cs="Songti SC"/>
              <w:color w:val="000000"/>
              <w:szCs w:val="36"/>
            </w:rPr>
            <w:fldChar w:fldCharType="begin"/>
          </w:r>
          <w:r>
            <w:rPr>
              <w:rFonts w:hint="eastAsia" w:ascii="Songti SC" w:hAnsi="Songti SC" w:eastAsia="Songti SC" w:cs="Songti SC"/>
              <w:szCs w:val="36"/>
            </w:rPr>
            <w:instrText xml:space="preserve"> HYPERLINK \l _Toc911559436 </w:instrText>
          </w:r>
          <w:r>
            <w:rPr>
              <w:rFonts w:hint="eastAsia" w:ascii="Songti SC" w:hAnsi="Songti SC" w:eastAsia="Songti SC" w:cs="Songti SC"/>
              <w:szCs w:val="36"/>
            </w:rPr>
            <w:fldChar w:fldCharType="separate"/>
          </w:r>
          <w:r>
            <w:rPr>
              <w:rFonts w:hint="eastAsia"/>
            </w:rPr>
            <w:t xml:space="preserve">3.5.1 </w:t>
          </w:r>
          <w:r>
            <w:rPr>
              <w:rFonts w:hint="eastAsia" w:ascii="Songti SC" w:hAnsi="Songti SC" w:eastAsia="Songti SC" w:cs="Songti SC"/>
            </w:rPr>
            <w:t>社会效益</w:t>
          </w:r>
          <w:r>
            <w:tab/>
          </w:r>
          <w:r>
            <w:fldChar w:fldCharType="begin"/>
          </w:r>
          <w:r>
            <w:instrText xml:space="preserve"> PAGEREF _Toc911559436 \h </w:instrText>
          </w:r>
          <w:r>
            <w:fldChar w:fldCharType="separate"/>
          </w:r>
          <w:r>
            <w:t>23</w:t>
          </w:r>
          <w:r>
            <w:fldChar w:fldCharType="end"/>
          </w:r>
          <w:r>
            <w:rPr>
              <w:rFonts w:hint="eastAsia" w:ascii="Songti SC" w:hAnsi="Songti SC" w:eastAsia="Songti SC" w:cs="Songti SC"/>
              <w:color w:val="000000"/>
              <w:szCs w:val="36"/>
            </w:rPr>
            <w:fldChar w:fldCharType="end"/>
          </w:r>
        </w:p>
        <w:p w14:paraId="012C84E8">
          <w:pPr>
            <w:pStyle w:val="29"/>
            <w:tabs>
              <w:tab w:val="right" w:leader="dot" w:pos="8121"/>
            </w:tabs>
          </w:pPr>
          <w:r>
            <w:rPr>
              <w:rFonts w:hint="eastAsia" w:ascii="Songti SC" w:hAnsi="Songti SC" w:eastAsia="Songti SC" w:cs="Songti SC"/>
              <w:color w:val="000000"/>
              <w:szCs w:val="36"/>
            </w:rPr>
            <w:fldChar w:fldCharType="begin"/>
          </w:r>
          <w:r>
            <w:rPr>
              <w:rFonts w:hint="eastAsia" w:ascii="Songti SC" w:hAnsi="Songti SC" w:eastAsia="Songti SC" w:cs="Songti SC"/>
              <w:szCs w:val="36"/>
            </w:rPr>
            <w:instrText xml:space="preserve"> HYPERLINK \l _Toc431103154 </w:instrText>
          </w:r>
          <w:r>
            <w:rPr>
              <w:rFonts w:hint="eastAsia" w:ascii="Songti SC" w:hAnsi="Songti SC" w:eastAsia="Songti SC" w:cs="Songti SC"/>
              <w:szCs w:val="36"/>
            </w:rPr>
            <w:fldChar w:fldCharType="separate"/>
          </w:r>
          <w:r>
            <w:rPr>
              <w:rFonts w:hint="eastAsia"/>
            </w:rPr>
            <w:t xml:space="preserve">3.5.2 </w:t>
          </w:r>
          <w:r>
            <w:rPr>
              <w:rFonts w:hint="eastAsia" w:ascii="Songti SC" w:hAnsi="Songti SC" w:eastAsia="Songti SC" w:cs="Songti SC"/>
            </w:rPr>
            <w:t>经济效益</w:t>
          </w:r>
          <w:r>
            <w:tab/>
          </w:r>
          <w:r>
            <w:fldChar w:fldCharType="begin"/>
          </w:r>
          <w:r>
            <w:instrText xml:space="preserve"> PAGEREF _Toc431103154 \h </w:instrText>
          </w:r>
          <w:r>
            <w:fldChar w:fldCharType="separate"/>
          </w:r>
          <w:r>
            <w:t>24</w:t>
          </w:r>
          <w:r>
            <w:fldChar w:fldCharType="end"/>
          </w:r>
          <w:r>
            <w:rPr>
              <w:rFonts w:hint="eastAsia" w:ascii="Songti SC" w:hAnsi="Songti SC" w:eastAsia="Songti SC" w:cs="Songti SC"/>
              <w:color w:val="000000"/>
              <w:szCs w:val="36"/>
            </w:rPr>
            <w:fldChar w:fldCharType="end"/>
          </w:r>
        </w:p>
        <w:p w14:paraId="63A9A8C9">
          <w:pPr>
            <w:pStyle w:val="29"/>
            <w:tabs>
              <w:tab w:val="right" w:leader="dot" w:pos="8121"/>
            </w:tabs>
          </w:pPr>
          <w:r>
            <w:rPr>
              <w:rFonts w:hint="eastAsia" w:ascii="Songti SC" w:hAnsi="Songti SC" w:eastAsia="Songti SC" w:cs="Songti SC"/>
              <w:color w:val="000000"/>
              <w:szCs w:val="36"/>
            </w:rPr>
            <w:fldChar w:fldCharType="begin"/>
          </w:r>
          <w:r>
            <w:rPr>
              <w:rFonts w:hint="eastAsia" w:ascii="Songti SC" w:hAnsi="Songti SC" w:eastAsia="Songti SC" w:cs="Songti SC"/>
              <w:szCs w:val="36"/>
            </w:rPr>
            <w:instrText xml:space="preserve"> HYPERLINK \l _Toc2088367947 </w:instrText>
          </w:r>
          <w:r>
            <w:rPr>
              <w:rFonts w:hint="eastAsia" w:ascii="Songti SC" w:hAnsi="Songti SC" w:eastAsia="Songti SC" w:cs="Songti SC"/>
              <w:szCs w:val="36"/>
            </w:rPr>
            <w:fldChar w:fldCharType="separate"/>
          </w:r>
          <w:r>
            <w:rPr>
              <w:rFonts w:hint="eastAsia"/>
            </w:rPr>
            <w:t xml:space="preserve">3.5.3 </w:t>
          </w:r>
          <w:r>
            <w:rPr>
              <w:rFonts w:hint="eastAsia" w:ascii="Songti SC" w:hAnsi="Songti SC" w:eastAsia="Songti SC" w:cs="Songti SC"/>
            </w:rPr>
            <w:t>数据效益</w:t>
          </w:r>
          <w:r>
            <w:tab/>
          </w:r>
          <w:r>
            <w:fldChar w:fldCharType="begin"/>
          </w:r>
          <w:r>
            <w:instrText xml:space="preserve"> PAGEREF _Toc2088367947 \h </w:instrText>
          </w:r>
          <w:r>
            <w:fldChar w:fldCharType="separate"/>
          </w:r>
          <w:r>
            <w:t>24</w:t>
          </w:r>
          <w:r>
            <w:fldChar w:fldCharType="end"/>
          </w:r>
          <w:r>
            <w:rPr>
              <w:rFonts w:hint="eastAsia" w:ascii="Songti SC" w:hAnsi="Songti SC" w:eastAsia="Songti SC" w:cs="Songti SC"/>
              <w:color w:val="000000"/>
              <w:szCs w:val="36"/>
            </w:rPr>
            <w:fldChar w:fldCharType="end"/>
          </w:r>
        </w:p>
        <w:p w14:paraId="6B0CEA50">
          <w:pPr>
            <w:pStyle w:val="39"/>
            <w:tabs>
              <w:tab w:val="right" w:leader="dot" w:pos="8121"/>
            </w:tabs>
          </w:pPr>
          <w:r>
            <w:rPr>
              <w:rFonts w:hint="eastAsia" w:ascii="Songti SC" w:hAnsi="Songti SC" w:eastAsia="Songti SC" w:cs="Songti SC"/>
              <w:color w:val="000000"/>
              <w:szCs w:val="36"/>
            </w:rPr>
            <w:fldChar w:fldCharType="begin"/>
          </w:r>
          <w:r>
            <w:rPr>
              <w:rFonts w:hint="eastAsia" w:ascii="Songti SC" w:hAnsi="Songti SC" w:eastAsia="Songti SC" w:cs="Songti SC"/>
              <w:szCs w:val="36"/>
            </w:rPr>
            <w:instrText xml:space="preserve"> HYPERLINK \l _Toc727358661 </w:instrText>
          </w:r>
          <w:r>
            <w:rPr>
              <w:rFonts w:hint="eastAsia" w:ascii="Songti SC" w:hAnsi="Songti SC" w:eastAsia="Songti SC" w:cs="Songti SC"/>
              <w:szCs w:val="36"/>
            </w:rPr>
            <w:fldChar w:fldCharType="separate"/>
          </w:r>
          <w:r>
            <w:rPr>
              <w:rFonts w:hint="eastAsia"/>
            </w:rPr>
            <w:t xml:space="preserve">第4章 </w:t>
          </w:r>
          <w:r>
            <w:rPr>
              <w:rFonts w:ascii="Songti SC" w:hAnsi="Songti SC" w:eastAsia="Songti SC" w:cs="Songti SC"/>
            </w:rPr>
            <w:t>需求分析</w:t>
          </w:r>
          <w:r>
            <w:tab/>
          </w:r>
          <w:r>
            <w:fldChar w:fldCharType="begin"/>
          </w:r>
          <w:r>
            <w:instrText xml:space="preserve"> PAGEREF _Toc727358661 \h </w:instrText>
          </w:r>
          <w:r>
            <w:fldChar w:fldCharType="separate"/>
          </w:r>
          <w:r>
            <w:t>25</w:t>
          </w:r>
          <w:r>
            <w:fldChar w:fldCharType="end"/>
          </w:r>
          <w:r>
            <w:rPr>
              <w:rFonts w:hint="eastAsia" w:ascii="Songti SC" w:hAnsi="Songti SC" w:eastAsia="Songti SC" w:cs="Songti SC"/>
              <w:color w:val="000000"/>
              <w:szCs w:val="36"/>
            </w:rPr>
            <w:fldChar w:fldCharType="end"/>
          </w:r>
        </w:p>
        <w:p w14:paraId="2AF90721">
          <w:pPr>
            <w:pStyle w:val="50"/>
            <w:tabs>
              <w:tab w:val="right" w:leader="dot" w:pos="8121"/>
            </w:tabs>
          </w:pPr>
          <w:r>
            <w:rPr>
              <w:rFonts w:hint="eastAsia" w:ascii="Songti SC" w:hAnsi="Songti SC" w:eastAsia="Songti SC" w:cs="Songti SC"/>
              <w:color w:val="000000"/>
              <w:szCs w:val="36"/>
            </w:rPr>
            <w:fldChar w:fldCharType="begin"/>
          </w:r>
          <w:r>
            <w:rPr>
              <w:rFonts w:hint="eastAsia" w:ascii="Songti SC" w:hAnsi="Songti SC" w:eastAsia="Songti SC" w:cs="Songti SC"/>
              <w:szCs w:val="36"/>
            </w:rPr>
            <w:instrText xml:space="preserve"> HYPERLINK \l _Toc1240096703 </w:instrText>
          </w:r>
          <w:r>
            <w:rPr>
              <w:rFonts w:hint="eastAsia" w:ascii="Songti SC" w:hAnsi="Songti SC" w:eastAsia="Songti SC" w:cs="Songti SC"/>
              <w:szCs w:val="36"/>
            </w:rPr>
            <w:fldChar w:fldCharType="separate"/>
          </w:r>
          <w:r>
            <w:rPr>
              <w:rFonts w:hint="eastAsia"/>
            </w:rPr>
            <w:t xml:space="preserve">4.1 </w:t>
          </w:r>
          <w:r>
            <w:rPr>
              <w:rFonts w:ascii="Songti SC" w:hAnsi="Songti SC" w:eastAsia="Songti SC" w:cs="Songti SC"/>
            </w:rPr>
            <w:t>业务需求分析</w:t>
          </w:r>
          <w:r>
            <w:tab/>
          </w:r>
          <w:r>
            <w:fldChar w:fldCharType="begin"/>
          </w:r>
          <w:r>
            <w:instrText xml:space="preserve"> PAGEREF _Toc1240096703 \h </w:instrText>
          </w:r>
          <w:r>
            <w:fldChar w:fldCharType="separate"/>
          </w:r>
          <w:r>
            <w:t>25</w:t>
          </w:r>
          <w:r>
            <w:fldChar w:fldCharType="end"/>
          </w:r>
          <w:r>
            <w:rPr>
              <w:rFonts w:hint="eastAsia" w:ascii="Songti SC" w:hAnsi="Songti SC" w:eastAsia="Songti SC" w:cs="Songti SC"/>
              <w:color w:val="000000"/>
              <w:szCs w:val="36"/>
            </w:rPr>
            <w:fldChar w:fldCharType="end"/>
          </w:r>
        </w:p>
        <w:p w14:paraId="3E2975E0">
          <w:pPr>
            <w:pStyle w:val="29"/>
            <w:tabs>
              <w:tab w:val="right" w:leader="dot" w:pos="8121"/>
            </w:tabs>
          </w:pPr>
          <w:r>
            <w:rPr>
              <w:rFonts w:hint="eastAsia" w:ascii="Songti SC" w:hAnsi="Songti SC" w:eastAsia="Songti SC" w:cs="Songti SC"/>
              <w:color w:val="000000"/>
              <w:szCs w:val="36"/>
            </w:rPr>
            <w:fldChar w:fldCharType="begin"/>
          </w:r>
          <w:r>
            <w:rPr>
              <w:rFonts w:hint="eastAsia" w:ascii="Songti SC" w:hAnsi="Songti SC" w:eastAsia="Songti SC" w:cs="Songti SC"/>
              <w:szCs w:val="36"/>
            </w:rPr>
            <w:instrText xml:space="preserve"> HYPERLINK \l _Toc976493186 </w:instrText>
          </w:r>
          <w:r>
            <w:rPr>
              <w:rFonts w:hint="eastAsia" w:ascii="Songti SC" w:hAnsi="Songti SC" w:eastAsia="Songti SC" w:cs="Songti SC"/>
              <w:szCs w:val="36"/>
            </w:rPr>
            <w:fldChar w:fldCharType="separate"/>
          </w:r>
          <w:r>
            <w:rPr>
              <w:rFonts w:hint="eastAsia"/>
              <w:lang w:eastAsia="zh-CN"/>
            </w:rPr>
            <w:t xml:space="preserve">4.1.1 </w:t>
          </w:r>
          <w:r>
            <w:rPr>
              <w:rFonts w:ascii="Songti SC" w:hAnsi="Songti SC" w:eastAsia="Songti SC" w:cs="Songti SC"/>
              <w:lang w:eastAsia="zh-CN"/>
            </w:rPr>
            <w:t>基础运行与业务连续需求分析</w:t>
          </w:r>
          <w:r>
            <w:tab/>
          </w:r>
          <w:r>
            <w:fldChar w:fldCharType="begin"/>
          </w:r>
          <w:r>
            <w:instrText xml:space="preserve"> PAGEREF _Toc976493186 \h </w:instrText>
          </w:r>
          <w:r>
            <w:fldChar w:fldCharType="separate"/>
          </w:r>
          <w:r>
            <w:t>25</w:t>
          </w:r>
          <w:r>
            <w:fldChar w:fldCharType="end"/>
          </w:r>
          <w:r>
            <w:rPr>
              <w:rFonts w:hint="eastAsia" w:ascii="Songti SC" w:hAnsi="Songti SC" w:eastAsia="Songti SC" w:cs="Songti SC"/>
              <w:color w:val="000000"/>
              <w:szCs w:val="36"/>
            </w:rPr>
            <w:fldChar w:fldCharType="end"/>
          </w:r>
        </w:p>
        <w:p w14:paraId="08332232">
          <w:pPr>
            <w:pStyle w:val="29"/>
            <w:tabs>
              <w:tab w:val="right" w:leader="dot" w:pos="8121"/>
            </w:tabs>
          </w:pPr>
          <w:r>
            <w:rPr>
              <w:rFonts w:hint="eastAsia" w:ascii="Songti SC" w:hAnsi="Songti SC" w:eastAsia="Songti SC" w:cs="Songti SC"/>
              <w:color w:val="000000"/>
              <w:szCs w:val="36"/>
            </w:rPr>
            <w:fldChar w:fldCharType="begin"/>
          </w:r>
          <w:r>
            <w:rPr>
              <w:rFonts w:hint="eastAsia" w:ascii="Songti SC" w:hAnsi="Songti SC" w:eastAsia="Songti SC" w:cs="Songti SC"/>
              <w:szCs w:val="36"/>
            </w:rPr>
            <w:instrText xml:space="preserve"> HYPERLINK \l _Toc850946728 </w:instrText>
          </w:r>
          <w:r>
            <w:rPr>
              <w:rFonts w:hint="eastAsia" w:ascii="Songti SC" w:hAnsi="Songti SC" w:eastAsia="Songti SC" w:cs="Songti SC"/>
              <w:szCs w:val="36"/>
            </w:rPr>
            <w:fldChar w:fldCharType="separate"/>
          </w:r>
          <w:r>
            <w:rPr>
              <w:rFonts w:hint="eastAsia"/>
              <w:lang w:eastAsia="zh-CN"/>
            </w:rPr>
            <w:t xml:space="preserve">4.1.2 </w:t>
          </w:r>
          <w:r>
            <w:rPr>
              <w:rFonts w:ascii="Songti SC" w:hAnsi="Songti SC" w:eastAsia="Songti SC" w:cs="Songti SC"/>
              <w:lang w:eastAsia="zh-CN"/>
            </w:rPr>
            <w:t>业务平台替代升级需求分析</w:t>
          </w:r>
          <w:r>
            <w:tab/>
          </w:r>
          <w:r>
            <w:fldChar w:fldCharType="begin"/>
          </w:r>
          <w:r>
            <w:instrText xml:space="preserve"> PAGEREF _Toc850946728 \h </w:instrText>
          </w:r>
          <w:r>
            <w:fldChar w:fldCharType="separate"/>
          </w:r>
          <w:r>
            <w:t>25</w:t>
          </w:r>
          <w:r>
            <w:fldChar w:fldCharType="end"/>
          </w:r>
          <w:r>
            <w:rPr>
              <w:rFonts w:hint="eastAsia" w:ascii="Songti SC" w:hAnsi="Songti SC" w:eastAsia="Songti SC" w:cs="Songti SC"/>
              <w:color w:val="000000"/>
              <w:szCs w:val="36"/>
            </w:rPr>
            <w:fldChar w:fldCharType="end"/>
          </w:r>
        </w:p>
        <w:p w14:paraId="6BF44152">
          <w:pPr>
            <w:pStyle w:val="29"/>
            <w:tabs>
              <w:tab w:val="right" w:leader="dot" w:pos="8121"/>
            </w:tabs>
          </w:pPr>
          <w:r>
            <w:rPr>
              <w:rFonts w:hint="eastAsia" w:ascii="Songti SC" w:hAnsi="Songti SC" w:eastAsia="Songti SC" w:cs="Songti SC"/>
              <w:color w:val="000000"/>
              <w:szCs w:val="36"/>
            </w:rPr>
            <w:fldChar w:fldCharType="begin"/>
          </w:r>
          <w:r>
            <w:rPr>
              <w:rFonts w:hint="eastAsia" w:ascii="Songti SC" w:hAnsi="Songti SC" w:eastAsia="Songti SC" w:cs="Songti SC"/>
              <w:szCs w:val="36"/>
            </w:rPr>
            <w:instrText xml:space="preserve"> HYPERLINK \l _Toc1768052123 </w:instrText>
          </w:r>
          <w:r>
            <w:rPr>
              <w:rFonts w:hint="eastAsia" w:ascii="Songti SC" w:hAnsi="Songti SC" w:eastAsia="Songti SC" w:cs="Songti SC"/>
              <w:szCs w:val="36"/>
            </w:rPr>
            <w:fldChar w:fldCharType="separate"/>
          </w:r>
          <w:r>
            <w:rPr>
              <w:rFonts w:hint="eastAsia"/>
            </w:rPr>
            <w:t xml:space="preserve">4.1.3 </w:t>
          </w:r>
          <w:r>
            <w:rPr>
              <w:rFonts w:ascii="Songti SC" w:hAnsi="Songti SC" w:eastAsia="Songti SC" w:cs="Songti SC"/>
            </w:rPr>
            <w:t>核心业务闭环需求分析</w:t>
          </w:r>
          <w:r>
            <w:tab/>
          </w:r>
          <w:r>
            <w:fldChar w:fldCharType="begin"/>
          </w:r>
          <w:r>
            <w:instrText xml:space="preserve"> PAGEREF _Toc1768052123 \h </w:instrText>
          </w:r>
          <w:r>
            <w:fldChar w:fldCharType="separate"/>
          </w:r>
          <w:r>
            <w:t>26</w:t>
          </w:r>
          <w:r>
            <w:fldChar w:fldCharType="end"/>
          </w:r>
          <w:r>
            <w:rPr>
              <w:rFonts w:hint="eastAsia" w:ascii="Songti SC" w:hAnsi="Songti SC" w:eastAsia="Songti SC" w:cs="Songti SC"/>
              <w:color w:val="000000"/>
              <w:szCs w:val="36"/>
            </w:rPr>
            <w:fldChar w:fldCharType="end"/>
          </w:r>
        </w:p>
        <w:p w14:paraId="63F56538">
          <w:pPr>
            <w:pStyle w:val="29"/>
            <w:tabs>
              <w:tab w:val="right" w:leader="dot" w:pos="8121"/>
            </w:tabs>
          </w:pPr>
          <w:r>
            <w:rPr>
              <w:rFonts w:hint="eastAsia" w:ascii="Songti SC" w:hAnsi="Songti SC" w:eastAsia="Songti SC" w:cs="Songti SC"/>
              <w:color w:val="000000"/>
              <w:szCs w:val="36"/>
            </w:rPr>
            <w:fldChar w:fldCharType="begin"/>
          </w:r>
          <w:r>
            <w:rPr>
              <w:rFonts w:hint="eastAsia" w:ascii="Songti SC" w:hAnsi="Songti SC" w:eastAsia="Songti SC" w:cs="Songti SC"/>
              <w:szCs w:val="36"/>
            </w:rPr>
            <w:instrText xml:space="preserve"> HYPERLINK \l _Toc920807722 </w:instrText>
          </w:r>
          <w:r>
            <w:rPr>
              <w:rFonts w:hint="eastAsia" w:ascii="Songti SC" w:hAnsi="Songti SC" w:eastAsia="Songti SC" w:cs="Songti SC"/>
              <w:szCs w:val="36"/>
            </w:rPr>
            <w:fldChar w:fldCharType="separate"/>
          </w:r>
          <w:r>
            <w:rPr>
              <w:rFonts w:hint="eastAsia"/>
            </w:rPr>
            <w:t xml:space="preserve">4.1.4 </w:t>
          </w:r>
          <w:r>
            <w:rPr>
              <w:rFonts w:ascii="Songti SC" w:hAnsi="Songti SC" w:eastAsia="Songti SC" w:cs="Songti SC"/>
            </w:rPr>
            <w:t>高峰服务保障需求分析</w:t>
          </w:r>
          <w:r>
            <w:tab/>
          </w:r>
          <w:r>
            <w:fldChar w:fldCharType="begin"/>
          </w:r>
          <w:r>
            <w:instrText xml:space="preserve"> PAGEREF _Toc920807722 \h </w:instrText>
          </w:r>
          <w:r>
            <w:fldChar w:fldCharType="separate"/>
          </w:r>
          <w:r>
            <w:t>27</w:t>
          </w:r>
          <w:r>
            <w:fldChar w:fldCharType="end"/>
          </w:r>
          <w:r>
            <w:rPr>
              <w:rFonts w:hint="eastAsia" w:ascii="Songti SC" w:hAnsi="Songti SC" w:eastAsia="Songti SC" w:cs="Songti SC"/>
              <w:color w:val="000000"/>
              <w:szCs w:val="36"/>
            </w:rPr>
            <w:fldChar w:fldCharType="end"/>
          </w:r>
        </w:p>
        <w:p w14:paraId="075BD268">
          <w:pPr>
            <w:pStyle w:val="50"/>
            <w:tabs>
              <w:tab w:val="right" w:leader="dot" w:pos="8121"/>
            </w:tabs>
          </w:pPr>
          <w:r>
            <w:rPr>
              <w:rFonts w:hint="eastAsia" w:ascii="Songti SC" w:hAnsi="Songti SC" w:eastAsia="Songti SC" w:cs="Songti SC"/>
              <w:color w:val="000000"/>
              <w:szCs w:val="36"/>
            </w:rPr>
            <w:fldChar w:fldCharType="begin"/>
          </w:r>
          <w:r>
            <w:rPr>
              <w:rFonts w:hint="eastAsia" w:ascii="Songti SC" w:hAnsi="Songti SC" w:eastAsia="Songti SC" w:cs="Songti SC"/>
              <w:szCs w:val="36"/>
            </w:rPr>
            <w:instrText xml:space="preserve"> HYPERLINK \l _Toc1248223372 </w:instrText>
          </w:r>
          <w:r>
            <w:rPr>
              <w:rFonts w:hint="eastAsia" w:ascii="Songti SC" w:hAnsi="Songti SC" w:eastAsia="Songti SC" w:cs="Songti SC"/>
              <w:szCs w:val="36"/>
            </w:rPr>
            <w:fldChar w:fldCharType="separate"/>
          </w:r>
          <w:r>
            <w:rPr>
              <w:rFonts w:hint="eastAsia"/>
            </w:rPr>
            <w:t xml:space="preserve">4.2 </w:t>
          </w:r>
          <w:r>
            <w:rPr>
              <w:rFonts w:ascii="Songti SC" w:hAnsi="Songti SC" w:eastAsia="Songti SC" w:cs="Songti SC"/>
            </w:rPr>
            <w:t>服务对象分析</w:t>
          </w:r>
          <w:r>
            <w:tab/>
          </w:r>
          <w:r>
            <w:fldChar w:fldCharType="begin"/>
          </w:r>
          <w:r>
            <w:instrText xml:space="preserve"> PAGEREF _Toc1248223372 \h </w:instrText>
          </w:r>
          <w:r>
            <w:fldChar w:fldCharType="separate"/>
          </w:r>
          <w:r>
            <w:t>27</w:t>
          </w:r>
          <w:r>
            <w:fldChar w:fldCharType="end"/>
          </w:r>
          <w:r>
            <w:rPr>
              <w:rFonts w:hint="eastAsia" w:ascii="Songti SC" w:hAnsi="Songti SC" w:eastAsia="Songti SC" w:cs="Songti SC"/>
              <w:color w:val="000000"/>
              <w:szCs w:val="36"/>
            </w:rPr>
            <w:fldChar w:fldCharType="end"/>
          </w:r>
        </w:p>
        <w:p w14:paraId="130B4E91">
          <w:pPr>
            <w:pStyle w:val="29"/>
            <w:tabs>
              <w:tab w:val="right" w:leader="dot" w:pos="8121"/>
            </w:tabs>
          </w:pPr>
          <w:r>
            <w:rPr>
              <w:rFonts w:hint="eastAsia" w:ascii="Songti SC" w:hAnsi="Songti SC" w:eastAsia="Songti SC" w:cs="Songti SC"/>
              <w:color w:val="000000"/>
              <w:szCs w:val="36"/>
            </w:rPr>
            <w:fldChar w:fldCharType="begin"/>
          </w:r>
          <w:r>
            <w:rPr>
              <w:rFonts w:hint="eastAsia" w:ascii="Songti SC" w:hAnsi="Songti SC" w:eastAsia="Songti SC" w:cs="Songti SC"/>
              <w:szCs w:val="36"/>
            </w:rPr>
            <w:instrText xml:space="preserve"> HYPERLINK \l _Toc122465661 </w:instrText>
          </w:r>
          <w:r>
            <w:rPr>
              <w:rFonts w:hint="eastAsia" w:ascii="Songti SC" w:hAnsi="Songti SC" w:eastAsia="Songti SC" w:cs="Songti SC"/>
              <w:szCs w:val="36"/>
            </w:rPr>
            <w:fldChar w:fldCharType="separate"/>
          </w:r>
          <w:r>
            <w:rPr>
              <w:rFonts w:hint="eastAsia"/>
            </w:rPr>
            <w:t xml:space="preserve">4.2.1 </w:t>
          </w:r>
          <w:r>
            <w:rPr>
              <w:rFonts w:ascii="Songti SC" w:hAnsi="Songti SC" w:eastAsia="Songti SC" w:cs="Songti SC"/>
            </w:rPr>
            <w:t>典型使用场景分析</w:t>
          </w:r>
          <w:r>
            <w:tab/>
          </w:r>
          <w:r>
            <w:fldChar w:fldCharType="begin"/>
          </w:r>
          <w:r>
            <w:instrText xml:space="preserve"> PAGEREF _Toc122465661 \h </w:instrText>
          </w:r>
          <w:r>
            <w:fldChar w:fldCharType="separate"/>
          </w:r>
          <w:r>
            <w:t>28</w:t>
          </w:r>
          <w:r>
            <w:fldChar w:fldCharType="end"/>
          </w:r>
          <w:r>
            <w:rPr>
              <w:rFonts w:hint="eastAsia" w:ascii="Songti SC" w:hAnsi="Songti SC" w:eastAsia="Songti SC" w:cs="Songti SC"/>
              <w:color w:val="000000"/>
              <w:szCs w:val="36"/>
            </w:rPr>
            <w:fldChar w:fldCharType="end"/>
          </w:r>
        </w:p>
        <w:p w14:paraId="1AA95D43">
          <w:pPr>
            <w:pStyle w:val="50"/>
            <w:tabs>
              <w:tab w:val="right" w:leader="dot" w:pos="8121"/>
            </w:tabs>
          </w:pPr>
          <w:r>
            <w:rPr>
              <w:rFonts w:hint="eastAsia" w:ascii="Songti SC" w:hAnsi="Songti SC" w:eastAsia="Songti SC" w:cs="Songti SC"/>
              <w:color w:val="000000"/>
              <w:szCs w:val="36"/>
            </w:rPr>
            <w:fldChar w:fldCharType="begin"/>
          </w:r>
          <w:r>
            <w:rPr>
              <w:rFonts w:hint="eastAsia" w:ascii="Songti SC" w:hAnsi="Songti SC" w:eastAsia="Songti SC" w:cs="Songti SC"/>
              <w:szCs w:val="36"/>
            </w:rPr>
            <w:instrText xml:space="preserve"> HYPERLINK \l _Toc991030601 </w:instrText>
          </w:r>
          <w:r>
            <w:rPr>
              <w:rFonts w:hint="eastAsia" w:ascii="Songti SC" w:hAnsi="Songti SC" w:eastAsia="Songti SC" w:cs="Songti SC"/>
              <w:szCs w:val="36"/>
            </w:rPr>
            <w:fldChar w:fldCharType="separate"/>
          </w:r>
          <w:r>
            <w:rPr>
              <w:rFonts w:hint="eastAsia"/>
            </w:rPr>
            <w:t xml:space="preserve">4.3 </w:t>
          </w:r>
          <w:r>
            <w:rPr>
              <w:rFonts w:ascii="Songti SC" w:hAnsi="Songti SC" w:eastAsia="Songti SC" w:cs="Songti SC"/>
            </w:rPr>
            <w:t>系统功能需求分析</w:t>
          </w:r>
          <w:r>
            <w:tab/>
          </w:r>
          <w:r>
            <w:fldChar w:fldCharType="begin"/>
          </w:r>
          <w:r>
            <w:instrText xml:space="preserve"> PAGEREF _Toc991030601 \h </w:instrText>
          </w:r>
          <w:r>
            <w:fldChar w:fldCharType="separate"/>
          </w:r>
          <w:r>
            <w:t>29</w:t>
          </w:r>
          <w:r>
            <w:fldChar w:fldCharType="end"/>
          </w:r>
          <w:r>
            <w:rPr>
              <w:rFonts w:hint="eastAsia" w:ascii="Songti SC" w:hAnsi="Songti SC" w:eastAsia="Songti SC" w:cs="Songti SC"/>
              <w:color w:val="000000"/>
              <w:szCs w:val="36"/>
            </w:rPr>
            <w:fldChar w:fldCharType="end"/>
          </w:r>
        </w:p>
        <w:p w14:paraId="26BBA1E3">
          <w:pPr>
            <w:pStyle w:val="29"/>
            <w:tabs>
              <w:tab w:val="right" w:leader="dot" w:pos="8121"/>
            </w:tabs>
          </w:pPr>
          <w:r>
            <w:rPr>
              <w:rFonts w:hint="eastAsia" w:ascii="Songti SC" w:hAnsi="Songti SC" w:eastAsia="Songti SC" w:cs="Songti SC"/>
              <w:color w:val="000000"/>
              <w:szCs w:val="36"/>
            </w:rPr>
            <w:fldChar w:fldCharType="begin"/>
          </w:r>
          <w:r>
            <w:rPr>
              <w:rFonts w:hint="eastAsia" w:ascii="Songti SC" w:hAnsi="Songti SC" w:eastAsia="Songti SC" w:cs="Songti SC"/>
              <w:szCs w:val="36"/>
            </w:rPr>
            <w:instrText xml:space="preserve"> HYPERLINK \l _Toc368144875 </w:instrText>
          </w:r>
          <w:r>
            <w:rPr>
              <w:rFonts w:hint="eastAsia" w:ascii="Songti SC" w:hAnsi="Songti SC" w:eastAsia="Songti SC" w:cs="Songti SC"/>
              <w:szCs w:val="36"/>
            </w:rPr>
            <w:fldChar w:fldCharType="separate"/>
          </w:r>
          <w:r>
            <w:rPr>
              <w:rFonts w:hint="eastAsia"/>
            </w:rPr>
            <w:t xml:space="preserve">4.3.1 </w:t>
          </w:r>
          <w:r>
            <w:rPr>
              <w:rFonts w:ascii="Songti SC" w:hAnsi="Songti SC" w:eastAsia="Songti SC" w:cs="Songti SC"/>
            </w:rPr>
            <w:t>平台基础参数需求</w:t>
          </w:r>
          <w:r>
            <w:tab/>
          </w:r>
          <w:r>
            <w:fldChar w:fldCharType="begin"/>
          </w:r>
          <w:r>
            <w:instrText xml:space="preserve"> PAGEREF _Toc368144875 \h </w:instrText>
          </w:r>
          <w:r>
            <w:fldChar w:fldCharType="separate"/>
          </w:r>
          <w:r>
            <w:t>29</w:t>
          </w:r>
          <w:r>
            <w:fldChar w:fldCharType="end"/>
          </w:r>
          <w:r>
            <w:rPr>
              <w:rFonts w:hint="eastAsia" w:ascii="Songti SC" w:hAnsi="Songti SC" w:eastAsia="Songti SC" w:cs="Songti SC"/>
              <w:color w:val="000000"/>
              <w:szCs w:val="36"/>
            </w:rPr>
            <w:fldChar w:fldCharType="end"/>
          </w:r>
        </w:p>
        <w:p w14:paraId="761C0265">
          <w:pPr>
            <w:pStyle w:val="29"/>
            <w:tabs>
              <w:tab w:val="right" w:leader="dot" w:pos="8121"/>
            </w:tabs>
          </w:pPr>
          <w:r>
            <w:rPr>
              <w:rFonts w:hint="eastAsia" w:ascii="Songti SC" w:hAnsi="Songti SC" w:eastAsia="Songti SC" w:cs="Songti SC"/>
              <w:color w:val="000000"/>
              <w:szCs w:val="36"/>
            </w:rPr>
            <w:fldChar w:fldCharType="begin"/>
          </w:r>
          <w:r>
            <w:rPr>
              <w:rFonts w:hint="eastAsia" w:ascii="Songti SC" w:hAnsi="Songti SC" w:eastAsia="Songti SC" w:cs="Songti SC"/>
              <w:szCs w:val="36"/>
            </w:rPr>
            <w:instrText xml:space="preserve"> HYPERLINK \l _Toc510527118 </w:instrText>
          </w:r>
          <w:r>
            <w:rPr>
              <w:rFonts w:hint="eastAsia" w:ascii="Songti SC" w:hAnsi="Songti SC" w:eastAsia="Songti SC" w:cs="Songti SC"/>
              <w:szCs w:val="36"/>
            </w:rPr>
            <w:fldChar w:fldCharType="separate"/>
          </w:r>
          <w:r>
            <w:rPr>
              <w:rFonts w:hint="eastAsia"/>
            </w:rPr>
            <w:t xml:space="preserve">4.3.2 </w:t>
          </w:r>
          <w:r>
            <w:rPr>
              <w:rFonts w:ascii="Songti SC" w:hAnsi="Songti SC" w:eastAsia="Songti SC" w:cs="Songti SC"/>
            </w:rPr>
            <w:t>配置管理需求</w:t>
          </w:r>
          <w:r>
            <w:tab/>
          </w:r>
          <w:r>
            <w:fldChar w:fldCharType="begin"/>
          </w:r>
          <w:r>
            <w:instrText xml:space="preserve"> PAGEREF _Toc510527118 \h </w:instrText>
          </w:r>
          <w:r>
            <w:fldChar w:fldCharType="separate"/>
          </w:r>
          <w:r>
            <w:t>29</w:t>
          </w:r>
          <w:r>
            <w:fldChar w:fldCharType="end"/>
          </w:r>
          <w:r>
            <w:rPr>
              <w:rFonts w:hint="eastAsia" w:ascii="Songti SC" w:hAnsi="Songti SC" w:eastAsia="Songti SC" w:cs="Songti SC"/>
              <w:color w:val="000000"/>
              <w:szCs w:val="36"/>
            </w:rPr>
            <w:fldChar w:fldCharType="end"/>
          </w:r>
        </w:p>
        <w:p w14:paraId="271E529E">
          <w:pPr>
            <w:pStyle w:val="29"/>
            <w:tabs>
              <w:tab w:val="right" w:leader="dot" w:pos="8121"/>
            </w:tabs>
          </w:pPr>
          <w:r>
            <w:rPr>
              <w:rFonts w:hint="eastAsia" w:ascii="Songti SC" w:hAnsi="Songti SC" w:eastAsia="Songti SC" w:cs="Songti SC"/>
              <w:color w:val="000000"/>
              <w:szCs w:val="36"/>
            </w:rPr>
            <w:fldChar w:fldCharType="begin"/>
          </w:r>
          <w:r>
            <w:rPr>
              <w:rFonts w:hint="eastAsia" w:ascii="Songti SC" w:hAnsi="Songti SC" w:eastAsia="Songti SC" w:cs="Songti SC"/>
              <w:szCs w:val="36"/>
            </w:rPr>
            <w:instrText xml:space="preserve"> HYPERLINK \l _Toc1232102461 </w:instrText>
          </w:r>
          <w:r>
            <w:rPr>
              <w:rFonts w:hint="eastAsia" w:ascii="Songti SC" w:hAnsi="Songti SC" w:eastAsia="Songti SC" w:cs="Songti SC"/>
              <w:szCs w:val="36"/>
            </w:rPr>
            <w:fldChar w:fldCharType="separate"/>
          </w:r>
          <w:r>
            <w:rPr>
              <w:rFonts w:hint="eastAsia"/>
            </w:rPr>
            <w:t xml:space="preserve">4.3.3 </w:t>
          </w:r>
          <w:r>
            <w:rPr>
              <w:rFonts w:ascii="Songti SC" w:hAnsi="Songti SC" w:eastAsia="Songti SC" w:cs="Songti SC"/>
            </w:rPr>
            <w:t>用户管理需求</w:t>
          </w:r>
          <w:r>
            <w:tab/>
          </w:r>
          <w:r>
            <w:fldChar w:fldCharType="begin"/>
          </w:r>
          <w:r>
            <w:instrText xml:space="preserve"> PAGEREF _Toc1232102461 \h </w:instrText>
          </w:r>
          <w:r>
            <w:fldChar w:fldCharType="separate"/>
          </w:r>
          <w:r>
            <w:t>29</w:t>
          </w:r>
          <w:r>
            <w:fldChar w:fldCharType="end"/>
          </w:r>
          <w:r>
            <w:rPr>
              <w:rFonts w:hint="eastAsia" w:ascii="Songti SC" w:hAnsi="Songti SC" w:eastAsia="Songti SC" w:cs="Songti SC"/>
              <w:color w:val="000000"/>
              <w:szCs w:val="36"/>
            </w:rPr>
            <w:fldChar w:fldCharType="end"/>
          </w:r>
        </w:p>
        <w:p w14:paraId="680DB962">
          <w:pPr>
            <w:pStyle w:val="29"/>
            <w:tabs>
              <w:tab w:val="right" w:leader="dot" w:pos="8121"/>
            </w:tabs>
          </w:pPr>
          <w:r>
            <w:rPr>
              <w:rFonts w:hint="eastAsia" w:ascii="Songti SC" w:hAnsi="Songti SC" w:eastAsia="Songti SC" w:cs="Songti SC"/>
              <w:color w:val="000000"/>
              <w:szCs w:val="36"/>
            </w:rPr>
            <w:fldChar w:fldCharType="begin"/>
          </w:r>
          <w:r>
            <w:rPr>
              <w:rFonts w:hint="eastAsia" w:ascii="Songti SC" w:hAnsi="Songti SC" w:eastAsia="Songti SC" w:cs="Songti SC"/>
              <w:szCs w:val="36"/>
            </w:rPr>
            <w:instrText xml:space="preserve"> HYPERLINK \l _Toc1908737653 </w:instrText>
          </w:r>
          <w:r>
            <w:rPr>
              <w:rFonts w:hint="eastAsia" w:ascii="Songti SC" w:hAnsi="Songti SC" w:eastAsia="Songti SC" w:cs="Songti SC"/>
              <w:szCs w:val="36"/>
            </w:rPr>
            <w:fldChar w:fldCharType="separate"/>
          </w:r>
          <w:r>
            <w:rPr>
              <w:rFonts w:hint="eastAsia"/>
            </w:rPr>
            <w:t xml:space="preserve">4.3.4 </w:t>
          </w:r>
          <w:r>
            <w:rPr>
              <w:rFonts w:ascii="Songti SC" w:hAnsi="Songti SC" w:eastAsia="Songti SC" w:cs="Songti SC"/>
            </w:rPr>
            <w:t>消费配置管理需求</w:t>
          </w:r>
          <w:r>
            <w:tab/>
          </w:r>
          <w:r>
            <w:fldChar w:fldCharType="begin"/>
          </w:r>
          <w:r>
            <w:instrText xml:space="preserve"> PAGEREF _Toc1908737653 \h </w:instrText>
          </w:r>
          <w:r>
            <w:fldChar w:fldCharType="separate"/>
          </w:r>
          <w:r>
            <w:t>30</w:t>
          </w:r>
          <w:r>
            <w:fldChar w:fldCharType="end"/>
          </w:r>
          <w:r>
            <w:rPr>
              <w:rFonts w:hint="eastAsia" w:ascii="Songti SC" w:hAnsi="Songti SC" w:eastAsia="Songti SC" w:cs="Songti SC"/>
              <w:color w:val="000000"/>
              <w:szCs w:val="36"/>
            </w:rPr>
            <w:fldChar w:fldCharType="end"/>
          </w:r>
        </w:p>
        <w:p w14:paraId="672FF6CA">
          <w:pPr>
            <w:pStyle w:val="29"/>
            <w:tabs>
              <w:tab w:val="right" w:leader="dot" w:pos="8121"/>
            </w:tabs>
          </w:pPr>
          <w:r>
            <w:rPr>
              <w:rFonts w:hint="eastAsia" w:ascii="Songti SC" w:hAnsi="Songti SC" w:eastAsia="Songti SC" w:cs="Songti SC"/>
              <w:color w:val="000000"/>
              <w:szCs w:val="36"/>
            </w:rPr>
            <w:fldChar w:fldCharType="begin"/>
          </w:r>
          <w:r>
            <w:rPr>
              <w:rFonts w:hint="eastAsia" w:ascii="Songti SC" w:hAnsi="Songti SC" w:eastAsia="Songti SC" w:cs="Songti SC"/>
              <w:szCs w:val="36"/>
            </w:rPr>
            <w:instrText xml:space="preserve"> HYPERLINK \l _Toc1043015085 </w:instrText>
          </w:r>
          <w:r>
            <w:rPr>
              <w:rFonts w:hint="eastAsia" w:ascii="Songti SC" w:hAnsi="Songti SC" w:eastAsia="Songti SC" w:cs="Songti SC"/>
              <w:szCs w:val="36"/>
            </w:rPr>
            <w:fldChar w:fldCharType="separate"/>
          </w:r>
          <w:r>
            <w:rPr>
              <w:rFonts w:hint="eastAsia"/>
            </w:rPr>
            <w:t xml:space="preserve">4.3.5 </w:t>
          </w:r>
          <w:r>
            <w:rPr>
              <w:rFonts w:ascii="Songti SC" w:hAnsi="Songti SC" w:eastAsia="Songti SC" w:cs="Songti SC"/>
            </w:rPr>
            <w:t>财务管理需求</w:t>
          </w:r>
          <w:r>
            <w:tab/>
          </w:r>
          <w:r>
            <w:fldChar w:fldCharType="begin"/>
          </w:r>
          <w:r>
            <w:instrText xml:space="preserve"> PAGEREF _Toc1043015085 \h </w:instrText>
          </w:r>
          <w:r>
            <w:fldChar w:fldCharType="separate"/>
          </w:r>
          <w:r>
            <w:t>30</w:t>
          </w:r>
          <w:r>
            <w:fldChar w:fldCharType="end"/>
          </w:r>
          <w:r>
            <w:rPr>
              <w:rFonts w:hint="eastAsia" w:ascii="Songti SC" w:hAnsi="Songti SC" w:eastAsia="Songti SC" w:cs="Songti SC"/>
              <w:color w:val="000000"/>
              <w:szCs w:val="36"/>
            </w:rPr>
            <w:fldChar w:fldCharType="end"/>
          </w:r>
        </w:p>
        <w:p w14:paraId="4C5BB7C1">
          <w:pPr>
            <w:pStyle w:val="29"/>
            <w:tabs>
              <w:tab w:val="right" w:leader="dot" w:pos="8121"/>
            </w:tabs>
          </w:pPr>
          <w:r>
            <w:rPr>
              <w:rFonts w:hint="eastAsia" w:ascii="Songti SC" w:hAnsi="Songti SC" w:eastAsia="Songti SC" w:cs="Songti SC"/>
              <w:color w:val="000000"/>
              <w:szCs w:val="36"/>
            </w:rPr>
            <w:fldChar w:fldCharType="begin"/>
          </w:r>
          <w:r>
            <w:rPr>
              <w:rFonts w:hint="eastAsia" w:ascii="Songti SC" w:hAnsi="Songti SC" w:eastAsia="Songti SC" w:cs="Songti SC"/>
              <w:szCs w:val="36"/>
            </w:rPr>
            <w:instrText xml:space="preserve"> HYPERLINK \l _Toc45523134 </w:instrText>
          </w:r>
          <w:r>
            <w:rPr>
              <w:rFonts w:hint="eastAsia" w:ascii="Songti SC" w:hAnsi="Songti SC" w:eastAsia="Songti SC" w:cs="Songti SC"/>
              <w:szCs w:val="36"/>
            </w:rPr>
            <w:fldChar w:fldCharType="separate"/>
          </w:r>
          <w:r>
            <w:rPr>
              <w:rFonts w:hint="eastAsia"/>
            </w:rPr>
            <w:t xml:space="preserve">4.3.6 </w:t>
          </w:r>
          <w:r>
            <w:rPr>
              <w:rFonts w:ascii="Songti SC" w:hAnsi="Songti SC" w:eastAsia="Songti SC" w:cs="Songti SC"/>
            </w:rPr>
            <w:t>订单与售后管理需求</w:t>
          </w:r>
          <w:r>
            <w:tab/>
          </w:r>
          <w:r>
            <w:fldChar w:fldCharType="begin"/>
          </w:r>
          <w:r>
            <w:instrText xml:space="preserve"> PAGEREF _Toc45523134 \h </w:instrText>
          </w:r>
          <w:r>
            <w:fldChar w:fldCharType="separate"/>
          </w:r>
          <w:r>
            <w:t>30</w:t>
          </w:r>
          <w:r>
            <w:fldChar w:fldCharType="end"/>
          </w:r>
          <w:r>
            <w:rPr>
              <w:rFonts w:hint="eastAsia" w:ascii="Songti SC" w:hAnsi="Songti SC" w:eastAsia="Songti SC" w:cs="Songti SC"/>
              <w:color w:val="000000"/>
              <w:szCs w:val="36"/>
            </w:rPr>
            <w:fldChar w:fldCharType="end"/>
          </w:r>
        </w:p>
        <w:p w14:paraId="05549273">
          <w:pPr>
            <w:pStyle w:val="29"/>
            <w:tabs>
              <w:tab w:val="right" w:leader="dot" w:pos="8121"/>
            </w:tabs>
          </w:pPr>
          <w:r>
            <w:rPr>
              <w:rFonts w:hint="eastAsia" w:ascii="Songti SC" w:hAnsi="Songti SC" w:eastAsia="Songti SC" w:cs="Songti SC"/>
              <w:color w:val="000000"/>
              <w:szCs w:val="36"/>
            </w:rPr>
            <w:fldChar w:fldCharType="begin"/>
          </w:r>
          <w:r>
            <w:rPr>
              <w:rFonts w:hint="eastAsia" w:ascii="Songti SC" w:hAnsi="Songti SC" w:eastAsia="Songti SC" w:cs="Songti SC"/>
              <w:szCs w:val="36"/>
            </w:rPr>
            <w:instrText xml:space="preserve"> HYPERLINK \l _Toc603134806 </w:instrText>
          </w:r>
          <w:r>
            <w:rPr>
              <w:rFonts w:hint="eastAsia" w:ascii="Songti SC" w:hAnsi="Songti SC" w:eastAsia="Songti SC" w:cs="Songti SC"/>
              <w:szCs w:val="36"/>
            </w:rPr>
            <w:fldChar w:fldCharType="separate"/>
          </w:r>
          <w:r>
            <w:rPr>
              <w:rFonts w:hint="eastAsia"/>
              <w:lang w:eastAsia="zh-CN"/>
            </w:rPr>
            <w:t xml:space="preserve">4.3.7 </w:t>
          </w:r>
          <w:r>
            <w:rPr>
              <w:rFonts w:ascii="Songti SC" w:hAnsi="Songti SC" w:eastAsia="Songti SC" w:cs="Songti SC"/>
              <w:lang w:eastAsia="zh-CN"/>
            </w:rPr>
            <w:t>报表统计与经营分析需求</w:t>
          </w:r>
          <w:r>
            <w:tab/>
          </w:r>
          <w:r>
            <w:fldChar w:fldCharType="begin"/>
          </w:r>
          <w:r>
            <w:instrText xml:space="preserve"> PAGEREF _Toc603134806 \h </w:instrText>
          </w:r>
          <w:r>
            <w:fldChar w:fldCharType="separate"/>
          </w:r>
          <w:r>
            <w:t>31</w:t>
          </w:r>
          <w:r>
            <w:fldChar w:fldCharType="end"/>
          </w:r>
          <w:r>
            <w:rPr>
              <w:rFonts w:hint="eastAsia" w:ascii="Songti SC" w:hAnsi="Songti SC" w:eastAsia="Songti SC" w:cs="Songti SC"/>
              <w:color w:val="000000"/>
              <w:szCs w:val="36"/>
            </w:rPr>
            <w:fldChar w:fldCharType="end"/>
          </w:r>
        </w:p>
        <w:p w14:paraId="553A7C9C">
          <w:pPr>
            <w:pStyle w:val="29"/>
            <w:tabs>
              <w:tab w:val="right" w:leader="dot" w:pos="8121"/>
            </w:tabs>
          </w:pPr>
          <w:r>
            <w:rPr>
              <w:rFonts w:hint="eastAsia" w:ascii="Songti SC" w:hAnsi="Songti SC" w:eastAsia="Songti SC" w:cs="Songti SC"/>
              <w:color w:val="000000"/>
              <w:szCs w:val="36"/>
            </w:rPr>
            <w:fldChar w:fldCharType="begin"/>
          </w:r>
          <w:r>
            <w:rPr>
              <w:rFonts w:hint="eastAsia" w:ascii="Songti SC" w:hAnsi="Songti SC" w:eastAsia="Songti SC" w:cs="Songti SC"/>
              <w:szCs w:val="36"/>
            </w:rPr>
            <w:instrText xml:space="preserve"> HYPERLINK \l _Toc763870602 </w:instrText>
          </w:r>
          <w:r>
            <w:rPr>
              <w:rFonts w:hint="eastAsia" w:ascii="Songti SC" w:hAnsi="Songti SC" w:eastAsia="Songti SC" w:cs="Songti SC"/>
              <w:szCs w:val="36"/>
            </w:rPr>
            <w:fldChar w:fldCharType="separate"/>
          </w:r>
          <w:r>
            <w:rPr>
              <w:rFonts w:hint="eastAsia"/>
              <w:lang w:eastAsia="zh-CN"/>
            </w:rPr>
            <w:t xml:space="preserve">4.3.8 </w:t>
          </w:r>
          <w:r>
            <w:rPr>
              <w:rFonts w:hint="eastAsia" w:ascii="Songti SC" w:hAnsi="Songti SC" w:eastAsia="Songti SC" w:cs="Songti SC"/>
              <w:lang w:eastAsia="zh-CN"/>
            </w:rPr>
            <w:t>消费机支持软件运行环境兼容适配需求分析</w:t>
          </w:r>
          <w:r>
            <w:tab/>
          </w:r>
          <w:r>
            <w:fldChar w:fldCharType="begin"/>
          </w:r>
          <w:r>
            <w:instrText xml:space="preserve"> PAGEREF _Toc763870602 \h </w:instrText>
          </w:r>
          <w:r>
            <w:fldChar w:fldCharType="separate"/>
          </w:r>
          <w:r>
            <w:t>31</w:t>
          </w:r>
          <w:r>
            <w:fldChar w:fldCharType="end"/>
          </w:r>
          <w:r>
            <w:rPr>
              <w:rFonts w:hint="eastAsia" w:ascii="Songti SC" w:hAnsi="Songti SC" w:eastAsia="Songti SC" w:cs="Songti SC"/>
              <w:color w:val="000000"/>
              <w:szCs w:val="36"/>
            </w:rPr>
            <w:fldChar w:fldCharType="end"/>
          </w:r>
        </w:p>
        <w:p w14:paraId="43F3B941">
          <w:pPr>
            <w:pStyle w:val="29"/>
            <w:tabs>
              <w:tab w:val="right" w:leader="dot" w:pos="8121"/>
            </w:tabs>
          </w:pPr>
          <w:r>
            <w:rPr>
              <w:rFonts w:hint="eastAsia" w:ascii="Songti SC" w:hAnsi="Songti SC" w:eastAsia="Songti SC" w:cs="Songti SC"/>
              <w:color w:val="000000"/>
              <w:szCs w:val="36"/>
            </w:rPr>
            <w:fldChar w:fldCharType="begin"/>
          </w:r>
          <w:r>
            <w:rPr>
              <w:rFonts w:hint="eastAsia" w:ascii="Songti SC" w:hAnsi="Songti SC" w:eastAsia="Songti SC" w:cs="Songti SC"/>
              <w:szCs w:val="36"/>
            </w:rPr>
            <w:instrText xml:space="preserve"> HYPERLINK \l _Toc715966048 </w:instrText>
          </w:r>
          <w:r>
            <w:rPr>
              <w:rFonts w:hint="eastAsia" w:ascii="Songti SC" w:hAnsi="Songti SC" w:eastAsia="Songti SC" w:cs="Songti SC"/>
              <w:szCs w:val="36"/>
            </w:rPr>
            <w:fldChar w:fldCharType="separate"/>
          </w:r>
          <w:r>
            <w:rPr>
              <w:rFonts w:hint="eastAsia"/>
              <w:lang w:eastAsia="zh-CN"/>
            </w:rPr>
            <w:t xml:space="preserve">4.3.9 </w:t>
          </w:r>
          <w:r>
            <w:rPr>
              <w:rFonts w:hint="eastAsia" w:ascii="Songti SC" w:hAnsi="Songti SC" w:eastAsia="Songti SC" w:cs="Songti SC"/>
              <w:lang w:eastAsia="zh-CN"/>
            </w:rPr>
            <w:t>小程序端线上充值及工商银行接口适配需求分析</w:t>
          </w:r>
          <w:r>
            <w:tab/>
          </w:r>
          <w:r>
            <w:fldChar w:fldCharType="begin"/>
          </w:r>
          <w:r>
            <w:instrText xml:space="preserve"> PAGEREF _Toc715966048 \h </w:instrText>
          </w:r>
          <w:r>
            <w:fldChar w:fldCharType="separate"/>
          </w:r>
          <w:r>
            <w:t>32</w:t>
          </w:r>
          <w:r>
            <w:fldChar w:fldCharType="end"/>
          </w:r>
          <w:r>
            <w:rPr>
              <w:rFonts w:hint="eastAsia" w:ascii="Songti SC" w:hAnsi="Songti SC" w:eastAsia="Songti SC" w:cs="Songti SC"/>
              <w:color w:val="000000"/>
              <w:szCs w:val="36"/>
            </w:rPr>
            <w:fldChar w:fldCharType="end"/>
          </w:r>
        </w:p>
        <w:p w14:paraId="49E343FF">
          <w:pPr>
            <w:pStyle w:val="29"/>
            <w:tabs>
              <w:tab w:val="right" w:leader="dot" w:pos="8121"/>
            </w:tabs>
          </w:pPr>
          <w:r>
            <w:rPr>
              <w:rFonts w:hint="eastAsia" w:ascii="Songti SC" w:hAnsi="Songti SC" w:eastAsia="Songti SC" w:cs="Songti SC"/>
              <w:color w:val="000000"/>
              <w:szCs w:val="36"/>
            </w:rPr>
            <w:fldChar w:fldCharType="begin"/>
          </w:r>
          <w:r>
            <w:rPr>
              <w:rFonts w:hint="eastAsia" w:ascii="Songti SC" w:hAnsi="Songti SC" w:eastAsia="Songti SC" w:cs="Songti SC"/>
              <w:szCs w:val="36"/>
            </w:rPr>
            <w:instrText xml:space="preserve"> HYPERLINK \l _Toc890494595 </w:instrText>
          </w:r>
          <w:r>
            <w:rPr>
              <w:rFonts w:hint="eastAsia" w:ascii="Songti SC" w:hAnsi="Songti SC" w:eastAsia="Songti SC" w:cs="Songti SC"/>
              <w:szCs w:val="36"/>
            </w:rPr>
            <w:fldChar w:fldCharType="separate"/>
          </w:r>
          <w:r>
            <w:rPr>
              <w:rFonts w:hint="eastAsia"/>
              <w:lang w:eastAsia="zh-CN"/>
            </w:rPr>
            <w:t xml:space="preserve">4.3.10 </w:t>
          </w:r>
          <w:r>
            <w:rPr>
              <w:rFonts w:ascii="Songti SC" w:hAnsi="Songti SC" w:eastAsia="Songti SC" w:cs="Songti SC"/>
              <w:lang w:eastAsia="zh-CN"/>
            </w:rPr>
            <w:t>历史数据迁移与一致性校验需求</w:t>
          </w:r>
          <w:r>
            <w:tab/>
          </w:r>
          <w:r>
            <w:fldChar w:fldCharType="begin"/>
          </w:r>
          <w:r>
            <w:instrText xml:space="preserve"> PAGEREF _Toc890494595 \h </w:instrText>
          </w:r>
          <w:r>
            <w:fldChar w:fldCharType="separate"/>
          </w:r>
          <w:r>
            <w:t>32</w:t>
          </w:r>
          <w:r>
            <w:fldChar w:fldCharType="end"/>
          </w:r>
          <w:r>
            <w:rPr>
              <w:rFonts w:hint="eastAsia" w:ascii="Songti SC" w:hAnsi="Songti SC" w:eastAsia="Songti SC" w:cs="Songti SC"/>
              <w:color w:val="000000"/>
              <w:szCs w:val="36"/>
            </w:rPr>
            <w:fldChar w:fldCharType="end"/>
          </w:r>
        </w:p>
        <w:p w14:paraId="3AABAE31">
          <w:pPr>
            <w:pStyle w:val="50"/>
            <w:tabs>
              <w:tab w:val="right" w:leader="dot" w:pos="8121"/>
            </w:tabs>
          </w:pPr>
          <w:r>
            <w:rPr>
              <w:rFonts w:hint="eastAsia" w:ascii="Songti SC" w:hAnsi="Songti SC" w:eastAsia="Songti SC" w:cs="Songti SC"/>
              <w:color w:val="000000"/>
              <w:szCs w:val="36"/>
            </w:rPr>
            <w:fldChar w:fldCharType="begin"/>
          </w:r>
          <w:r>
            <w:rPr>
              <w:rFonts w:hint="eastAsia" w:ascii="Songti SC" w:hAnsi="Songti SC" w:eastAsia="Songti SC" w:cs="Songti SC"/>
              <w:szCs w:val="36"/>
            </w:rPr>
            <w:instrText xml:space="preserve"> HYPERLINK \l _Toc729122222 </w:instrText>
          </w:r>
          <w:r>
            <w:rPr>
              <w:rFonts w:hint="eastAsia" w:ascii="Songti SC" w:hAnsi="Songti SC" w:eastAsia="Songti SC" w:cs="Songti SC"/>
              <w:szCs w:val="36"/>
            </w:rPr>
            <w:fldChar w:fldCharType="separate"/>
          </w:r>
          <w:r>
            <w:rPr>
              <w:rFonts w:hint="eastAsia"/>
            </w:rPr>
            <w:t xml:space="preserve">4.4 </w:t>
          </w:r>
          <w:r>
            <w:rPr>
              <w:rFonts w:ascii="Songti SC" w:hAnsi="Songti SC" w:eastAsia="Songti SC" w:cs="Songti SC"/>
            </w:rPr>
            <w:t>数据资源需求分析</w:t>
          </w:r>
          <w:r>
            <w:tab/>
          </w:r>
          <w:r>
            <w:fldChar w:fldCharType="begin"/>
          </w:r>
          <w:r>
            <w:instrText xml:space="preserve"> PAGEREF _Toc729122222 \h </w:instrText>
          </w:r>
          <w:r>
            <w:fldChar w:fldCharType="separate"/>
          </w:r>
          <w:r>
            <w:t>33</w:t>
          </w:r>
          <w:r>
            <w:fldChar w:fldCharType="end"/>
          </w:r>
          <w:r>
            <w:rPr>
              <w:rFonts w:hint="eastAsia" w:ascii="Songti SC" w:hAnsi="Songti SC" w:eastAsia="Songti SC" w:cs="Songti SC"/>
              <w:color w:val="000000"/>
              <w:szCs w:val="36"/>
            </w:rPr>
            <w:fldChar w:fldCharType="end"/>
          </w:r>
        </w:p>
        <w:p w14:paraId="18EBFA25">
          <w:pPr>
            <w:pStyle w:val="50"/>
            <w:tabs>
              <w:tab w:val="right" w:leader="dot" w:pos="8121"/>
            </w:tabs>
          </w:pPr>
          <w:r>
            <w:rPr>
              <w:rFonts w:hint="eastAsia" w:ascii="Songti SC" w:hAnsi="Songti SC" w:eastAsia="Songti SC" w:cs="Songti SC"/>
              <w:color w:val="000000"/>
              <w:szCs w:val="36"/>
            </w:rPr>
            <w:fldChar w:fldCharType="begin"/>
          </w:r>
          <w:r>
            <w:rPr>
              <w:rFonts w:hint="eastAsia" w:ascii="Songti SC" w:hAnsi="Songti SC" w:eastAsia="Songti SC" w:cs="Songti SC"/>
              <w:szCs w:val="36"/>
            </w:rPr>
            <w:instrText xml:space="preserve"> HYPERLINK \l _Toc815495372 </w:instrText>
          </w:r>
          <w:r>
            <w:rPr>
              <w:rFonts w:hint="eastAsia" w:ascii="Songti SC" w:hAnsi="Songti SC" w:eastAsia="Songti SC" w:cs="Songti SC"/>
              <w:szCs w:val="36"/>
            </w:rPr>
            <w:fldChar w:fldCharType="separate"/>
          </w:r>
          <w:r>
            <w:rPr>
              <w:rFonts w:hint="eastAsia"/>
            </w:rPr>
            <w:t xml:space="preserve">4.5 </w:t>
          </w:r>
          <w:r>
            <w:rPr>
              <w:rFonts w:ascii="Songti SC" w:hAnsi="Songti SC" w:eastAsia="Songti SC" w:cs="Songti SC"/>
            </w:rPr>
            <w:t>运行环境兼容适配需求分析</w:t>
          </w:r>
          <w:r>
            <w:tab/>
          </w:r>
          <w:r>
            <w:fldChar w:fldCharType="begin"/>
          </w:r>
          <w:r>
            <w:instrText xml:space="preserve"> PAGEREF _Toc815495372 \h </w:instrText>
          </w:r>
          <w:r>
            <w:fldChar w:fldCharType="separate"/>
          </w:r>
          <w:r>
            <w:t>33</w:t>
          </w:r>
          <w:r>
            <w:fldChar w:fldCharType="end"/>
          </w:r>
          <w:r>
            <w:rPr>
              <w:rFonts w:hint="eastAsia" w:ascii="Songti SC" w:hAnsi="Songti SC" w:eastAsia="Songti SC" w:cs="Songti SC"/>
              <w:color w:val="000000"/>
              <w:szCs w:val="36"/>
            </w:rPr>
            <w:fldChar w:fldCharType="end"/>
          </w:r>
        </w:p>
        <w:p w14:paraId="1256CC9D">
          <w:pPr>
            <w:pStyle w:val="29"/>
            <w:tabs>
              <w:tab w:val="right" w:leader="dot" w:pos="8121"/>
            </w:tabs>
          </w:pPr>
          <w:r>
            <w:rPr>
              <w:rFonts w:hint="eastAsia" w:ascii="Songti SC" w:hAnsi="Songti SC" w:eastAsia="Songti SC" w:cs="Songti SC"/>
              <w:color w:val="000000"/>
              <w:szCs w:val="36"/>
            </w:rPr>
            <w:fldChar w:fldCharType="begin"/>
          </w:r>
          <w:r>
            <w:rPr>
              <w:rFonts w:hint="eastAsia" w:ascii="Songti SC" w:hAnsi="Songti SC" w:eastAsia="Songti SC" w:cs="Songti SC"/>
              <w:szCs w:val="36"/>
            </w:rPr>
            <w:instrText xml:space="preserve"> HYPERLINK \l _Toc790082050 </w:instrText>
          </w:r>
          <w:r>
            <w:rPr>
              <w:rFonts w:hint="eastAsia" w:ascii="Songti SC" w:hAnsi="Songti SC" w:eastAsia="Songti SC" w:cs="Songti SC"/>
              <w:szCs w:val="36"/>
            </w:rPr>
            <w:fldChar w:fldCharType="separate"/>
          </w:r>
          <w:r>
            <w:rPr>
              <w:rFonts w:hint="eastAsia"/>
            </w:rPr>
            <w:t xml:space="preserve">4.5.1 </w:t>
          </w:r>
          <w:r>
            <w:rPr>
              <w:rFonts w:ascii="Songti SC" w:hAnsi="Songti SC" w:eastAsia="Songti SC" w:cs="Songti SC"/>
            </w:rPr>
            <w:t>操作系统适配需求</w:t>
          </w:r>
          <w:r>
            <w:tab/>
          </w:r>
          <w:r>
            <w:fldChar w:fldCharType="begin"/>
          </w:r>
          <w:r>
            <w:instrText xml:space="preserve"> PAGEREF _Toc790082050 \h </w:instrText>
          </w:r>
          <w:r>
            <w:fldChar w:fldCharType="separate"/>
          </w:r>
          <w:r>
            <w:t>34</w:t>
          </w:r>
          <w:r>
            <w:fldChar w:fldCharType="end"/>
          </w:r>
          <w:r>
            <w:rPr>
              <w:rFonts w:hint="eastAsia" w:ascii="Songti SC" w:hAnsi="Songti SC" w:eastAsia="Songti SC" w:cs="Songti SC"/>
              <w:color w:val="000000"/>
              <w:szCs w:val="36"/>
            </w:rPr>
            <w:fldChar w:fldCharType="end"/>
          </w:r>
        </w:p>
        <w:p w14:paraId="21C22838">
          <w:pPr>
            <w:pStyle w:val="29"/>
            <w:tabs>
              <w:tab w:val="right" w:leader="dot" w:pos="8121"/>
            </w:tabs>
          </w:pPr>
          <w:r>
            <w:rPr>
              <w:rFonts w:hint="eastAsia" w:ascii="Songti SC" w:hAnsi="Songti SC" w:eastAsia="Songti SC" w:cs="Songti SC"/>
              <w:color w:val="000000"/>
              <w:szCs w:val="36"/>
            </w:rPr>
            <w:fldChar w:fldCharType="begin"/>
          </w:r>
          <w:r>
            <w:rPr>
              <w:rFonts w:hint="eastAsia" w:ascii="Songti SC" w:hAnsi="Songti SC" w:eastAsia="Songti SC" w:cs="Songti SC"/>
              <w:szCs w:val="36"/>
            </w:rPr>
            <w:instrText xml:space="preserve"> HYPERLINK \l _Toc1017624949 </w:instrText>
          </w:r>
          <w:r>
            <w:rPr>
              <w:rFonts w:hint="eastAsia" w:ascii="Songti SC" w:hAnsi="Songti SC" w:eastAsia="Songti SC" w:cs="Songti SC"/>
              <w:szCs w:val="36"/>
            </w:rPr>
            <w:fldChar w:fldCharType="separate"/>
          </w:r>
          <w:r>
            <w:rPr>
              <w:rFonts w:hint="eastAsia"/>
            </w:rPr>
            <w:t xml:space="preserve">4.5.2 </w:t>
          </w:r>
          <w:r>
            <w:rPr>
              <w:rFonts w:ascii="Songti SC" w:hAnsi="Songti SC" w:eastAsia="Songti SC" w:cs="Songti SC"/>
            </w:rPr>
            <w:t>数据库适配需求</w:t>
          </w:r>
          <w:r>
            <w:tab/>
          </w:r>
          <w:r>
            <w:fldChar w:fldCharType="begin"/>
          </w:r>
          <w:r>
            <w:instrText xml:space="preserve"> PAGEREF _Toc1017624949 \h </w:instrText>
          </w:r>
          <w:r>
            <w:fldChar w:fldCharType="separate"/>
          </w:r>
          <w:r>
            <w:t>34</w:t>
          </w:r>
          <w:r>
            <w:fldChar w:fldCharType="end"/>
          </w:r>
          <w:r>
            <w:rPr>
              <w:rFonts w:hint="eastAsia" w:ascii="Songti SC" w:hAnsi="Songti SC" w:eastAsia="Songti SC" w:cs="Songti SC"/>
              <w:color w:val="000000"/>
              <w:szCs w:val="36"/>
            </w:rPr>
            <w:fldChar w:fldCharType="end"/>
          </w:r>
        </w:p>
        <w:p w14:paraId="17CED5C3">
          <w:pPr>
            <w:pStyle w:val="29"/>
            <w:tabs>
              <w:tab w:val="right" w:leader="dot" w:pos="8121"/>
            </w:tabs>
          </w:pPr>
          <w:r>
            <w:rPr>
              <w:rFonts w:hint="eastAsia" w:ascii="Songti SC" w:hAnsi="Songti SC" w:eastAsia="Songti SC" w:cs="Songti SC"/>
              <w:color w:val="000000"/>
              <w:szCs w:val="36"/>
            </w:rPr>
            <w:fldChar w:fldCharType="begin"/>
          </w:r>
          <w:r>
            <w:rPr>
              <w:rFonts w:hint="eastAsia" w:ascii="Songti SC" w:hAnsi="Songti SC" w:eastAsia="Songti SC" w:cs="Songti SC"/>
              <w:szCs w:val="36"/>
            </w:rPr>
            <w:instrText xml:space="preserve"> HYPERLINK \l _Toc662753135 </w:instrText>
          </w:r>
          <w:r>
            <w:rPr>
              <w:rFonts w:hint="eastAsia" w:ascii="Songti SC" w:hAnsi="Songti SC" w:eastAsia="Songti SC" w:cs="Songti SC"/>
              <w:szCs w:val="36"/>
            </w:rPr>
            <w:fldChar w:fldCharType="separate"/>
          </w:r>
          <w:r>
            <w:rPr>
              <w:rFonts w:hint="eastAsia"/>
              <w:lang w:eastAsia="zh-CN"/>
            </w:rPr>
            <w:t xml:space="preserve">4.5.3 </w:t>
          </w:r>
          <w:r>
            <w:rPr>
              <w:rFonts w:ascii="Songti SC" w:hAnsi="Songti SC" w:eastAsia="Songti SC" w:cs="Songti SC"/>
              <w:lang w:eastAsia="zh-CN"/>
            </w:rPr>
            <w:t>中间件及应用软件适配需求</w:t>
          </w:r>
          <w:r>
            <w:tab/>
          </w:r>
          <w:r>
            <w:fldChar w:fldCharType="begin"/>
          </w:r>
          <w:r>
            <w:instrText xml:space="preserve"> PAGEREF _Toc662753135 \h </w:instrText>
          </w:r>
          <w:r>
            <w:fldChar w:fldCharType="separate"/>
          </w:r>
          <w:r>
            <w:t>34</w:t>
          </w:r>
          <w:r>
            <w:fldChar w:fldCharType="end"/>
          </w:r>
          <w:r>
            <w:rPr>
              <w:rFonts w:hint="eastAsia" w:ascii="Songti SC" w:hAnsi="Songti SC" w:eastAsia="Songti SC" w:cs="Songti SC"/>
              <w:color w:val="000000"/>
              <w:szCs w:val="36"/>
            </w:rPr>
            <w:fldChar w:fldCharType="end"/>
          </w:r>
        </w:p>
        <w:p w14:paraId="2F5086C0">
          <w:pPr>
            <w:pStyle w:val="29"/>
            <w:tabs>
              <w:tab w:val="right" w:leader="dot" w:pos="8121"/>
            </w:tabs>
          </w:pPr>
          <w:r>
            <w:rPr>
              <w:rFonts w:hint="eastAsia" w:ascii="Songti SC" w:hAnsi="Songti SC" w:eastAsia="Songti SC" w:cs="Songti SC"/>
              <w:color w:val="000000"/>
              <w:szCs w:val="36"/>
            </w:rPr>
            <w:fldChar w:fldCharType="begin"/>
          </w:r>
          <w:r>
            <w:rPr>
              <w:rFonts w:hint="eastAsia" w:ascii="Songti SC" w:hAnsi="Songti SC" w:eastAsia="Songti SC" w:cs="Songti SC"/>
              <w:szCs w:val="36"/>
            </w:rPr>
            <w:instrText xml:space="preserve"> HYPERLINK \l _Toc2041746603 </w:instrText>
          </w:r>
          <w:r>
            <w:rPr>
              <w:rFonts w:hint="eastAsia" w:ascii="Songti SC" w:hAnsi="Songti SC" w:eastAsia="Songti SC" w:cs="Songti SC"/>
              <w:szCs w:val="36"/>
            </w:rPr>
            <w:fldChar w:fldCharType="separate"/>
          </w:r>
          <w:r>
            <w:rPr>
              <w:rFonts w:hint="eastAsia"/>
            </w:rPr>
            <w:t xml:space="preserve">4.5.4 </w:t>
          </w:r>
          <w:r>
            <w:rPr>
              <w:rFonts w:ascii="Songti SC" w:hAnsi="Songti SC" w:eastAsia="Songti SC" w:cs="Songti SC"/>
            </w:rPr>
            <w:t>浏览器兼容需求</w:t>
          </w:r>
          <w:r>
            <w:tab/>
          </w:r>
          <w:r>
            <w:fldChar w:fldCharType="begin"/>
          </w:r>
          <w:r>
            <w:instrText xml:space="preserve"> PAGEREF _Toc2041746603 \h </w:instrText>
          </w:r>
          <w:r>
            <w:fldChar w:fldCharType="separate"/>
          </w:r>
          <w:r>
            <w:t>35</w:t>
          </w:r>
          <w:r>
            <w:fldChar w:fldCharType="end"/>
          </w:r>
          <w:r>
            <w:rPr>
              <w:rFonts w:hint="eastAsia" w:ascii="Songti SC" w:hAnsi="Songti SC" w:eastAsia="Songti SC" w:cs="Songti SC"/>
              <w:color w:val="000000"/>
              <w:szCs w:val="36"/>
            </w:rPr>
            <w:fldChar w:fldCharType="end"/>
          </w:r>
        </w:p>
        <w:p w14:paraId="05D6A86F">
          <w:pPr>
            <w:pStyle w:val="50"/>
            <w:tabs>
              <w:tab w:val="right" w:leader="dot" w:pos="8121"/>
            </w:tabs>
          </w:pPr>
          <w:r>
            <w:rPr>
              <w:rFonts w:hint="eastAsia" w:ascii="Songti SC" w:hAnsi="Songti SC" w:eastAsia="Songti SC" w:cs="Songti SC"/>
              <w:color w:val="000000"/>
              <w:szCs w:val="36"/>
            </w:rPr>
            <w:fldChar w:fldCharType="begin"/>
          </w:r>
          <w:r>
            <w:rPr>
              <w:rFonts w:hint="eastAsia" w:ascii="Songti SC" w:hAnsi="Songti SC" w:eastAsia="Songti SC" w:cs="Songti SC"/>
              <w:szCs w:val="36"/>
            </w:rPr>
            <w:instrText xml:space="preserve"> HYPERLINK \l _Toc993961208 </w:instrText>
          </w:r>
          <w:r>
            <w:rPr>
              <w:rFonts w:hint="eastAsia" w:ascii="Songti SC" w:hAnsi="Songti SC" w:eastAsia="Songti SC" w:cs="Songti SC"/>
              <w:szCs w:val="36"/>
            </w:rPr>
            <w:fldChar w:fldCharType="separate"/>
          </w:r>
          <w:r>
            <w:rPr>
              <w:rFonts w:hint="eastAsia"/>
              <w:lang w:eastAsia="zh-CN"/>
            </w:rPr>
            <w:t xml:space="preserve">4.6 </w:t>
          </w:r>
          <w:r>
            <w:rPr>
              <w:rFonts w:ascii="Songti SC" w:hAnsi="Songti SC" w:eastAsia="Songti SC" w:cs="Songti SC"/>
              <w:lang w:eastAsia="zh-CN"/>
            </w:rPr>
            <w:t>外部接口与线上充值需求分析</w:t>
          </w:r>
          <w:r>
            <w:tab/>
          </w:r>
          <w:r>
            <w:fldChar w:fldCharType="begin"/>
          </w:r>
          <w:r>
            <w:instrText xml:space="preserve"> PAGEREF _Toc993961208 \h </w:instrText>
          </w:r>
          <w:r>
            <w:fldChar w:fldCharType="separate"/>
          </w:r>
          <w:r>
            <w:t>35</w:t>
          </w:r>
          <w:r>
            <w:fldChar w:fldCharType="end"/>
          </w:r>
          <w:r>
            <w:rPr>
              <w:rFonts w:hint="eastAsia" w:ascii="Songti SC" w:hAnsi="Songti SC" w:eastAsia="Songti SC" w:cs="Songti SC"/>
              <w:color w:val="000000"/>
              <w:szCs w:val="36"/>
            </w:rPr>
            <w:fldChar w:fldCharType="end"/>
          </w:r>
        </w:p>
        <w:p w14:paraId="7E6D75CE">
          <w:pPr>
            <w:pStyle w:val="29"/>
            <w:tabs>
              <w:tab w:val="right" w:leader="dot" w:pos="8121"/>
            </w:tabs>
          </w:pPr>
          <w:r>
            <w:rPr>
              <w:rFonts w:hint="eastAsia" w:ascii="Songti SC" w:hAnsi="Songti SC" w:eastAsia="Songti SC" w:cs="Songti SC"/>
              <w:color w:val="000000"/>
              <w:szCs w:val="36"/>
            </w:rPr>
            <w:fldChar w:fldCharType="begin"/>
          </w:r>
          <w:r>
            <w:rPr>
              <w:rFonts w:hint="eastAsia" w:ascii="Songti SC" w:hAnsi="Songti SC" w:eastAsia="Songti SC" w:cs="Songti SC"/>
              <w:szCs w:val="36"/>
            </w:rPr>
            <w:instrText xml:space="preserve"> HYPERLINK \l _Toc230732843 </w:instrText>
          </w:r>
          <w:r>
            <w:rPr>
              <w:rFonts w:hint="eastAsia" w:ascii="Songti SC" w:hAnsi="Songti SC" w:eastAsia="Songti SC" w:cs="Songti SC"/>
              <w:szCs w:val="36"/>
            </w:rPr>
            <w:fldChar w:fldCharType="separate"/>
          </w:r>
          <w:r>
            <w:rPr>
              <w:rFonts w:hint="eastAsia"/>
            </w:rPr>
            <w:t xml:space="preserve">4.6.1 </w:t>
          </w:r>
          <w:r>
            <w:rPr>
              <w:rFonts w:ascii="Songti SC" w:hAnsi="Songti SC" w:eastAsia="Songti SC" w:cs="Songti SC"/>
            </w:rPr>
            <w:t>线上充值完整链路需求</w:t>
          </w:r>
          <w:r>
            <w:tab/>
          </w:r>
          <w:r>
            <w:fldChar w:fldCharType="begin"/>
          </w:r>
          <w:r>
            <w:instrText xml:space="preserve"> PAGEREF _Toc230732843 \h </w:instrText>
          </w:r>
          <w:r>
            <w:fldChar w:fldCharType="separate"/>
          </w:r>
          <w:r>
            <w:t>35</w:t>
          </w:r>
          <w:r>
            <w:fldChar w:fldCharType="end"/>
          </w:r>
          <w:r>
            <w:rPr>
              <w:rFonts w:hint="eastAsia" w:ascii="Songti SC" w:hAnsi="Songti SC" w:eastAsia="Songti SC" w:cs="Songti SC"/>
              <w:color w:val="000000"/>
              <w:szCs w:val="36"/>
            </w:rPr>
            <w:fldChar w:fldCharType="end"/>
          </w:r>
        </w:p>
        <w:p w14:paraId="32E259C7">
          <w:pPr>
            <w:pStyle w:val="50"/>
            <w:tabs>
              <w:tab w:val="right" w:leader="dot" w:pos="8121"/>
            </w:tabs>
          </w:pPr>
          <w:r>
            <w:rPr>
              <w:rFonts w:hint="eastAsia" w:ascii="Songti SC" w:hAnsi="Songti SC" w:eastAsia="Songti SC" w:cs="Songti SC"/>
              <w:color w:val="000000"/>
              <w:szCs w:val="36"/>
            </w:rPr>
            <w:fldChar w:fldCharType="begin"/>
          </w:r>
          <w:r>
            <w:rPr>
              <w:rFonts w:hint="eastAsia" w:ascii="Songti SC" w:hAnsi="Songti SC" w:eastAsia="Songti SC" w:cs="Songti SC"/>
              <w:szCs w:val="36"/>
            </w:rPr>
            <w:instrText xml:space="preserve"> HYPERLINK \l _Toc1718909466 </w:instrText>
          </w:r>
          <w:r>
            <w:rPr>
              <w:rFonts w:hint="eastAsia" w:ascii="Songti SC" w:hAnsi="Songti SC" w:eastAsia="Songti SC" w:cs="Songti SC"/>
              <w:szCs w:val="36"/>
            </w:rPr>
            <w:fldChar w:fldCharType="separate"/>
          </w:r>
          <w:r>
            <w:rPr>
              <w:rFonts w:hint="eastAsia" w:ascii="Songti SC" w:hAnsi="Songti SC" w:eastAsia="Songti SC" w:cs="Songti SC"/>
              <w:lang w:eastAsia="zh-CN"/>
            </w:rPr>
            <w:t xml:space="preserve">4.7 </w:t>
          </w:r>
          <w:r>
            <w:rPr>
              <w:rFonts w:ascii="Songti SC" w:hAnsi="Songti SC" w:eastAsia="Songti SC" w:cs="Songti SC"/>
              <w:lang w:eastAsia="zh-CN"/>
            </w:rPr>
            <w:t>消费终端更新及接入适配需求分析</w:t>
          </w:r>
          <w:r>
            <w:tab/>
          </w:r>
          <w:r>
            <w:fldChar w:fldCharType="begin"/>
          </w:r>
          <w:r>
            <w:instrText xml:space="preserve"> PAGEREF _Toc1718909466 \h </w:instrText>
          </w:r>
          <w:r>
            <w:fldChar w:fldCharType="separate"/>
          </w:r>
          <w:r>
            <w:t>36</w:t>
          </w:r>
          <w:r>
            <w:fldChar w:fldCharType="end"/>
          </w:r>
          <w:r>
            <w:rPr>
              <w:rFonts w:hint="eastAsia" w:ascii="Songti SC" w:hAnsi="Songti SC" w:eastAsia="Songti SC" w:cs="Songti SC"/>
              <w:color w:val="000000"/>
              <w:szCs w:val="36"/>
            </w:rPr>
            <w:fldChar w:fldCharType="end"/>
          </w:r>
        </w:p>
        <w:p w14:paraId="7ED54D65">
          <w:pPr>
            <w:pStyle w:val="29"/>
            <w:tabs>
              <w:tab w:val="right" w:leader="dot" w:pos="8121"/>
            </w:tabs>
          </w:pPr>
          <w:r>
            <w:rPr>
              <w:rFonts w:hint="eastAsia" w:ascii="Songti SC" w:hAnsi="Songti SC" w:eastAsia="Songti SC" w:cs="Songti SC"/>
              <w:color w:val="000000"/>
              <w:szCs w:val="36"/>
            </w:rPr>
            <w:fldChar w:fldCharType="begin"/>
          </w:r>
          <w:r>
            <w:rPr>
              <w:rFonts w:hint="eastAsia" w:ascii="Songti SC" w:hAnsi="Songti SC" w:eastAsia="Songti SC" w:cs="Songti SC"/>
              <w:szCs w:val="36"/>
            </w:rPr>
            <w:instrText xml:space="preserve"> HYPERLINK \l _Toc1761375618 </w:instrText>
          </w:r>
          <w:r>
            <w:rPr>
              <w:rFonts w:hint="eastAsia" w:ascii="Songti SC" w:hAnsi="Songti SC" w:eastAsia="Songti SC" w:cs="Songti SC"/>
              <w:szCs w:val="36"/>
            </w:rPr>
            <w:fldChar w:fldCharType="separate"/>
          </w:r>
          <w:r>
            <w:rPr>
              <w:rFonts w:hint="eastAsia"/>
              <w:lang w:eastAsia="zh-CN"/>
            </w:rPr>
            <w:t xml:space="preserve">4.7.1 </w:t>
          </w:r>
          <w:r>
            <w:rPr>
              <w:rFonts w:ascii="Songti SC" w:hAnsi="Songti SC" w:eastAsia="Songti SC" w:cs="Songti SC"/>
              <w:lang w:eastAsia="zh-CN"/>
            </w:rPr>
            <w:t>消费机软件功能适配需求</w:t>
          </w:r>
          <w:r>
            <w:tab/>
          </w:r>
          <w:r>
            <w:fldChar w:fldCharType="begin"/>
          </w:r>
          <w:r>
            <w:instrText xml:space="preserve"> PAGEREF _Toc1761375618 \h </w:instrText>
          </w:r>
          <w:r>
            <w:fldChar w:fldCharType="separate"/>
          </w:r>
          <w:r>
            <w:t>37</w:t>
          </w:r>
          <w:r>
            <w:fldChar w:fldCharType="end"/>
          </w:r>
          <w:r>
            <w:rPr>
              <w:rFonts w:hint="eastAsia" w:ascii="Songti SC" w:hAnsi="Songti SC" w:eastAsia="Songti SC" w:cs="Songti SC"/>
              <w:color w:val="000000"/>
              <w:szCs w:val="36"/>
            </w:rPr>
            <w:fldChar w:fldCharType="end"/>
          </w:r>
        </w:p>
        <w:p w14:paraId="2386EC7A">
          <w:pPr>
            <w:pStyle w:val="29"/>
            <w:tabs>
              <w:tab w:val="right" w:leader="dot" w:pos="8121"/>
            </w:tabs>
          </w:pPr>
          <w:r>
            <w:rPr>
              <w:rFonts w:hint="eastAsia" w:ascii="Songti SC" w:hAnsi="Songti SC" w:eastAsia="Songti SC" w:cs="Songti SC"/>
              <w:color w:val="000000"/>
              <w:szCs w:val="36"/>
            </w:rPr>
            <w:fldChar w:fldCharType="begin"/>
          </w:r>
          <w:r>
            <w:rPr>
              <w:rFonts w:hint="eastAsia" w:ascii="Songti SC" w:hAnsi="Songti SC" w:eastAsia="Songti SC" w:cs="Songti SC"/>
              <w:szCs w:val="36"/>
            </w:rPr>
            <w:instrText xml:space="preserve"> HYPERLINK \l _Toc377937831 </w:instrText>
          </w:r>
          <w:r>
            <w:rPr>
              <w:rFonts w:hint="eastAsia" w:ascii="Songti SC" w:hAnsi="Songti SC" w:eastAsia="Songti SC" w:cs="Songti SC"/>
              <w:szCs w:val="36"/>
            </w:rPr>
            <w:fldChar w:fldCharType="separate"/>
          </w:r>
          <w:r>
            <w:rPr>
              <w:rFonts w:hint="eastAsia"/>
            </w:rPr>
            <w:t xml:space="preserve">4.7.2 </w:t>
          </w:r>
          <w:r>
            <w:rPr>
              <w:rFonts w:ascii="Songti SC" w:hAnsi="Songti SC" w:eastAsia="Songti SC" w:cs="Songti SC"/>
            </w:rPr>
            <w:t>消费机分批接入需求</w:t>
          </w:r>
          <w:r>
            <w:tab/>
          </w:r>
          <w:r>
            <w:fldChar w:fldCharType="begin"/>
          </w:r>
          <w:r>
            <w:instrText xml:space="preserve"> PAGEREF _Toc377937831 \h </w:instrText>
          </w:r>
          <w:r>
            <w:fldChar w:fldCharType="separate"/>
          </w:r>
          <w:r>
            <w:t>37</w:t>
          </w:r>
          <w:r>
            <w:fldChar w:fldCharType="end"/>
          </w:r>
          <w:r>
            <w:rPr>
              <w:rFonts w:hint="eastAsia" w:ascii="Songti SC" w:hAnsi="Songti SC" w:eastAsia="Songti SC" w:cs="Songti SC"/>
              <w:color w:val="000000"/>
              <w:szCs w:val="36"/>
            </w:rPr>
            <w:fldChar w:fldCharType="end"/>
          </w:r>
        </w:p>
        <w:p w14:paraId="4DDBC9CC">
          <w:pPr>
            <w:pStyle w:val="50"/>
            <w:tabs>
              <w:tab w:val="right" w:leader="dot" w:pos="8121"/>
            </w:tabs>
          </w:pPr>
          <w:r>
            <w:rPr>
              <w:rFonts w:hint="eastAsia" w:ascii="Songti SC" w:hAnsi="Songti SC" w:eastAsia="Songti SC" w:cs="Songti SC"/>
              <w:color w:val="000000"/>
              <w:szCs w:val="36"/>
            </w:rPr>
            <w:fldChar w:fldCharType="begin"/>
          </w:r>
          <w:r>
            <w:rPr>
              <w:rFonts w:hint="eastAsia" w:ascii="Songti SC" w:hAnsi="Songti SC" w:eastAsia="Songti SC" w:cs="Songti SC"/>
              <w:szCs w:val="36"/>
            </w:rPr>
            <w:instrText xml:space="preserve"> HYPERLINK \l _Toc1891981438 </w:instrText>
          </w:r>
          <w:r>
            <w:rPr>
              <w:rFonts w:hint="eastAsia" w:ascii="Songti SC" w:hAnsi="Songti SC" w:eastAsia="Songti SC" w:cs="Songti SC"/>
              <w:szCs w:val="36"/>
            </w:rPr>
            <w:fldChar w:fldCharType="separate"/>
          </w:r>
          <w:r>
            <w:rPr>
              <w:rFonts w:hint="eastAsia"/>
            </w:rPr>
            <w:t xml:space="preserve">4.8 </w:t>
          </w:r>
          <w:r>
            <w:rPr>
              <w:rFonts w:ascii="Songti SC" w:hAnsi="Songti SC" w:eastAsia="Songti SC" w:cs="Songti SC"/>
            </w:rPr>
            <w:t>需求安全分析</w:t>
          </w:r>
          <w:r>
            <w:tab/>
          </w:r>
          <w:r>
            <w:fldChar w:fldCharType="begin"/>
          </w:r>
          <w:r>
            <w:instrText xml:space="preserve"> PAGEREF _Toc1891981438 \h </w:instrText>
          </w:r>
          <w:r>
            <w:fldChar w:fldCharType="separate"/>
          </w:r>
          <w:r>
            <w:t>38</w:t>
          </w:r>
          <w:r>
            <w:fldChar w:fldCharType="end"/>
          </w:r>
          <w:r>
            <w:rPr>
              <w:rFonts w:hint="eastAsia" w:ascii="Songti SC" w:hAnsi="Songti SC" w:eastAsia="Songti SC" w:cs="Songti SC"/>
              <w:color w:val="000000"/>
              <w:szCs w:val="36"/>
            </w:rPr>
            <w:fldChar w:fldCharType="end"/>
          </w:r>
        </w:p>
        <w:p w14:paraId="42E64853">
          <w:pPr>
            <w:pStyle w:val="29"/>
            <w:tabs>
              <w:tab w:val="right" w:leader="dot" w:pos="8121"/>
            </w:tabs>
          </w:pPr>
          <w:r>
            <w:rPr>
              <w:rFonts w:hint="eastAsia" w:ascii="Songti SC" w:hAnsi="Songti SC" w:eastAsia="Songti SC" w:cs="Songti SC"/>
              <w:color w:val="000000"/>
              <w:szCs w:val="36"/>
            </w:rPr>
            <w:fldChar w:fldCharType="begin"/>
          </w:r>
          <w:r>
            <w:rPr>
              <w:rFonts w:hint="eastAsia" w:ascii="Songti SC" w:hAnsi="Songti SC" w:eastAsia="Songti SC" w:cs="Songti SC"/>
              <w:szCs w:val="36"/>
            </w:rPr>
            <w:instrText xml:space="preserve"> HYPERLINK \l _Toc741667337 </w:instrText>
          </w:r>
          <w:r>
            <w:rPr>
              <w:rFonts w:hint="eastAsia" w:ascii="Songti SC" w:hAnsi="Songti SC" w:eastAsia="Songti SC" w:cs="Songti SC"/>
              <w:szCs w:val="36"/>
            </w:rPr>
            <w:fldChar w:fldCharType="separate"/>
          </w:r>
          <w:r>
            <w:rPr>
              <w:rFonts w:hint="eastAsia"/>
            </w:rPr>
            <w:t xml:space="preserve">4.8.1 </w:t>
          </w:r>
          <w:r>
            <w:rPr>
              <w:rFonts w:hint="eastAsia"/>
              <w:lang w:eastAsia="zh-CN"/>
            </w:rPr>
            <w:t>安全物理环境需求</w:t>
          </w:r>
          <w:r>
            <w:tab/>
          </w:r>
          <w:r>
            <w:fldChar w:fldCharType="begin"/>
          </w:r>
          <w:r>
            <w:instrText xml:space="preserve"> PAGEREF _Toc741667337 \h </w:instrText>
          </w:r>
          <w:r>
            <w:fldChar w:fldCharType="separate"/>
          </w:r>
          <w:r>
            <w:t>38</w:t>
          </w:r>
          <w:r>
            <w:fldChar w:fldCharType="end"/>
          </w:r>
          <w:r>
            <w:rPr>
              <w:rFonts w:hint="eastAsia" w:ascii="Songti SC" w:hAnsi="Songti SC" w:eastAsia="Songti SC" w:cs="Songti SC"/>
              <w:color w:val="000000"/>
              <w:szCs w:val="36"/>
            </w:rPr>
            <w:fldChar w:fldCharType="end"/>
          </w:r>
        </w:p>
        <w:p w14:paraId="76CC4F65">
          <w:pPr>
            <w:pStyle w:val="29"/>
            <w:tabs>
              <w:tab w:val="right" w:leader="dot" w:pos="8121"/>
            </w:tabs>
          </w:pPr>
          <w:r>
            <w:rPr>
              <w:rFonts w:hint="eastAsia" w:ascii="Songti SC" w:hAnsi="Songti SC" w:eastAsia="Songti SC" w:cs="Songti SC"/>
              <w:color w:val="000000"/>
              <w:szCs w:val="36"/>
            </w:rPr>
            <w:fldChar w:fldCharType="begin"/>
          </w:r>
          <w:r>
            <w:rPr>
              <w:rFonts w:hint="eastAsia" w:ascii="Songti SC" w:hAnsi="Songti SC" w:eastAsia="Songti SC" w:cs="Songti SC"/>
              <w:szCs w:val="36"/>
            </w:rPr>
            <w:instrText xml:space="preserve"> HYPERLINK \l _Toc1207845771 </w:instrText>
          </w:r>
          <w:r>
            <w:rPr>
              <w:rFonts w:hint="eastAsia" w:ascii="Songti SC" w:hAnsi="Songti SC" w:eastAsia="Songti SC" w:cs="Songti SC"/>
              <w:szCs w:val="36"/>
            </w:rPr>
            <w:fldChar w:fldCharType="separate"/>
          </w:r>
          <w:r>
            <w:rPr>
              <w:rFonts w:hint="eastAsia"/>
            </w:rPr>
            <w:t xml:space="preserve">4.8.2 </w:t>
          </w:r>
          <w:r>
            <w:rPr>
              <w:rFonts w:hint="eastAsia"/>
              <w:lang w:eastAsia="zh-CN"/>
            </w:rPr>
            <w:t>安全通信网络需求</w:t>
          </w:r>
          <w:r>
            <w:tab/>
          </w:r>
          <w:r>
            <w:fldChar w:fldCharType="begin"/>
          </w:r>
          <w:r>
            <w:instrText xml:space="preserve"> PAGEREF _Toc1207845771 \h </w:instrText>
          </w:r>
          <w:r>
            <w:fldChar w:fldCharType="separate"/>
          </w:r>
          <w:r>
            <w:t>38</w:t>
          </w:r>
          <w:r>
            <w:fldChar w:fldCharType="end"/>
          </w:r>
          <w:r>
            <w:rPr>
              <w:rFonts w:hint="eastAsia" w:ascii="Songti SC" w:hAnsi="Songti SC" w:eastAsia="Songti SC" w:cs="Songti SC"/>
              <w:color w:val="000000"/>
              <w:szCs w:val="36"/>
            </w:rPr>
            <w:fldChar w:fldCharType="end"/>
          </w:r>
        </w:p>
        <w:p w14:paraId="61A22BCD">
          <w:pPr>
            <w:pStyle w:val="29"/>
            <w:tabs>
              <w:tab w:val="right" w:leader="dot" w:pos="8121"/>
            </w:tabs>
          </w:pPr>
          <w:r>
            <w:rPr>
              <w:rFonts w:hint="eastAsia" w:ascii="Songti SC" w:hAnsi="Songti SC" w:eastAsia="Songti SC" w:cs="Songti SC"/>
              <w:color w:val="000000"/>
              <w:szCs w:val="36"/>
            </w:rPr>
            <w:fldChar w:fldCharType="begin"/>
          </w:r>
          <w:r>
            <w:rPr>
              <w:rFonts w:hint="eastAsia" w:ascii="Songti SC" w:hAnsi="Songti SC" w:eastAsia="Songti SC" w:cs="Songti SC"/>
              <w:szCs w:val="36"/>
            </w:rPr>
            <w:instrText xml:space="preserve"> HYPERLINK \l _Toc100958106 </w:instrText>
          </w:r>
          <w:r>
            <w:rPr>
              <w:rFonts w:hint="eastAsia" w:ascii="Songti SC" w:hAnsi="Songti SC" w:eastAsia="Songti SC" w:cs="Songti SC"/>
              <w:szCs w:val="36"/>
            </w:rPr>
            <w:fldChar w:fldCharType="separate"/>
          </w:r>
          <w:r>
            <w:rPr>
              <w:rFonts w:hint="eastAsia"/>
            </w:rPr>
            <w:t xml:space="preserve">4.8.3 </w:t>
          </w:r>
          <w:r>
            <w:rPr>
              <w:rFonts w:hint="eastAsia" w:ascii="Songti SC" w:hAnsi="Songti SC" w:eastAsia="Songti SC" w:cs="Songti SC"/>
              <w:lang w:eastAsia="zh-CN"/>
            </w:rPr>
            <w:t>安全区域边界需求</w:t>
          </w:r>
          <w:r>
            <w:tab/>
          </w:r>
          <w:r>
            <w:fldChar w:fldCharType="begin"/>
          </w:r>
          <w:r>
            <w:instrText xml:space="preserve"> PAGEREF _Toc100958106 \h </w:instrText>
          </w:r>
          <w:r>
            <w:fldChar w:fldCharType="separate"/>
          </w:r>
          <w:r>
            <w:t>38</w:t>
          </w:r>
          <w:r>
            <w:fldChar w:fldCharType="end"/>
          </w:r>
          <w:r>
            <w:rPr>
              <w:rFonts w:hint="eastAsia" w:ascii="Songti SC" w:hAnsi="Songti SC" w:eastAsia="Songti SC" w:cs="Songti SC"/>
              <w:color w:val="000000"/>
              <w:szCs w:val="36"/>
            </w:rPr>
            <w:fldChar w:fldCharType="end"/>
          </w:r>
        </w:p>
        <w:p w14:paraId="673BF676">
          <w:pPr>
            <w:pStyle w:val="29"/>
            <w:tabs>
              <w:tab w:val="right" w:leader="dot" w:pos="8121"/>
            </w:tabs>
          </w:pPr>
          <w:r>
            <w:rPr>
              <w:rFonts w:hint="eastAsia" w:ascii="Songti SC" w:hAnsi="Songti SC" w:eastAsia="Songti SC" w:cs="Songti SC"/>
              <w:color w:val="000000"/>
              <w:szCs w:val="36"/>
            </w:rPr>
            <w:fldChar w:fldCharType="begin"/>
          </w:r>
          <w:r>
            <w:rPr>
              <w:rFonts w:hint="eastAsia" w:ascii="Songti SC" w:hAnsi="Songti SC" w:eastAsia="Songti SC" w:cs="Songti SC"/>
              <w:szCs w:val="36"/>
            </w:rPr>
            <w:instrText xml:space="preserve"> HYPERLINK \l _Toc290806412 </w:instrText>
          </w:r>
          <w:r>
            <w:rPr>
              <w:rFonts w:hint="eastAsia" w:ascii="Songti SC" w:hAnsi="Songti SC" w:eastAsia="Songti SC" w:cs="Songti SC"/>
              <w:szCs w:val="36"/>
            </w:rPr>
            <w:fldChar w:fldCharType="separate"/>
          </w:r>
          <w:r>
            <w:rPr>
              <w:rFonts w:hint="eastAsia"/>
            </w:rPr>
            <w:t xml:space="preserve">4.8.4 </w:t>
          </w:r>
          <w:r>
            <w:rPr>
              <w:rFonts w:hint="eastAsia"/>
              <w:lang w:eastAsia="zh-CN"/>
            </w:rPr>
            <w:t>安全计算环境需求</w:t>
          </w:r>
          <w:r>
            <w:tab/>
          </w:r>
          <w:r>
            <w:fldChar w:fldCharType="begin"/>
          </w:r>
          <w:r>
            <w:instrText xml:space="preserve"> PAGEREF _Toc290806412 \h </w:instrText>
          </w:r>
          <w:r>
            <w:fldChar w:fldCharType="separate"/>
          </w:r>
          <w:r>
            <w:t>39</w:t>
          </w:r>
          <w:r>
            <w:fldChar w:fldCharType="end"/>
          </w:r>
          <w:r>
            <w:rPr>
              <w:rFonts w:hint="eastAsia" w:ascii="Songti SC" w:hAnsi="Songti SC" w:eastAsia="Songti SC" w:cs="Songti SC"/>
              <w:color w:val="000000"/>
              <w:szCs w:val="36"/>
            </w:rPr>
            <w:fldChar w:fldCharType="end"/>
          </w:r>
        </w:p>
        <w:p w14:paraId="583206BF">
          <w:pPr>
            <w:pStyle w:val="29"/>
            <w:tabs>
              <w:tab w:val="right" w:leader="dot" w:pos="8121"/>
            </w:tabs>
          </w:pPr>
          <w:r>
            <w:rPr>
              <w:rFonts w:hint="eastAsia" w:ascii="Songti SC" w:hAnsi="Songti SC" w:eastAsia="Songti SC" w:cs="Songti SC"/>
              <w:color w:val="000000"/>
              <w:szCs w:val="36"/>
            </w:rPr>
            <w:fldChar w:fldCharType="begin"/>
          </w:r>
          <w:r>
            <w:rPr>
              <w:rFonts w:hint="eastAsia" w:ascii="Songti SC" w:hAnsi="Songti SC" w:eastAsia="Songti SC" w:cs="Songti SC"/>
              <w:szCs w:val="36"/>
            </w:rPr>
            <w:instrText xml:space="preserve"> HYPERLINK \l _Toc2058069559 </w:instrText>
          </w:r>
          <w:r>
            <w:rPr>
              <w:rFonts w:hint="eastAsia" w:ascii="Songti SC" w:hAnsi="Songti SC" w:eastAsia="Songti SC" w:cs="Songti SC"/>
              <w:szCs w:val="36"/>
            </w:rPr>
            <w:fldChar w:fldCharType="separate"/>
          </w:r>
          <w:r>
            <w:rPr>
              <w:rFonts w:hint="eastAsia"/>
            </w:rPr>
            <w:t xml:space="preserve">4.8.5 </w:t>
          </w:r>
          <w:r>
            <w:rPr>
              <w:rFonts w:hint="eastAsia"/>
              <w:lang w:eastAsia="zh-CN"/>
            </w:rPr>
            <w:t>安全管理中心需求</w:t>
          </w:r>
          <w:r>
            <w:tab/>
          </w:r>
          <w:r>
            <w:fldChar w:fldCharType="begin"/>
          </w:r>
          <w:r>
            <w:instrText xml:space="preserve"> PAGEREF _Toc2058069559 \h </w:instrText>
          </w:r>
          <w:r>
            <w:fldChar w:fldCharType="separate"/>
          </w:r>
          <w:r>
            <w:t>39</w:t>
          </w:r>
          <w:r>
            <w:fldChar w:fldCharType="end"/>
          </w:r>
          <w:r>
            <w:rPr>
              <w:rFonts w:hint="eastAsia" w:ascii="Songti SC" w:hAnsi="Songti SC" w:eastAsia="Songti SC" w:cs="Songti SC"/>
              <w:color w:val="000000"/>
              <w:szCs w:val="36"/>
            </w:rPr>
            <w:fldChar w:fldCharType="end"/>
          </w:r>
        </w:p>
        <w:p w14:paraId="2A7EE536">
          <w:pPr>
            <w:pStyle w:val="50"/>
            <w:tabs>
              <w:tab w:val="right" w:leader="dot" w:pos="8121"/>
            </w:tabs>
          </w:pPr>
          <w:r>
            <w:rPr>
              <w:rFonts w:hint="eastAsia" w:ascii="Songti SC" w:hAnsi="Songti SC" w:eastAsia="Songti SC" w:cs="Songti SC"/>
              <w:color w:val="000000"/>
              <w:szCs w:val="36"/>
            </w:rPr>
            <w:fldChar w:fldCharType="begin"/>
          </w:r>
          <w:r>
            <w:rPr>
              <w:rFonts w:hint="eastAsia" w:ascii="Songti SC" w:hAnsi="Songti SC" w:eastAsia="Songti SC" w:cs="Songti SC"/>
              <w:szCs w:val="36"/>
            </w:rPr>
            <w:instrText xml:space="preserve"> HYPERLINK \l _Toc455975884 </w:instrText>
          </w:r>
          <w:r>
            <w:rPr>
              <w:rFonts w:hint="eastAsia" w:ascii="Songti SC" w:hAnsi="Songti SC" w:eastAsia="Songti SC" w:cs="Songti SC"/>
              <w:szCs w:val="36"/>
            </w:rPr>
            <w:fldChar w:fldCharType="separate"/>
          </w:r>
          <w:r>
            <w:rPr>
              <w:rFonts w:hint="eastAsia"/>
            </w:rPr>
            <w:t xml:space="preserve">4.9 </w:t>
          </w:r>
          <w:r>
            <w:rPr>
              <w:rFonts w:ascii="Songti SC" w:hAnsi="Songti SC" w:eastAsia="Songti SC" w:cs="Songti SC"/>
            </w:rPr>
            <w:t>密码应用需求分析</w:t>
          </w:r>
          <w:r>
            <w:tab/>
          </w:r>
          <w:r>
            <w:fldChar w:fldCharType="begin"/>
          </w:r>
          <w:r>
            <w:instrText xml:space="preserve"> PAGEREF _Toc455975884 \h </w:instrText>
          </w:r>
          <w:r>
            <w:fldChar w:fldCharType="separate"/>
          </w:r>
          <w:r>
            <w:t>40</w:t>
          </w:r>
          <w:r>
            <w:fldChar w:fldCharType="end"/>
          </w:r>
          <w:r>
            <w:rPr>
              <w:rFonts w:hint="eastAsia" w:ascii="Songti SC" w:hAnsi="Songti SC" w:eastAsia="Songti SC" w:cs="Songti SC"/>
              <w:color w:val="000000"/>
              <w:szCs w:val="36"/>
            </w:rPr>
            <w:fldChar w:fldCharType="end"/>
          </w:r>
        </w:p>
        <w:p w14:paraId="6C5CF7F4">
          <w:pPr>
            <w:pStyle w:val="39"/>
            <w:tabs>
              <w:tab w:val="right" w:leader="dot" w:pos="8121"/>
            </w:tabs>
          </w:pPr>
          <w:r>
            <w:rPr>
              <w:rFonts w:hint="eastAsia" w:ascii="Songti SC" w:hAnsi="Songti SC" w:eastAsia="Songti SC" w:cs="Songti SC"/>
              <w:color w:val="000000"/>
              <w:szCs w:val="36"/>
            </w:rPr>
            <w:fldChar w:fldCharType="begin"/>
          </w:r>
          <w:r>
            <w:rPr>
              <w:rFonts w:hint="eastAsia" w:ascii="Songti SC" w:hAnsi="Songti SC" w:eastAsia="Songti SC" w:cs="Songti SC"/>
              <w:szCs w:val="36"/>
            </w:rPr>
            <w:instrText xml:space="preserve"> HYPERLINK \l _Toc1365029892 </w:instrText>
          </w:r>
          <w:r>
            <w:rPr>
              <w:rFonts w:hint="eastAsia" w:ascii="Songti SC" w:hAnsi="Songti SC" w:eastAsia="Songti SC" w:cs="Songti SC"/>
              <w:szCs w:val="36"/>
            </w:rPr>
            <w:fldChar w:fldCharType="separate"/>
          </w:r>
          <w:r>
            <w:rPr>
              <w:rFonts w:hint="eastAsia"/>
            </w:rPr>
            <w:t xml:space="preserve">第5章 </w:t>
          </w:r>
          <w:r>
            <w:rPr>
              <w:rFonts w:ascii="Songti SC" w:hAnsi="Songti SC" w:eastAsia="Songti SC" w:cs="Songti SC"/>
            </w:rPr>
            <w:t>建设方案概览</w:t>
          </w:r>
          <w:r>
            <w:tab/>
          </w:r>
          <w:r>
            <w:fldChar w:fldCharType="begin"/>
          </w:r>
          <w:r>
            <w:instrText xml:space="preserve"> PAGEREF _Toc1365029892 \h </w:instrText>
          </w:r>
          <w:r>
            <w:fldChar w:fldCharType="separate"/>
          </w:r>
          <w:r>
            <w:t>41</w:t>
          </w:r>
          <w:r>
            <w:fldChar w:fldCharType="end"/>
          </w:r>
          <w:r>
            <w:rPr>
              <w:rFonts w:hint="eastAsia" w:ascii="Songti SC" w:hAnsi="Songti SC" w:eastAsia="Songti SC" w:cs="Songti SC"/>
              <w:color w:val="000000"/>
              <w:szCs w:val="36"/>
            </w:rPr>
            <w:fldChar w:fldCharType="end"/>
          </w:r>
        </w:p>
        <w:p w14:paraId="5A9BCF62">
          <w:pPr>
            <w:pStyle w:val="50"/>
            <w:tabs>
              <w:tab w:val="right" w:leader="dot" w:pos="8121"/>
            </w:tabs>
          </w:pPr>
          <w:r>
            <w:rPr>
              <w:rFonts w:hint="eastAsia" w:ascii="Songti SC" w:hAnsi="Songti SC" w:eastAsia="Songti SC" w:cs="Songti SC"/>
              <w:color w:val="000000"/>
              <w:szCs w:val="36"/>
            </w:rPr>
            <w:fldChar w:fldCharType="begin"/>
          </w:r>
          <w:r>
            <w:rPr>
              <w:rFonts w:hint="eastAsia" w:ascii="Songti SC" w:hAnsi="Songti SC" w:eastAsia="Songti SC" w:cs="Songti SC"/>
              <w:szCs w:val="36"/>
            </w:rPr>
            <w:instrText xml:space="preserve"> HYPERLINK \l _Toc489593943 </w:instrText>
          </w:r>
          <w:r>
            <w:rPr>
              <w:rFonts w:hint="eastAsia" w:ascii="Songti SC" w:hAnsi="Songti SC" w:eastAsia="Songti SC" w:cs="Songti SC"/>
              <w:szCs w:val="36"/>
            </w:rPr>
            <w:fldChar w:fldCharType="separate"/>
          </w:r>
          <w:r>
            <w:rPr>
              <w:rFonts w:hint="eastAsia"/>
            </w:rPr>
            <w:t xml:space="preserve">5.1 </w:t>
          </w:r>
          <w:r>
            <w:rPr>
              <w:rFonts w:ascii="Songti SC" w:hAnsi="Songti SC" w:eastAsia="Songti SC" w:cs="Songti SC"/>
            </w:rPr>
            <w:t>总体建设思路</w:t>
          </w:r>
          <w:r>
            <w:tab/>
          </w:r>
          <w:r>
            <w:fldChar w:fldCharType="begin"/>
          </w:r>
          <w:r>
            <w:instrText xml:space="preserve"> PAGEREF _Toc489593943 \h </w:instrText>
          </w:r>
          <w:r>
            <w:fldChar w:fldCharType="separate"/>
          </w:r>
          <w:r>
            <w:t>41</w:t>
          </w:r>
          <w:r>
            <w:fldChar w:fldCharType="end"/>
          </w:r>
          <w:r>
            <w:rPr>
              <w:rFonts w:hint="eastAsia" w:ascii="Songti SC" w:hAnsi="Songti SC" w:eastAsia="Songti SC" w:cs="Songti SC"/>
              <w:color w:val="000000"/>
              <w:szCs w:val="36"/>
            </w:rPr>
            <w:fldChar w:fldCharType="end"/>
          </w:r>
        </w:p>
        <w:p w14:paraId="06D50424">
          <w:pPr>
            <w:pStyle w:val="29"/>
            <w:tabs>
              <w:tab w:val="right" w:leader="dot" w:pos="8121"/>
            </w:tabs>
          </w:pPr>
          <w:r>
            <w:rPr>
              <w:rFonts w:hint="eastAsia" w:ascii="Songti SC" w:hAnsi="Songti SC" w:eastAsia="Songti SC" w:cs="Songti SC"/>
              <w:color w:val="000000"/>
              <w:szCs w:val="36"/>
            </w:rPr>
            <w:fldChar w:fldCharType="begin"/>
          </w:r>
          <w:r>
            <w:rPr>
              <w:rFonts w:hint="eastAsia" w:ascii="Songti SC" w:hAnsi="Songti SC" w:eastAsia="Songti SC" w:cs="Songti SC"/>
              <w:szCs w:val="36"/>
            </w:rPr>
            <w:instrText xml:space="preserve"> HYPERLINK \l _Toc1595548344 </w:instrText>
          </w:r>
          <w:r>
            <w:rPr>
              <w:rFonts w:hint="eastAsia" w:ascii="Songti SC" w:hAnsi="Songti SC" w:eastAsia="Songti SC" w:cs="Songti SC"/>
              <w:szCs w:val="36"/>
            </w:rPr>
            <w:fldChar w:fldCharType="separate"/>
          </w:r>
          <w:r>
            <w:rPr>
              <w:rFonts w:hint="eastAsia"/>
            </w:rPr>
            <w:t xml:space="preserve">5.1.1 </w:t>
          </w:r>
          <w:r>
            <w:rPr>
              <w:rFonts w:ascii="Songti SC" w:hAnsi="Songti SC" w:eastAsia="Songti SC" w:cs="Songti SC"/>
            </w:rPr>
            <w:t>建设原则</w:t>
          </w:r>
          <w:r>
            <w:tab/>
          </w:r>
          <w:r>
            <w:fldChar w:fldCharType="begin"/>
          </w:r>
          <w:r>
            <w:instrText xml:space="preserve"> PAGEREF _Toc1595548344 \h </w:instrText>
          </w:r>
          <w:r>
            <w:fldChar w:fldCharType="separate"/>
          </w:r>
          <w:r>
            <w:t>41</w:t>
          </w:r>
          <w:r>
            <w:fldChar w:fldCharType="end"/>
          </w:r>
          <w:r>
            <w:rPr>
              <w:rFonts w:hint="eastAsia" w:ascii="Songti SC" w:hAnsi="Songti SC" w:eastAsia="Songti SC" w:cs="Songti SC"/>
              <w:color w:val="000000"/>
              <w:szCs w:val="36"/>
            </w:rPr>
            <w:fldChar w:fldCharType="end"/>
          </w:r>
        </w:p>
        <w:p w14:paraId="65D34762">
          <w:pPr>
            <w:pStyle w:val="29"/>
            <w:tabs>
              <w:tab w:val="right" w:leader="dot" w:pos="8121"/>
            </w:tabs>
          </w:pPr>
          <w:r>
            <w:rPr>
              <w:rFonts w:hint="eastAsia" w:ascii="Songti SC" w:hAnsi="Songti SC" w:eastAsia="Songti SC" w:cs="Songti SC"/>
              <w:color w:val="000000"/>
              <w:szCs w:val="36"/>
            </w:rPr>
            <w:fldChar w:fldCharType="begin"/>
          </w:r>
          <w:r>
            <w:rPr>
              <w:rFonts w:hint="eastAsia" w:ascii="Songti SC" w:hAnsi="Songti SC" w:eastAsia="Songti SC" w:cs="Songti SC"/>
              <w:szCs w:val="36"/>
            </w:rPr>
            <w:instrText xml:space="preserve"> HYPERLINK \l _Toc752717519 </w:instrText>
          </w:r>
          <w:r>
            <w:rPr>
              <w:rFonts w:hint="eastAsia" w:ascii="Songti SC" w:hAnsi="Songti SC" w:eastAsia="Songti SC" w:cs="Songti SC"/>
              <w:szCs w:val="36"/>
            </w:rPr>
            <w:fldChar w:fldCharType="separate"/>
          </w:r>
          <w:r>
            <w:rPr>
              <w:rFonts w:hint="eastAsia"/>
            </w:rPr>
            <w:t xml:space="preserve">5.1.2 </w:t>
          </w:r>
          <w:r>
            <w:rPr>
              <w:rFonts w:ascii="Songti SC" w:hAnsi="Songti SC" w:eastAsia="Songti SC" w:cs="Songti SC"/>
            </w:rPr>
            <w:t>建设边界</w:t>
          </w:r>
          <w:r>
            <w:tab/>
          </w:r>
          <w:r>
            <w:fldChar w:fldCharType="begin"/>
          </w:r>
          <w:r>
            <w:instrText xml:space="preserve"> PAGEREF _Toc752717519 \h </w:instrText>
          </w:r>
          <w:r>
            <w:fldChar w:fldCharType="separate"/>
          </w:r>
          <w:r>
            <w:t>42</w:t>
          </w:r>
          <w:r>
            <w:fldChar w:fldCharType="end"/>
          </w:r>
          <w:r>
            <w:rPr>
              <w:rFonts w:hint="eastAsia" w:ascii="Songti SC" w:hAnsi="Songti SC" w:eastAsia="Songti SC" w:cs="Songti SC"/>
              <w:color w:val="000000"/>
              <w:szCs w:val="36"/>
            </w:rPr>
            <w:fldChar w:fldCharType="end"/>
          </w:r>
        </w:p>
        <w:p w14:paraId="5E1CF052">
          <w:pPr>
            <w:pStyle w:val="50"/>
            <w:tabs>
              <w:tab w:val="right" w:leader="dot" w:pos="8121"/>
            </w:tabs>
          </w:pPr>
          <w:r>
            <w:rPr>
              <w:rFonts w:hint="eastAsia" w:ascii="Songti SC" w:hAnsi="Songti SC" w:eastAsia="Songti SC" w:cs="Songti SC"/>
              <w:color w:val="000000"/>
              <w:szCs w:val="36"/>
            </w:rPr>
            <w:fldChar w:fldCharType="begin"/>
          </w:r>
          <w:r>
            <w:rPr>
              <w:rFonts w:hint="eastAsia" w:ascii="Songti SC" w:hAnsi="Songti SC" w:eastAsia="Songti SC" w:cs="Songti SC"/>
              <w:szCs w:val="36"/>
            </w:rPr>
            <w:instrText xml:space="preserve"> HYPERLINK \l _Toc97177356 </w:instrText>
          </w:r>
          <w:r>
            <w:rPr>
              <w:rFonts w:hint="eastAsia" w:ascii="Songti SC" w:hAnsi="Songti SC" w:eastAsia="Songti SC" w:cs="Songti SC"/>
              <w:szCs w:val="36"/>
            </w:rPr>
            <w:fldChar w:fldCharType="separate"/>
          </w:r>
          <w:r>
            <w:rPr>
              <w:rFonts w:hint="eastAsia"/>
            </w:rPr>
            <w:t xml:space="preserve">5.2 </w:t>
          </w:r>
          <w:r>
            <w:rPr>
              <w:rFonts w:hint="eastAsia" w:ascii="Songti SC" w:hAnsi="Songti SC" w:eastAsia="Songti SC" w:cs="Songti SC"/>
              <w:lang w:eastAsia="zh-CN"/>
            </w:rPr>
            <w:t>项目</w:t>
          </w:r>
          <w:r>
            <w:rPr>
              <w:rFonts w:ascii="Songti SC" w:hAnsi="Songti SC" w:eastAsia="Songti SC" w:cs="Songti SC"/>
            </w:rPr>
            <w:t>总体设计</w:t>
          </w:r>
          <w:r>
            <w:tab/>
          </w:r>
          <w:r>
            <w:fldChar w:fldCharType="begin"/>
          </w:r>
          <w:r>
            <w:instrText xml:space="preserve"> PAGEREF _Toc97177356 \h </w:instrText>
          </w:r>
          <w:r>
            <w:fldChar w:fldCharType="separate"/>
          </w:r>
          <w:r>
            <w:t>42</w:t>
          </w:r>
          <w:r>
            <w:fldChar w:fldCharType="end"/>
          </w:r>
          <w:r>
            <w:rPr>
              <w:rFonts w:hint="eastAsia" w:ascii="Songti SC" w:hAnsi="Songti SC" w:eastAsia="Songti SC" w:cs="Songti SC"/>
              <w:color w:val="000000"/>
              <w:szCs w:val="36"/>
            </w:rPr>
            <w:fldChar w:fldCharType="end"/>
          </w:r>
        </w:p>
        <w:p w14:paraId="3CFF2051">
          <w:pPr>
            <w:pStyle w:val="29"/>
            <w:tabs>
              <w:tab w:val="right" w:leader="dot" w:pos="8121"/>
            </w:tabs>
          </w:pPr>
          <w:r>
            <w:rPr>
              <w:rFonts w:hint="eastAsia" w:ascii="Songti SC" w:hAnsi="Songti SC" w:eastAsia="Songti SC" w:cs="Songti SC"/>
              <w:color w:val="000000"/>
              <w:szCs w:val="36"/>
            </w:rPr>
            <w:fldChar w:fldCharType="begin"/>
          </w:r>
          <w:r>
            <w:rPr>
              <w:rFonts w:hint="eastAsia" w:ascii="Songti SC" w:hAnsi="Songti SC" w:eastAsia="Songti SC" w:cs="Songti SC"/>
              <w:szCs w:val="36"/>
            </w:rPr>
            <w:instrText xml:space="preserve"> HYPERLINK \l _Toc1172250572 </w:instrText>
          </w:r>
          <w:r>
            <w:rPr>
              <w:rFonts w:hint="eastAsia" w:ascii="Songti SC" w:hAnsi="Songti SC" w:eastAsia="Songti SC" w:cs="Songti SC"/>
              <w:szCs w:val="36"/>
            </w:rPr>
            <w:fldChar w:fldCharType="separate"/>
          </w:r>
          <w:r>
            <w:rPr>
              <w:rFonts w:hint="eastAsia"/>
            </w:rPr>
            <w:t xml:space="preserve">5.2.1 </w:t>
          </w:r>
          <w:r>
            <w:rPr>
              <w:rFonts w:ascii="Songti SC" w:hAnsi="Songti SC" w:eastAsia="Songti SC" w:cs="Songti SC"/>
            </w:rPr>
            <w:t>业务流转架构</w:t>
          </w:r>
          <w:r>
            <w:tab/>
          </w:r>
          <w:r>
            <w:fldChar w:fldCharType="begin"/>
          </w:r>
          <w:r>
            <w:instrText xml:space="preserve"> PAGEREF _Toc1172250572 \h </w:instrText>
          </w:r>
          <w:r>
            <w:fldChar w:fldCharType="separate"/>
          </w:r>
          <w:r>
            <w:t>42</w:t>
          </w:r>
          <w:r>
            <w:fldChar w:fldCharType="end"/>
          </w:r>
          <w:r>
            <w:rPr>
              <w:rFonts w:hint="eastAsia" w:ascii="Songti SC" w:hAnsi="Songti SC" w:eastAsia="Songti SC" w:cs="Songti SC"/>
              <w:color w:val="000000"/>
              <w:szCs w:val="36"/>
            </w:rPr>
            <w:fldChar w:fldCharType="end"/>
          </w:r>
        </w:p>
        <w:p w14:paraId="24262414">
          <w:pPr>
            <w:pStyle w:val="29"/>
            <w:tabs>
              <w:tab w:val="right" w:leader="dot" w:pos="8121"/>
            </w:tabs>
          </w:pPr>
          <w:r>
            <w:rPr>
              <w:rFonts w:hint="eastAsia" w:ascii="Songti SC" w:hAnsi="Songti SC" w:eastAsia="Songti SC" w:cs="Songti SC"/>
              <w:color w:val="000000"/>
              <w:szCs w:val="36"/>
            </w:rPr>
            <w:fldChar w:fldCharType="begin"/>
          </w:r>
          <w:r>
            <w:rPr>
              <w:rFonts w:hint="eastAsia" w:ascii="Songti SC" w:hAnsi="Songti SC" w:eastAsia="Songti SC" w:cs="Songti SC"/>
              <w:szCs w:val="36"/>
            </w:rPr>
            <w:instrText xml:space="preserve"> HYPERLINK \l _Toc1000386026 </w:instrText>
          </w:r>
          <w:r>
            <w:rPr>
              <w:rFonts w:hint="eastAsia" w:ascii="Songti SC" w:hAnsi="Songti SC" w:eastAsia="Songti SC" w:cs="Songti SC"/>
              <w:szCs w:val="36"/>
            </w:rPr>
            <w:fldChar w:fldCharType="separate"/>
          </w:r>
          <w:r>
            <w:rPr>
              <w:rFonts w:hint="eastAsia"/>
              <w:lang w:eastAsia="zh-CN"/>
            </w:rPr>
            <w:t xml:space="preserve">5.2.2 </w:t>
          </w:r>
          <w:r>
            <w:rPr>
              <w:rFonts w:hint="eastAsia" w:ascii="Songti SC" w:hAnsi="Songti SC" w:eastAsia="Songti SC" w:cs="Songti SC"/>
              <w:lang w:eastAsia="zh-CN"/>
            </w:rPr>
            <w:t>系统总体架构</w:t>
          </w:r>
          <w:r>
            <w:tab/>
          </w:r>
          <w:r>
            <w:fldChar w:fldCharType="begin"/>
          </w:r>
          <w:r>
            <w:instrText xml:space="preserve"> PAGEREF _Toc1000386026 \h </w:instrText>
          </w:r>
          <w:r>
            <w:fldChar w:fldCharType="separate"/>
          </w:r>
          <w:r>
            <w:t>43</w:t>
          </w:r>
          <w:r>
            <w:fldChar w:fldCharType="end"/>
          </w:r>
          <w:r>
            <w:rPr>
              <w:rFonts w:hint="eastAsia" w:ascii="Songti SC" w:hAnsi="Songti SC" w:eastAsia="Songti SC" w:cs="Songti SC"/>
              <w:color w:val="000000"/>
              <w:szCs w:val="36"/>
            </w:rPr>
            <w:fldChar w:fldCharType="end"/>
          </w:r>
        </w:p>
        <w:p w14:paraId="2215B250">
          <w:pPr>
            <w:pStyle w:val="29"/>
            <w:tabs>
              <w:tab w:val="right" w:leader="dot" w:pos="8121"/>
            </w:tabs>
          </w:pPr>
          <w:r>
            <w:rPr>
              <w:rFonts w:hint="eastAsia" w:ascii="Songti SC" w:hAnsi="Songti SC" w:eastAsia="Songti SC" w:cs="Songti SC"/>
              <w:color w:val="000000"/>
              <w:szCs w:val="36"/>
            </w:rPr>
            <w:fldChar w:fldCharType="begin"/>
          </w:r>
          <w:r>
            <w:rPr>
              <w:rFonts w:hint="eastAsia" w:ascii="Songti SC" w:hAnsi="Songti SC" w:eastAsia="Songti SC" w:cs="Songti SC"/>
              <w:szCs w:val="36"/>
            </w:rPr>
            <w:instrText xml:space="preserve"> HYPERLINK \l _Toc838466619 </w:instrText>
          </w:r>
          <w:r>
            <w:rPr>
              <w:rFonts w:hint="eastAsia" w:ascii="Songti SC" w:hAnsi="Songti SC" w:eastAsia="Songti SC" w:cs="Songti SC"/>
              <w:szCs w:val="36"/>
            </w:rPr>
            <w:fldChar w:fldCharType="separate"/>
          </w:r>
          <w:r>
            <w:rPr>
              <w:rFonts w:hint="eastAsia"/>
              <w:lang w:eastAsia="zh-CN"/>
            </w:rPr>
            <w:t xml:space="preserve">5.2.3 </w:t>
          </w:r>
          <w:r>
            <w:rPr>
              <w:rFonts w:hint="eastAsia" w:ascii="Songti SC" w:hAnsi="Songti SC" w:eastAsia="Songti SC" w:cs="Songti SC"/>
              <w:lang w:eastAsia="zh-CN"/>
            </w:rPr>
            <w:t>网络总体架构</w:t>
          </w:r>
          <w:r>
            <w:tab/>
          </w:r>
          <w:r>
            <w:fldChar w:fldCharType="begin"/>
          </w:r>
          <w:r>
            <w:instrText xml:space="preserve"> PAGEREF _Toc838466619 \h </w:instrText>
          </w:r>
          <w:r>
            <w:fldChar w:fldCharType="separate"/>
          </w:r>
          <w:r>
            <w:t>45</w:t>
          </w:r>
          <w:r>
            <w:fldChar w:fldCharType="end"/>
          </w:r>
          <w:r>
            <w:rPr>
              <w:rFonts w:hint="eastAsia" w:ascii="Songti SC" w:hAnsi="Songti SC" w:eastAsia="Songti SC" w:cs="Songti SC"/>
              <w:color w:val="000000"/>
              <w:szCs w:val="36"/>
            </w:rPr>
            <w:fldChar w:fldCharType="end"/>
          </w:r>
        </w:p>
        <w:p w14:paraId="619CF50F">
          <w:pPr>
            <w:pStyle w:val="29"/>
            <w:tabs>
              <w:tab w:val="right" w:leader="dot" w:pos="8121"/>
            </w:tabs>
          </w:pPr>
          <w:r>
            <w:rPr>
              <w:rFonts w:hint="eastAsia" w:ascii="Songti SC" w:hAnsi="Songti SC" w:eastAsia="Songti SC" w:cs="Songti SC"/>
              <w:color w:val="000000"/>
              <w:szCs w:val="36"/>
            </w:rPr>
            <w:fldChar w:fldCharType="begin"/>
          </w:r>
          <w:r>
            <w:rPr>
              <w:rFonts w:hint="eastAsia" w:ascii="Songti SC" w:hAnsi="Songti SC" w:eastAsia="Songti SC" w:cs="Songti SC"/>
              <w:szCs w:val="36"/>
            </w:rPr>
            <w:instrText xml:space="preserve"> HYPERLINK \l _Toc320773919 </w:instrText>
          </w:r>
          <w:r>
            <w:rPr>
              <w:rFonts w:hint="eastAsia" w:ascii="Songti SC" w:hAnsi="Songti SC" w:eastAsia="Songti SC" w:cs="Songti SC"/>
              <w:szCs w:val="36"/>
            </w:rPr>
            <w:fldChar w:fldCharType="separate"/>
          </w:r>
          <w:r>
            <w:rPr>
              <w:rFonts w:hint="eastAsia"/>
            </w:rPr>
            <w:t xml:space="preserve">5.2.4 </w:t>
          </w:r>
          <w:r>
            <w:rPr>
              <w:rFonts w:ascii="Songti SC" w:hAnsi="Songti SC" w:eastAsia="Songti SC" w:cs="Songti SC"/>
            </w:rPr>
            <w:t>数据资源架构</w:t>
          </w:r>
          <w:r>
            <w:tab/>
          </w:r>
          <w:r>
            <w:fldChar w:fldCharType="begin"/>
          </w:r>
          <w:r>
            <w:instrText xml:space="preserve"> PAGEREF _Toc320773919 \h </w:instrText>
          </w:r>
          <w:r>
            <w:fldChar w:fldCharType="separate"/>
          </w:r>
          <w:r>
            <w:t>46</w:t>
          </w:r>
          <w:r>
            <w:fldChar w:fldCharType="end"/>
          </w:r>
          <w:r>
            <w:rPr>
              <w:rFonts w:hint="eastAsia" w:ascii="Songti SC" w:hAnsi="Songti SC" w:eastAsia="Songti SC" w:cs="Songti SC"/>
              <w:color w:val="000000"/>
              <w:szCs w:val="36"/>
            </w:rPr>
            <w:fldChar w:fldCharType="end"/>
          </w:r>
        </w:p>
        <w:p w14:paraId="4A759BCA">
          <w:pPr>
            <w:pStyle w:val="50"/>
            <w:tabs>
              <w:tab w:val="right" w:leader="dot" w:pos="8121"/>
            </w:tabs>
          </w:pPr>
          <w:r>
            <w:rPr>
              <w:rFonts w:hint="eastAsia" w:ascii="Songti SC" w:hAnsi="Songti SC" w:eastAsia="Songti SC" w:cs="Songti SC"/>
              <w:color w:val="000000"/>
              <w:szCs w:val="36"/>
            </w:rPr>
            <w:fldChar w:fldCharType="begin"/>
          </w:r>
          <w:r>
            <w:rPr>
              <w:rFonts w:hint="eastAsia" w:ascii="Songti SC" w:hAnsi="Songti SC" w:eastAsia="Songti SC" w:cs="Songti SC"/>
              <w:szCs w:val="36"/>
            </w:rPr>
            <w:instrText xml:space="preserve"> HYPERLINK \l _Toc1063302663 </w:instrText>
          </w:r>
          <w:r>
            <w:rPr>
              <w:rFonts w:hint="eastAsia" w:ascii="Songti SC" w:hAnsi="Songti SC" w:eastAsia="Songti SC" w:cs="Songti SC"/>
              <w:szCs w:val="36"/>
            </w:rPr>
            <w:fldChar w:fldCharType="separate"/>
          </w:r>
          <w:r>
            <w:rPr>
              <w:rFonts w:hint="eastAsia"/>
            </w:rPr>
            <w:t xml:space="preserve">5.3 </w:t>
          </w:r>
          <w:r>
            <w:rPr>
              <w:rFonts w:ascii="Songti SC" w:hAnsi="Songti SC" w:eastAsia="Songti SC" w:cs="Songti SC"/>
            </w:rPr>
            <w:t>建设内容</w:t>
          </w:r>
          <w:r>
            <w:tab/>
          </w:r>
          <w:r>
            <w:fldChar w:fldCharType="begin"/>
          </w:r>
          <w:r>
            <w:instrText xml:space="preserve"> PAGEREF _Toc1063302663 \h </w:instrText>
          </w:r>
          <w:r>
            <w:fldChar w:fldCharType="separate"/>
          </w:r>
          <w:r>
            <w:t>46</w:t>
          </w:r>
          <w:r>
            <w:fldChar w:fldCharType="end"/>
          </w:r>
          <w:r>
            <w:rPr>
              <w:rFonts w:hint="eastAsia" w:ascii="Songti SC" w:hAnsi="Songti SC" w:eastAsia="Songti SC" w:cs="Songti SC"/>
              <w:color w:val="000000"/>
              <w:szCs w:val="36"/>
            </w:rPr>
            <w:fldChar w:fldCharType="end"/>
          </w:r>
        </w:p>
        <w:p w14:paraId="7D490524">
          <w:pPr>
            <w:pStyle w:val="29"/>
            <w:tabs>
              <w:tab w:val="right" w:leader="dot" w:pos="8121"/>
            </w:tabs>
          </w:pPr>
          <w:r>
            <w:rPr>
              <w:rFonts w:hint="eastAsia" w:ascii="Songti SC" w:hAnsi="Songti SC" w:eastAsia="Songti SC" w:cs="Songti SC"/>
              <w:color w:val="000000"/>
              <w:szCs w:val="36"/>
            </w:rPr>
            <w:fldChar w:fldCharType="begin"/>
          </w:r>
          <w:r>
            <w:rPr>
              <w:rFonts w:hint="eastAsia" w:ascii="Songti SC" w:hAnsi="Songti SC" w:eastAsia="Songti SC" w:cs="Songti SC"/>
              <w:szCs w:val="36"/>
            </w:rPr>
            <w:instrText xml:space="preserve"> HYPERLINK \l _Toc1716430354 </w:instrText>
          </w:r>
          <w:r>
            <w:rPr>
              <w:rFonts w:hint="eastAsia" w:ascii="Songti SC" w:hAnsi="Songti SC" w:eastAsia="Songti SC" w:cs="Songti SC"/>
              <w:szCs w:val="36"/>
            </w:rPr>
            <w:fldChar w:fldCharType="separate"/>
          </w:r>
          <w:r>
            <w:rPr>
              <w:rFonts w:hint="eastAsia"/>
            </w:rPr>
            <w:t xml:space="preserve">5.3.1 </w:t>
          </w:r>
          <w:r>
            <w:rPr>
              <w:rFonts w:ascii="Songti SC" w:hAnsi="Songti SC" w:eastAsia="Songti SC" w:cs="Songti SC"/>
            </w:rPr>
            <w:t>基础软件兼容适配部署</w:t>
          </w:r>
          <w:r>
            <w:tab/>
          </w:r>
          <w:r>
            <w:fldChar w:fldCharType="begin"/>
          </w:r>
          <w:r>
            <w:instrText xml:space="preserve"> PAGEREF _Toc1716430354 \h </w:instrText>
          </w:r>
          <w:r>
            <w:fldChar w:fldCharType="separate"/>
          </w:r>
          <w:r>
            <w:t>46</w:t>
          </w:r>
          <w:r>
            <w:fldChar w:fldCharType="end"/>
          </w:r>
          <w:r>
            <w:rPr>
              <w:rFonts w:hint="eastAsia" w:ascii="Songti SC" w:hAnsi="Songti SC" w:eastAsia="Songti SC" w:cs="Songti SC"/>
              <w:color w:val="000000"/>
              <w:szCs w:val="36"/>
            </w:rPr>
            <w:fldChar w:fldCharType="end"/>
          </w:r>
        </w:p>
        <w:p w14:paraId="6B3512A1">
          <w:pPr>
            <w:pStyle w:val="29"/>
            <w:tabs>
              <w:tab w:val="right" w:leader="dot" w:pos="8121"/>
            </w:tabs>
          </w:pPr>
          <w:r>
            <w:rPr>
              <w:rFonts w:hint="eastAsia" w:ascii="Songti SC" w:hAnsi="Songti SC" w:eastAsia="Songti SC" w:cs="Songti SC"/>
              <w:color w:val="000000"/>
              <w:szCs w:val="36"/>
            </w:rPr>
            <w:fldChar w:fldCharType="begin"/>
          </w:r>
          <w:r>
            <w:rPr>
              <w:rFonts w:hint="eastAsia" w:ascii="Songti SC" w:hAnsi="Songti SC" w:eastAsia="Songti SC" w:cs="Songti SC"/>
              <w:szCs w:val="36"/>
            </w:rPr>
            <w:instrText xml:space="preserve"> HYPERLINK \l _Toc897129527 </w:instrText>
          </w:r>
          <w:r>
            <w:rPr>
              <w:rFonts w:hint="eastAsia" w:ascii="Songti SC" w:hAnsi="Songti SC" w:eastAsia="Songti SC" w:cs="Songti SC"/>
              <w:szCs w:val="36"/>
            </w:rPr>
            <w:fldChar w:fldCharType="separate"/>
          </w:r>
          <w:r>
            <w:rPr>
              <w:rFonts w:hint="eastAsia"/>
            </w:rPr>
            <w:t xml:space="preserve">5.3.2 </w:t>
          </w:r>
          <w:r>
            <w:rPr>
              <w:rFonts w:ascii="Songti SC" w:hAnsi="Songti SC" w:eastAsia="Songti SC" w:cs="Songti SC"/>
            </w:rPr>
            <w:t>业务平台替代升级与兼容适配</w:t>
          </w:r>
          <w:r>
            <w:tab/>
          </w:r>
          <w:r>
            <w:fldChar w:fldCharType="begin"/>
          </w:r>
          <w:r>
            <w:instrText xml:space="preserve"> PAGEREF _Toc897129527 \h </w:instrText>
          </w:r>
          <w:r>
            <w:fldChar w:fldCharType="separate"/>
          </w:r>
          <w:r>
            <w:t>47</w:t>
          </w:r>
          <w:r>
            <w:fldChar w:fldCharType="end"/>
          </w:r>
          <w:r>
            <w:rPr>
              <w:rFonts w:hint="eastAsia" w:ascii="Songti SC" w:hAnsi="Songti SC" w:eastAsia="Songti SC" w:cs="Songti SC"/>
              <w:color w:val="000000"/>
              <w:szCs w:val="36"/>
            </w:rPr>
            <w:fldChar w:fldCharType="end"/>
          </w:r>
        </w:p>
        <w:p w14:paraId="487F8C4E">
          <w:pPr>
            <w:pStyle w:val="29"/>
            <w:tabs>
              <w:tab w:val="right" w:leader="dot" w:pos="8121"/>
            </w:tabs>
          </w:pPr>
          <w:r>
            <w:rPr>
              <w:rFonts w:hint="eastAsia" w:ascii="Songti SC" w:hAnsi="Songti SC" w:eastAsia="Songti SC" w:cs="Songti SC"/>
              <w:color w:val="000000"/>
              <w:szCs w:val="36"/>
            </w:rPr>
            <w:fldChar w:fldCharType="begin"/>
          </w:r>
          <w:r>
            <w:rPr>
              <w:rFonts w:hint="eastAsia" w:ascii="Songti SC" w:hAnsi="Songti SC" w:eastAsia="Songti SC" w:cs="Songti SC"/>
              <w:szCs w:val="36"/>
            </w:rPr>
            <w:instrText xml:space="preserve"> HYPERLINK \l _Toc573274702 </w:instrText>
          </w:r>
          <w:r>
            <w:rPr>
              <w:rFonts w:hint="eastAsia" w:ascii="Songti SC" w:hAnsi="Songti SC" w:eastAsia="Songti SC" w:cs="Songti SC"/>
              <w:szCs w:val="36"/>
            </w:rPr>
            <w:fldChar w:fldCharType="separate"/>
          </w:r>
          <w:r>
            <w:rPr>
              <w:rFonts w:hint="eastAsia"/>
            </w:rPr>
            <w:t xml:space="preserve">5.3.3 </w:t>
          </w:r>
          <w:r>
            <w:rPr>
              <w:rFonts w:ascii="Songti SC" w:hAnsi="Songti SC" w:eastAsia="Songti SC" w:cs="Songti SC"/>
            </w:rPr>
            <w:t>等保商密合规核验实施</w:t>
          </w:r>
          <w:r>
            <w:tab/>
          </w:r>
          <w:r>
            <w:fldChar w:fldCharType="begin"/>
          </w:r>
          <w:r>
            <w:instrText xml:space="preserve"> PAGEREF _Toc573274702 \h </w:instrText>
          </w:r>
          <w:r>
            <w:fldChar w:fldCharType="separate"/>
          </w:r>
          <w:r>
            <w:t>47</w:t>
          </w:r>
          <w:r>
            <w:fldChar w:fldCharType="end"/>
          </w:r>
          <w:r>
            <w:rPr>
              <w:rFonts w:hint="eastAsia" w:ascii="Songti SC" w:hAnsi="Songti SC" w:eastAsia="Songti SC" w:cs="Songti SC"/>
              <w:color w:val="000000"/>
              <w:szCs w:val="36"/>
            </w:rPr>
            <w:fldChar w:fldCharType="end"/>
          </w:r>
        </w:p>
        <w:p w14:paraId="3ABF4AC7">
          <w:pPr>
            <w:pStyle w:val="50"/>
            <w:tabs>
              <w:tab w:val="right" w:leader="dot" w:pos="8121"/>
            </w:tabs>
          </w:pPr>
          <w:r>
            <w:rPr>
              <w:rFonts w:hint="eastAsia" w:ascii="Songti SC" w:hAnsi="Songti SC" w:eastAsia="Songti SC" w:cs="Songti SC"/>
              <w:color w:val="000000"/>
              <w:szCs w:val="36"/>
            </w:rPr>
            <w:fldChar w:fldCharType="begin"/>
          </w:r>
          <w:r>
            <w:rPr>
              <w:rFonts w:hint="eastAsia" w:ascii="Songti SC" w:hAnsi="Songti SC" w:eastAsia="Songti SC" w:cs="Songti SC"/>
              <w:szCs w:val="36"/>
            </w:rPr>
            <w:instrText xml:space="preserve"> HYPERLINK \l _Toc1416276072 </w:instrText>
          </w:r>
          <w:r>
            <w:rPr>
              <w:rFonts w:hint="eastAsia" w:ascii="Songti SC" w:hAnsi="Songti SC" w:eastAsia="Songti SC" w:cs="Songti SC"/>
              <w:szCs w:val="36"/>
            </w:rPr>
            <w:fldChar w:fldCharType="separate"/>
          </w:r>
          <w:r>
            <w:rPr>
              <w:rFonts w:hint="eastAsia"/>
              <w:lang w:eastAsia="zh-CN"/>
            </w:rPr>
            <w:t xml:space="preserve">5.4 </w:t>
          </w:r>
          <w:r>
            <w:rPr>
              <w:rFonts w:hint="eastAsia" w:ascii="Songti SC" w:hAnsi="Songti SC" w:eastAsia="Songti SC" w:cs="Songti SC"/>
              <w:lang w:eastAsia="zh-CN"/>
            </w:rPr>
            <w:t>接口设计</w:t>
          </w:r>
          <w:r>
            <w:tab/>
          </w:r>
          <w:r>
            <w:fldChar w:fldCharType="begin"/>
          </w:r>
          <w:r>
            <w:instrText xml:space="preserve"> PAGEREF _Toc1416276072 \h </w:instrText>
          </w:r>
          <w:r>
            <w:fldChar w:fldCharType="separate"/>
          </w:r>
          <w:r>
            <w:t>48</w:t>
          </w:r>
          <w:r>
            <w:fldChar w:fldCharType="end"/>
          </w:r>
          <w:r>
            <w:rPr>
              <w:rFonts w:hint="eastAsia" w:ascii="Songti SC" w:hAnsi="Songti SC" w:eastAsia="Songti SC" w:cs="Songti SC"/>
              <w:color w:val="000000"/>
              <w:szCs w:val="36"/>
            </w:rPr>
            <w:fldChar w:fldCharType="end"/>
          </w:r>
        </w:p>
        <w:p w14:paraId="6F5D6B0A">
          <w:pPr>
            <w:pStyle w:val="39"/>
            <w:tabs>
              <w:tab w:val="right" w:leader="dot" w:pos="8121"/>
            </w:tabs>
          </w:pPr>
          <w:r>
            <w:rPr>
              <w:rFonts w:hint="eastAsia" w:ascii="Songti SC" w:hAnsi="Songti SC" w:eastAsia="Songti SC" w:cs="Songti SC"/>
              <w:color w:val="000000"/>
              <w:szCs w:val="36"/>
            </w:rPr>
            <w:fldChar w:fldCharType="begin"/>
          </w:r>
          <w:r>
            <w:rPr>
              <w:rFonts w:hint="eastAsia" w:ascii="Songti SC" w:hAnsi="Songti SC" w:eastAsia="Songti SC" w:cs="Songti SC"/>
              <w:szCs w:val="36"/>
            </w:rPr>
            <w:instrText xml:space="preserve"> HYPERLINK \l _Toc643198756 </w:instrText>
          </w:r>
          <w:r>
            <w:rPr>
              <w:rFonts w:hint="eastAsia" w:ascii="Songti SC" w:hAnsi="Songti SC" w:eastAsia="Songti SC" w:cs="Songti SC"/>
              <w:szCs w:val="36"/>
            </w:rPr>
            <w:fldChar w:fldCharType="separate"/>
          </w:r>
          <w:r>
            <w:rPr>
              <w:rFonts w:hint="eastAsia"/>
            </w:rPr>
            <w:t xml:space="preserve">第6章 </w:t>
          </w:r>
          <w:r>
            <w:rPr>
              <w:rFonts w:hint="eastAsia" w:ascii="Songti SC" w:hAnsi="Songti SC" w:eastAsia="Songti SC" w:cs="Songti SC"/>
            </w:rPr>
            <w:t>建设方案</w:t>
          </w:r>
          <w:r>
            <w:tab/>
          </w:r>
          <w:r>
            <w:fldChar w:fldCharType="begin"/>
          </w:r>
          <w:r>
            <w:instrText xml:space="preserve"> PAGEREF _Toc643198756 \h </w:instrText>
          </w:r>
          <w:r>
            <w:fldChar w:fldCharType="separate"/>
          </w:r>
          <w:r>
            <w:t>49</w:t>
          </w:r>
          <w:r>
            <w:fldChar w:fldCharType="end"/>
          </w:r>
          <w:r>
            <w:rPr>
              <w:rFonts w:hint="eastAsia" w:ascii="Songti SC" w:hAnsi="Songti SC" w:eastAsia="Songti SC" w:cs="Songti SC"/>
              <w:color w:val="000000"/>
              <w:szCs w:val="36"/>
            </w:rPr>
            <w:fldChar w:fldCharType="end"/>
          </w:r>
        </w:p>
        <w:p w14:paraId="1466C946">
          <w:pPr>
            <w:pStyle w:val="50"/>
            <w:tabs>
              <w:tab w:val="right" w:leader="dot" w:pos="8121"/>
            </w:tabs>
          </w:pPr>
          <w:r>
            <w:rPr>
              <w:rFonts w:hint="eastAsia" w:ascii="Songti SC" w:hAnsi="Songti SC" w:eastAsia="Songti SC" w:cs="Songti SC"/>
              <w:color w:val="000000"/>
              <w:szCs w:val="36"/>
            </w:rPr>
            <w:fldChar w:fldCharType="begin"/>
          </w:r>
          <w:r>
            <w:rPr>
              <w:rFonts w:hint="eastAsia" w:ascii="Songti SC" w:hAnsi="Songti SC" w:eastAsia="Songti SC" w:cs="Songti SC"/>
              <w:szCs w:val="36"/>
            </w:rPr>
            <w:instrText xml:space="preserve"> HYPERLINK \l _Toc1956296741 </w:instrText>
          </w:r>
          <w:r>
            <w:rPr>
              <w:rFonts w:hint="eastAsia" w:ascii="Songti SC" w:hAnsi="Songti SC" w:eastAsia="Songti SC" w:cs="Songti SC"/>
              <w:szCs w:val="36"/>
            </w:rPr>
            <w:fldChar w:fldCharType="separate"/>
          </w:r>
          <w:r>
            <w:rPr>
              <w:rFonts w:hint="eastAsia"/>
              <w:lang w:eastAsia="zh-CN"/>
            </w:rPr>
            <w:t xml:space="preserve">6.1 </w:t>
          </w:r>
          <w:r>
            <w:rPr>
              <w:rFonts w:ascii="Songti SC" w:hAnsi="Songti SC" w:eastAsia="Songti SC" w:cs="Songti SC"/>
              <w:lang w:eastAsia="zh-CN"/>
            </w:rPr>
            <w:t>信息资源建设及数据共享方案</w:t>
          </w:r>
          <w:r>
            <w:tab/>
          </w:r>
          <w:r>
            <w:fldChar w:fldCharType="begin"/>
          </w:r>
          <w:r>
            <w:instrText xml:space="preserve"> PAGEREF _Toc1956296741 \h </w:instrText>
          </w:r>
          <w:r>
            <w:fldChar w:fldCharType="separate"/>
          </w:r>
          <w:r>
            <w:t>49</w:t>
          </w:r>
          <w:r>
            <w:fldChar w:fldCharType="end"/>
          </w:r>
          <w:r>
            <w:rPr>
              <w:rFonts w:hint="eastAsia" w:ascii="Songti SC" w:hAnsi="Songti SC" w:eastAsia="Songti SC" w:cs="Songti SC"/>
              <w:color w:val="000000"/>
              <w:szCs w:val="36"/>
            </w:rPr>
            <w:fldChar w:fldCharType="end"/>
          </w:r>
        </w:p>
        <w:p w14:paraId="6250FB42">
          <w:pPr>
            <w:pStyle w:val="29"/>
            <w:tabs>
              <w:tab w:val="right" w:leader="dot" w:pos="8121"/>
            </w:tabs>
          </w:pPr>
          <w:r>
            <w:rPr>
              <w:rFonts w:hint="eastAsia" w:ascii="Songti SC" w:hAnsi="Songti SC" w:eastAsia="Songti SC" w:cs="Songti SC"/>
              <w:color w:val="000000"/>
              <w:szCs w:val="36"/>
            </w:rPr>
            <w:fldChar w:fldCharType="begin"/>
          </w:r>
          <w:r>
            <w:rPr>
              <w:rFonts w:hint="eastAsia" w:ascii="Songti SC" w:hAnsi="Songti SC" w:eastAsia="Songti SC" w:cs="Songti SC"/>
              <w:szCs w:val="36"/>
            </w:rPr>
            <w:instrText xml:space="preserve"> HYPERLINK \l _Toc1504690417 </w:instrText>
          </w:r>
          <w:r>
            <w:rPr>
              <w:rFonts w:hint="eastAsia" w:ascii="Songti SC" w:hAnsi="Songti SC" w:eastAsia="Songti SC" w:cs="Songti SC"/>
              <w:szCs w:val="36"/>
            </w:rPr>
            <w:fldChar w:fldCharType="separate"/>
          </w:r>
          <w:r>
            <w:rPr>
              <w:rFonts w:hint="eastAsia"/>
            </w:rPr>
            <w:t xml:space="preserve">6.1.1 </w:t>
          </w:r>
          <w:r>
            <w:rPr>
              <w:rFonts w:hint="eastAsia" w:ascii="Songti SC" w:hAnsi="Songti SC" w:eastAsia="Songti SC" w:cs="Songti SC"/>
            </w:rPr>
            <w:t>信息资源目录梳理</w:t>
          </w:r>
          <w:r>
            <w:tab/>
          </w:r>
          <w:r>
            <w:fldChar w:fldCharType="begin"/>
          </w:r>
          <w:r>
            <w:instrText xml:space="preserve"> PAGEREF _Toc1504690417 \h </w:instrText>
          </w:r>
          <w:r>
            <w:fldChar w:fldCharType="separate"/>
          </w:r>
          <w:r>
            <w:t>49</w:t>
          </w:r>
          <w:r>
            <w:fldChar w:fldCharType="end"/>
          </w:r>
          <w:r>
            <w:rPr>
              <w:rFonts w:hint="eastAsia" w:ascii="Songti SC" w:hAnsi="Songti SC" w:eastAsia="Songti SC" w:cs="Songti SC"/>
              <w:color w:val="000000"/>
              <w:szCs w:val="36"/>
            </w:rPr>
            <w:fldChar w:fldCharType="end"/>
          </w:r>
        </w:p>
        <w:p w14:paraId="0E26206A">
          <w:pPr>
            <w:pStyle w:val="29"/>
            <w:tabs>
              <w:tab w:val="right" w:leader="dot" w:pos="8121"/>
            </w:tabs>
          </w:pPr>
          <w:r>
            <w:rPr>
              <w:rFonts w:hint="eastAsia" w:ascii="Songti SC" w:hAnsi="Songti SC" w:eastAsia="Songti SC" w:cs="Songti SC"/>
              <w:color w:val="000000"/>
              <w:szCs w:val="36"/>
            </w:rPr>
            <w:fldChar w:fldCharType="begin"/>
          </w:r>
          <w:r>
            <w:rPr>
              <w:rFonts w:hint="eastAsia" w:ascii="Songti SC" w:hAnsi="Songti SC" w:eastAsia="Songti SC" w:cs="Songti SC"/>
              <w:szCs w:val="36"/>
            </w:rPr>
            <w:instrText xml:space="preserve"> HYPERLINK \l _Toc564411447 </w:instrText>
          </w:r>
          <w:r>
            <w:rPr>
              <w:rFonts w:hint="eastAsia" w:ascii="Songti SC" w:hAnsi="Songti SC" w:eastAsia="Songti SC" w:cs="Songti SC"/>
              <w:szCs w:val="36"/>
            </w:rPr>
            <w:fldChar w:fldCharType="separate"/>
          </w:r>
          <w:r>
            <w:rPr>
              <w:rFonts w:hint="eastAsia"/>
            </w:rPr>
            <w:t xml:space="preserve">6.1.2 </w:t>
          </w:r>
          <w:r>
            <w:rPr>
              <w:rFonts w:hint="eastAsia" w:ascii="Songti SC" w:hAnsi="Songti SC" w:eastAsia="Songti SC" w:cs="Songti SC"/>
            </w:rPr>
            <w:t>信息资源共享规划</w:t>
          </w:r>
          <w:r>
            <w:tab/>
          </w:r>
          <w:r>
            <w:fldChar w:fldCharType="begin"/>
          </w:r>
          <w:r>
            <w:instrText xml:space="preserve"> PAGEREF _Toc564411447 \h </w:instrText>
          </w:r>
          <w:r>
            <w:fldChar w:fldCharType="separate"/>
          </w:r>
          <w:r>
            <w:t>49</w:t>
          </w:r>
          <w:r>
            <w:fldChar w:fldCharType="end"/>
          </w:r>
          <w:r>
            <w:rPr>
              <w:rFonts w:hint="eastAsia" w:ascii="Songti SC" w:hAnsi="Songti SC" w:eastAsia="Songti SC" w:cs="Songti SC"/>
              <w:color w:val="000000"/>
              <w:szCs w:val="36"/>
            </w:rPr>
            <w:fldChar w:fldCharType="end"/>
          </w:r>
        </w:p>
        <w:p w14:paraId="0E3AF64D">
          <w:pPr>
            <w:pStyle w:val="29"/>
            <w:tabs>
              <w:tab w:val="right" w:leader="dot" w:pos="8121"/>
            </w:tabs>
          </w:pPr>
          <w:r>
            <w:rPr>
              <w:rFonts w:hint="eastAsia" w:ascii="Songti SC" w:hAnsi="Songti SC" w:eastAsia="Songti SC" w:cs="Songti SC"/>
              <w:color w:val="000000"/>
              <w:szCs w:val="36"/>
            </w:rPr>
            <w:fldChar w:fldCharType="begin"/>
          </w:r>
          <w:r>
            <w:rPr>
              <w:rFonts w:hint="eastAsia" w:ascii="Songti SC" w:hAnsi="Songti SC" w:eastAsia="Songti SC" w:cs="Songti SC"/>
              <w:szCs w:val="36"/>
            </w:rPr>
            <w:instrText xml:space="preserve"> HYPERLINK \l _Toc627920930 </w:instrText>
          </w:r>
          <w:r>
            <w:rPr>
              <w:rFonts w:hint="eastAsia" w:ascii="Songti SC" w:hAnsi="Songti SC" w:eastAsia="Songti SC" w:cs="Songti SC"/>
              <w:szCs w:val="36"/>
            </w:rPr>
            <w:fldChar w:fldCharType="separate"/>
          </w:r>
          <w:r>
            <w:rPr>
              <w:rFonts w:hint="eastAsia"/>
            </w:rPr>
            <w:t xml:space="preserve">6.1.3 </w:t>
          </w:r>
          <w:r>
            <w:rPr>
              <w:rFonts w:hint="eastAsia" w:ascii="Songti SC" w:hAnsi="Songti SC" w:eastAsia="Songti SC" w:cs="Songti SC"/>
            </w:rPr>
            <w:t>数据共享交换方案</w:t>
          </w:r>
          <w:r>
            <w:tab/>
          </w:r>
          <w:r>
            <w:fldChar w:fldCharType="begin"/>
          </w:r>
          <w:r>
            <w:instrText xml:space="preserve"> PAGEREF _Toc627920930 \h </w:instrText>
          </w:r>
          <w:r>
            <w:fldChar w:fldCharType="separate"/>
          </w:r>
          <w:r>
            <w:t>52</w:t>
          </w:r>
          <w:r>
            <w:fldChar w:fldCharType="end"/>
          </w:r>
          <w:r>
            <w:rPr>
              <w:rFonts w:hint="eastAsia" w:ascii="Songti SC" w:hAnsi="Songti SC" w:eastAsia="Songti SC" w:cs="Songti SC"/>
              <w:color w:val="000000"/>
              <w:szCs w:val="36"/>
            </w:rPr>
            <w:fldChar w:fldCharType="end"/>
          </w:r>
        </w:p>
        <w:p w14:paraId="3A247C56">
          <w:pPr>
            <w:pStyle w:val="29"/>
            <w:tabs>
              <w:tab w:val="right" w:leader="dot" w:pos="8121"/>
            </w:tabs>
          </w:pPr>
          <w:r>
            <w:rPr>
              <w:rFonts w:hint="eastAsia" w:ascii="Songti SC" w:hAnsi="Songti SC" w:eastAsia="Songti SC" w:cs="Songti SC"/>
              <w:color w:val="000000"/>
              <w:szCs w:val="36"/>
            </w:rPr>
            <w:fldChar w:fldCharType="begin"/>
          </w:r>
          <w:r>
            <w:rPr>
              <w:rFonts w:hint="eastAsia" w:ascii="Songti SC" w:hAnsi="Songti SC" w:eastAsia="Songti SC" w:cs="Songti SC"/>
              <w:szCs w:val="36"/>
            </w:rPr>
            <w:instrText xml:space="preserve"> HYPERLINK \l _Toc732429152 </w:instrText>
          </w:r>
          <w:r>
            <w:rPr>
              <w:rFonts w:hint="eastAsia" w:ascii="Songti SC" w:hAnsi="Songti SC" w:eastAsia="Songti SC" w:cs="Songti SC"/>
              <w:szCs w:val="36"/>
            </w:rPr>
            <w:fldChar w:fldCharType="separate"/>
          </w:r>
          <w:r>
            <w:rPr>
              <w:rFonts w:hint="eastAsia"/>
            </w:rPr>
            <w:t xml:space="preserve">6.1.4 </w:t>
          </w:r>
          <w:r>
            <w:rPr>
              <w:rFonts w:hint="eastAsia" w:ascii="Songti SC" w:hAnsi="Songti SC" w:eastAsia="Songti SC" w:cs="Songti SC"/>
            </w:rPr>
            <w:t>信息资源库逻辑架构</w:t>
          </w:r>
          <w:r>
            <w:tab/>
          </w:r>
          <w:r>
            <w:fldChar w:fldCharType="begin"/>
          </w:r>
          <w:r>
            <w:instrText xml:space="preserve"> PAGEREF _Toc732429152 \h </w:instrText>
          </w:r>
          <w:r>
            <w:fldChar w:fldCharType="separate"/>
          </w:r>
          <w:r>
            <w:t>53</w:t>
          </w:r>
          <w:r>
            <w:fldChar w:fldCharType="end"/>
          </w:r>
          <w:r>
            <w:rPr>
              <w:rFonts w:hint="eastAsia" w:ascii="Songti SC" w:hAnsi="Songti SC" w:eastAsia="Songti SC" w:cs="Songti SC"/>
              <w:color w:val="000000"/>
              <w:szCs w:val="36"/>
            </w:rPr>
            <w:fldChar w:fldCharType="end"/>
          </w:r>
        </w:p>
        <w:p w14:paraId="58462721">
          <w:pPr>
            <w:pStyle w:val="50"/>
            <w:tabs>
              <w:tab w:val="right" w:leader="dot" w:pos="8121"/>
            </w:tabs>
          </w:pPr>
          <w:r>
            <w:rPr>
              <w:rFonts w:hint="eastAsia" w:ascii="Songti SC" w:hAnsi="Songti SC" w:eastAsia="Songti SC" w:cs="Songti SC"/>
              <w:color w:val="000000"/>
              <w:szCs w:val="36"/>
            </w:rPr>
            <w:fldChar w:fldCharType="begin"/>
          </w:r>
          <w:r>
            <w:rPr>
              <w:rFonts w:hint="eastAsia" w:ascii="Songti SC" w:hAnsi="Songti SC" w:eastAsia="Songti SC" w:cs="Songti SC"/>
              <w:szCs w:val="36"/>
            </w:rPr>
            <w:instrText xml:space="preserve"> HYPERLINK \l _Toc560493060 </w:instrText>
          </w:r>
          <w:r>
            <w:rPr>
              <w:rFonts w:hint="eastAsia" w:ascii="Songti SC" w:hAnsi="Songti SC" w:eastAsia="Songti SC" w:cs="Songti SC"/>
              <w:szCs w:val="36"/>
            </w:rPr>
            <w:fldChar w:fldCharType="separate"/>
          </w:r>
          <w:r>
            <w:rPr>
              <w:rFonts w:hint="eastAsia"/>
              <w:lang w:eastAsia="zh-CN"/>
            </w:rPr>
            <w:t xml:space="preserve">6.2 </w:t>
          </w:r>
          <w:r>
            <w:rPr>
              <w:rFonts w:ascii="Songti SC" w:hAnsi="Songti SC" w:eastAsia="Songti SC" w:cs="Songti SC"/>
              <w:lang w:eastAsia="zh-CN"/>
            </w:rPr>
            <w:t>食堂消费系统</w:t>
          </w:r>
          <w:r>
            <w:rPr>
              <w:rFonts w:hint="eastAsia" w:ascii="Songti SC" w:hAnsi="Songti SC" w:eastAsia="Songti SC" w:cs="Songti SC"/>
              <w:lang w:eastAsia="zh-CN"/>
            </w:rPr>
            <w:t>功能改造</w:t>
          </w:r>
          <w:r>
            <w:tab/>
          </w:r>
          <w:r>
            <w:fldChar w:fldCharType="begin"/>
          </w:r>
          <w:r>
            <w:instrText xml:space="preserve"> PAGEREF _Toc560493060 \h </w:instrText>
          </w:r>
          <w:r>
            <w:fldChar w:fldCharType="separate"/>
          </w:r>
          <w:r>
            <w:t>53</w:t>
          </w:r>
          <w:r>
            <w:fldChar w:fldCharType="end"/>
          </w:r>
          <w:r>
            <w:rPr>
              <w:rFonts w:hint="eastAsia" w:ascii="Songti SC" w:hAnsi="Songti SC" w:eastAsia="Songti SC" w:cs="Songti SC"/>
              <w:color w:val="000000"/>
              <w:szCs w:val="36"/>
            </w:rPr>
            <w:fldChar w:fldCharType="end"/>
          </w:r>
        </w:p>
        <w:p w14:paraId="29CDBDE2">
          <w:pPr>
            <w:pStyle w:val="29"/>
            <w:tabs>
              <w:tab w:val="right" w:leader="dot" w:pos="8121"/>
            </w:tabs>
          </w:pPr>
          <w:r>
            <w:rPr>
              <w:rFonts w:hint="eastAsia" w:ascii="Songti SC" w:hAnsi="Songti SC" w:eastAsia="Songti SC" w:cs="Songti SC"/>
              <w:color w:val="000000"/>
              <w:szCs w:val="36"/>
            </w:rPr>
            <w:fldChar w:fldCharType="begin"/>
          </w:r>
          <w:r>
            <w:rPr>
              <w:rFonts w:hint="eastAsia" w:ascii="Songti SC" w:hAnsi="Songti SC" w:eastAsia="Songti SC" w:cs="Songti SC"/>
              <w:szCs w:val="36"/>
            </w:rPr>
            <w:instrText xml:space="preserve"> HYPERLINK \l _Toc1343583678 </w:instrText>
          </w:r>
          <w:r>
            <w:rPr>
              <w:rFonts w:hint="eastAsia" w:ascii="Songti SC" w:hAnsi="Songti SC" w:eastAsia="Songti SC" w:cs="Songti SC"/>
              <w:szCs w:val="36"/>
            </w:rPr>
            <w:fldChar w:fldCharType="separate"/>
          </w:r>
          <w:r>
            <w:rPr>
              <w:rFonts w:hint="eastAsia"/>
            </w:rPr>
            <w:t xml:space="preserve">6.2.1 </w:t>
          </w:r>
          <w:r>
            <w:rPr>
              <w:rFonts w:ascii="Songti SC" w:hAnsi="Songti SC" w:eastAsia="Songti SC" w:cs="Songti SC"/>
            </w:rPr>
            <w:t>平台软件基础参数改造</w:t>
          </w:r>
          <w:r>
            <w:tab/>
          </w:r>
          <w:r>
            <w:fldChar w:fldCharType="begin"/>
          </w:r>
          <w:r>
            <w:instrText xml:space="preserve"> PAGEREF _Toc1343583678 \h </w:instrText>
          </w:r>
          <w:r>
            <w:fldChar w:fldCharType="separate"/>
          </w:r>
          <w:r>
            <w:t>53</w:t>
          </w:r>
          <w:r>
            <w:fldChar w:fldCharType="end"/>
          </w:r>
          <w:r>
            <w:rPr>
              <w:rFonts w:hint="eastAsia" w:ascii="Songti SC" w:hAnsi="Songti SC" w:eastAsia="Songti SC" w:cs="Songti SC"/>
              <w:color w:val="000000"/>
              <w:szCs w:val="36"/>
            </w:rPr>
            <w:fldChar w:fldCharType="end"/>
          </w:r>
        </w:p>
        <w:p w14:paraId="64BE9982">
          <w:pPr>
            <w:pStyle w:val="29"/>
            <w:tabs>
              <w:tab w:val="right" w:leader="dot" w:pos="8121"/>
            </w:tabs>
          </w:pPr>
          <w:r>
            <w:rPr>
              <w:rFonts w:hint="eastAsia" w:ascii="Songti SC" w:hAnsi="Songti SC" w:eastAsia="Songti SC" w:cs="Songti SC"/>
              <w:color w:val="000000"/>
              <w:szCs w:val="36"/>
            </w:rPr>
            <w:fldChar w:fldCharType="begin"/>
          </w:r>
          <w:r>
            <w:rPr>
              <w:rFonts w:hint="eastAsia" w:ascii="Songti SC" w:hAnsi="Songti SC" w:eastAsia="Songti SC" w:cs="Songti SC"/>
              <w:szCs w:val="36"/>
            </w:rPr>
            <w:instrText xml:space="preserve"> HYPERLINK \l _Toc820327941 </w:instrText>
          </w:r>
          <w:r>
            <w:rPr>
              <w:rFonts w:hint="eastAsia" w:ascii="Songti SC" w:hAnsi="Songti SC" w:eastAsia="Songti SC" w:cs="Songti SC"/>
              <w:szCs w:val="36"/>
            </w:rPr>
            <w:fldChar w:fldCharType="separate"/>
          </w:r>
          <w:r>
            <w:rPr>
              <w:rFonts w:hint="eastAsia"/>
            </w:rPr>
            <w:t xml:space="preserve">6.2.2 </w:t>
          </w:r>
          <w:r>
            <w:rPr>
              <w:rFonts w:ascii="Songti SC" w:hAnsi="Songti SC" w:eastAsia="Songti SC" w:cs="Songti SC"/>
            </w:rPr>
            <w:t>配置管理系统改造</w:t>
          </w:r>
          <w:r>
            <w:tab/>
          </w:r>
          <w:r>
            <w:fldChar w:fldCharType="begin"/>
          </w:r>
          <w:r>
            <w:instrText xml:space="preserve"> PAGEREF _Toc820327941 \h </w:instrText>
          </w:r>
          <w:r>
            <w:fldChar w:fldCharType="separate"/>
          </w:r>
          <w:r>
            <w:t>55</w:t>
          </w:r>
          <w:r>
            <w:fldChar w:fldCharType="end"/>
          </w:r>
          <w:r>
            <w:rPr>
              <w:rFonts w:hint="eastAsia" w:ascii="Songti SC" w:hAnsi="Songti SC" w:eastAsia="Songti SC" w:cs="Songti SC"/>
              <w:color w:val="000000"/>
              <w:szCs w:val="36"/>
            </w:rPr>
            <w:fldChar w:fldCharType="end"/>
          </w:r>
        </w:p>
        <w:p w14:paraId="57926572">
          <w:pPr>
            <w:pStyle w:val="29"/>
            <w:tabs>
              <w:tab w:val="right" w:leader="dot" w:pos="8121"/>
            </w:tabs>
          </w:pPr>
          <w:r>
            <w:rPr>
              <w:rFonts w:hint="eastAsia" w:ascii="Songti SC" w:hAnsi="Songti SC" w:eastAsia="Songti SC" w:cs="Songti SC"/>
              <w:color w:val="000000"/>
              <w:szCs w:val="36"/>
            </w:rPr>
            <w:fldChar w:fldCharType="begin"/>
          </w:r>
          <w:r>
            <w:rPr>
              <w:rFonts w:hint="eastAsia" w:ascii="Songti SC" w:hAnsi="Songti SC" w:eastAsia="Songti SC" w:cs="Songti SC"/>
              <w:szCs w:val="36"/>
            </w:rPr>
            <w:instrText xml:space="preserve"> HYPERLINK \l _Toc406690647 </w:instrText>
          </w:r>
          <w:r>
            <w:rPr>
              <w:rFonts w:hint="eastAsia" w:ascii="Songti SC" w:hAnsi="Songti SC" w:eastAsia="Songti SC" w:cs="Songti SC"/>
              <w:szCs w:val="36"/>
            </w:rPr>
            <w:fldChar w:fldCharType="separate"/>
          </w:r>
          <w:r>
            <w:rPr>
              <w:rFonts w:hint="eastAsia"/>
            </w:rPr>
            <w:t xml:space="preserve">6.2.3 </w:t>
          </w:r>
          <w:r>
            <w:rPr>
              <w:rFonts w:ascii="Songti SC" w:hAnsi="Songti SC" w:eastAsia="Songti SC" w:cs="Songti SC"/>
            </w:rPr>
            <w:t>用户管理系统改造</w:t>
          </w:r>
          <w:r>
            <w:tab/>
          </w:r>
          <w:r>
            <w:fldChar w:fldCharType="begin"/>
          </w:r>
          <w:r>
            <w:instrText xml:space="preserve"> PAGEREF _Toc406690647 \h </w:instrText>
          </w:r>
          <w:r>
            <w:fldChar w:fldCharType="separate"/>
          </w:r>
          <w:r>
            <w:t>58</w:t>
          </w:r>
          <w:r>
            <w:fldChar w:fldCharType="end"/>
          </w:r>
          <w:r>
            <w:rPr>
              <w:rFonts w:hint="eastAsia" w:ascii="Songti SC" w:hAnsi="Songti SC" w:eastAsia="Songti SC" w:cs="Songti SC"/>
              <w:color w:val="000000"/>
              <w:szCs w:val="36"/>
            </w:rPr>
            <w:fldChar w:fldCharType="end"/>
          </w:r>
        </w:p>
        <w:p w14:paraId="603CBDB9">
          <w:pPr>
            <w:pStyle w:val="29"/>
            <w:tabs>
              <w:tab w:val="right" w:leader="dot" w:pos="8121"/>
            </w:tabs>
          </w:pPr>
          <w:r>
            <w:rPr>
              <w:rFonts w:hint="eastAsia" w:ascii="Songti SC" w:hAnsi="Songti SC" w:eastAsia="Songti SC" w:cs="Songti SC"/>
              <w:color w:val="000000"/>
              <w:szCs w:val="36"/>
            </w:rPr>
            <w:fldChar w:fldCharType="begin"/>
          </w:r>
          <w:r>
            <w:rPr>
              <w:rFonts w:hint="eastAsia" w:ascii="Songti SC" w:hAnsi="Songti SC" w:eastAsia="Songti SC" w:cs="Songti SC"/>
              <w:szCs w:val="36"/>
            </w:rPr>
            <w:instrText xml:space="preserve"> HYPERLINK \l _Toc1956739375 </w:instrText>
          </w:r>
          <w:r>
            <w:rPr>
              <w:rFonts w:hint="eastAsia" w:ascii="Songti SC" w:hAnsi="Songti SC" w:eastAsia="Songti SC" w:cs="Songti SC"/>
              <w:szCs w:val="36"/>
            </w:rPr>
            <w:fldChar w:fldCharType="separate"/>
          </w:r>
          <w:r>
            <w:rPr>
              <w:rFonts w:hint="eastAsia"/>
            </w:rPr>
            <w:t xml:space="preserve">6.2.4 </w:t>
          </w:r>
          <w:r>
            <w:rPr>
              <w:rFonts w:ascii="Songti SC" w:hAnsi="Songti SC" w:eastAsia="Songti SC" w:cs="Songti SC"/>
            </w:rPr>
            <w:t>消费配置管理系统改造</w:t>
          </w:r>
          <w:r>
            <w:tab/>
          </w:r>
          <w:r>
            <w:fldChar w:fldCharType="begin"/>
          </w:r>
          <w:r>
            <w:instrText xml:space="preserve"> PAGEREF _Toc1956739375 \h </w:instrText>
          </w:r>
          <w:r>
            <w:fldChar w:fldCharType="separate"/>
          </w:r>
          <w:r>
            <w:t>61</w:t>
          </w:r>
          <w:r>
            <w:fldChar w:fldCharType="end"/>
          </w:r>
          <w:r>
            <w:rPr>
              <w:rFonts w:hint="eastAsia" w:ascii="Songti SC" w:hAnsi="Songti SC" w:eastAsia="Songti SC" w:cs="Songti SC"/>
              <w:color w:val="000000"/>
              <w:szCs w:val="36"/>
            </w:rPr>
            <w:fldChar w:fldCharType="end"/>
          </w:r>
        </w:p>
        <w:p w14:paraId="4BB7EA60">
          <w:pPr>
            <w:pStyle w:val="29"/>
            <w:tabs>
              <w:tab w:val="right" w:leader="dot" w:pos="8121"/>
            </w:tabs>
          </w:pPr>
          <w:r>
            <w:rPr>
              <w:rFonts w:hint="eastAsia" w:ascii="Songti SC" w:hAnsi="Songti SC" w:eastAsia="Songti SC" w:cs="Songti SC"/>
              <w:color w:val="000000"/>
              <w:szCs w:val="36"/>
            </w:rPr>
            <w:fldChar w:fldCharType="begin"/>
          </w:r>
          <w:r>
            <w:rPr>
              <w:rFonts w:hint="eastAsia" w:ascii="Songti SC" w:hAnsi="Songti SC" w:eastAsia="Songti SC" w:cs="Songti SC"/>
              <w:szCs w:val="36"/>
            </w:rPr>
            <w:instrText xml:space="preserve"> HYPERLINK \l _Toc354105467 </w:instrText>
          </w:r>
          <w:r>
            <w:rPr>
              <w:rFonts w:hint="eastAsia" w:ascii="Songti SC" w:hAnsi="Songti SC" w:eastAsia="Songti SC" w:cs="Songti SC"/>
              <w:szCs w:val="36"/>
            </w:rPr>
            <w:fldChar w:fldCharType="separate"/>
          </w:r>
          <w:r>
            <w:rPr>
              <w:rFonts w:hint="eastAsia"/>
            </w:rPr>
            <w:t xml:space="preserve">6.2.5 </w:t>
          </w:r>
          <w:r>
            <w:rPr>
              <w:rFonts w:ascii="Songti SC" w:hAnsi="Songti SC" w:eastAsia="Songti SC" w:cs="Songti SC"/>
            </w:rPr>
            <w:t>财务管理系统改造</w:t>
          </w:r>
          <w:r>
            <w:tab/>
          </w:r>
          <w:r>
            <w:fldChar w:fldCharType="begin"/>
          </w:r>
          <w:r>
            <w:instrText xml:space="preserve"> PAGEREF _Toc354105467 \h </w:instrText>
          </w:r>
          <w:r>
            <w:fldChar w:fldCharType="separate"/>
          </w:r>
          <w:r>
            <w:t>63</w:t>
          </w:r>
          <w:r>
            <w:fldChar w:fldCharType="end"/>
          </w:r>
          <w:r>
            <w:rPr>
              <w:rFonts w:hint="eastAsia" w:ascii="Songti SC" w:hAnsi="Songti SC" w:eastAsia="Songti SC" w:cs="Songti SC"/>
              <w:color w:val="000000"/>
              <w:szCs w:val="36"/>
            </w:rPr>
            <w:fldChar w:fldCharType="end"/>
          </w:r>
        </w:p>
        <w:p w14:paraId="1DA0EBB8">
          <w:pPr>
            <w:pStyle w:val="29"/>
            <w:tabs>
              <w:tab w:val="right" w:leader="dot" w:pos="8121"/>
            </w:tabs>
          </w:pPr>
          <w:r>
            <w:rPr>
              <w:rFonts w:hint="eastAsia" w:ascii="Songti SC" w:hAnsi="Songti SC" w:eastAsia="Songti SC" w:cs="Songti SC"/>
              <w:color w:val="000000"/>
              <w:szCs w:val="36"/>
            </w:rPr>
            <w:fldChar w:fldCharType="begin"/>
          </w:r>
          <w:r>
            <w:rPr>
              <w:rFonts w:hint="eastAsia" w:ascii="Songti SC" w:hAnsi="Songti SC" w:eastAsia="Songti SC" w:cs="Songti SC"/>
              <w:szCs w:val="36"/>
            </w:rPr>
            <w:instrText xml:space="preserve"> HYPERLINK \l _Toc773398032 </w:instrText>
          </w:r>
          <w:r>
            <w:rPr>
              <w:rFonts w:hint="eastAsia" w:ascii="Songti SC" w:hAnsi="Songti SC" w:eastAsia="Songti SC" w:cs="Songti SC"/>
              <w:szCs w:val="36"/>
            </w:rPr>
            <w:fldChar w:fldCharType="separate"/>
          </w:r>
          <w:r>
            <w:rPr>
              <w:rFonts w:hint="eastAsia"/>
              <w:lang w:eastAsia="zh-CN"/>
            </w:rPr>
            <w:t xml:space="preserve">6.2.6 </w:t>
          </w:r>
          <w:r>
            <w:rPr>
              <w:rFonts w:ascii="Songti SC" w:hAnsi="Songti SC" w:eastAsia="Songti SC" w:cs="Songti SC"/>
              <w:lang w:eastAsia="zh-CN"/>
            </w:rPr>
            <w:t>订单与售后管理系统改造</w:t>
          </w:r>
          <w:r>
            <w:tab/>
          </w:r>
          <w:r>
            <w:fldChar w:fldCharType="begin"/>
          </w:r>
          <w:r>
            <w:instrText xml:space="preserve"> PAGEREF _Toc773398032 \h </w:instrText>
          </w:r>
          <w:r>
            <w:fldChar w:fldCharType="separate"/>
          </w:r>
          <w:r>
            <w:t>65</w:t>
          </w:r>
          <w:r>
            <w:fldChar w:fldCharType="end"/>
          </w:r>
          <w:r>
            <w:rPr>
              <w:rFonts w:hint="eastAsia" w:ascii="Songti SC" w:hAnsi="Songti SC" w:eastAsia="Songti SC" w:cs="Songti SC"/>
              <w:color w:val="000000"/>
              <w:szCs w:val="36"/>
            </w:rPr>
            <w:fldChar w:fldCharType="end"/>
          </w:r>
        </w:p>
        <w:p w14:paraId="6710D806">
          <w:pPr>
            <w:pStyle w:val="29"/>
            <w:tabs>
              <w:tab w:val="right" w:leader="dot" w:pos="8121"/>
            </w:tabs>
          </w:pPr>
          <w:r>
            <w:rPr>
              <w:rFonts w:hint="eastAsia" w:ascii="Songti SC" w:hAnsi="Songti SC" w:eastAsia="Songti SC" w:cs="Songti SC"/>
              <w:color w:val="000000"/>
              <w:szCs w:val="36"/>
            </w:rPr>
            <w:fldChar w:fldCharType="begin"/>
          </w:r>
          <w:r>
            <w:rPr>
              <w:rFonts w:hint="eastAsia" w:ascii="Songti SC" w:hAnsi="Songti SC" w:eastAsia="Songti SC" w:cs="Songti SC"/>
              <w:szCs w:val="36"/>
            </w:rPr>
            <w:instrText xml:space="preserve"> HYPERLINK \l _Toc1929692180 </w:instrText>
          </w:r>
          <w:r>
            <w:rPr>
              <w:rFonts w:hint="eastAsia" w:ascii="Songti SC" w:hAnsi="Songti SC" w:eastAsia="Songti SC" w:cs="Songti SC"/>
              <w:szCs w:val="36"/>
            </w:rPr>
            <w:fldChar w:fldCharType="separate"/>
          </w:r>
          <w:r>
            <w:rPr>
              <w:rFonts w:hint="eastAsia"/>
            </w:rPr>
            <w:t xml:space="preserve">6.2.7 </w:t>
          </w:r>
          <w:r>
            <w:rPr>
              <w:rFonts w:ascii="Songti SC" w:hAnsi="Songti SC" w:eastAsia="Songti SC" w:cs="Songti SC"/>
            </w:rPr>
            <w:t>报表管理系统改造</w:t>
          </w:r>
          <w:r>
            <w:tab/>
          </w:r>
          <w:r>
            <w:fldChar w:fldCharType="begin"/>
          </w:r>
          <w:r>
            <w:instrText xml:space="preserve"> PAGEREF _Toc1929692180 \h </w:instrText>
          </w:r>
          <w:r>
            <w:fldChar w:fldCharType="separate"/>
          </w:r>
          <w:r>
            <w:t>67</w:t>
          </w:r>
          <w:r>
            <w:fldChar w:fldCharType="end"/>
          </w:r>
          <w:r>
            <w:rPr>
              <w:rFonts w:hint="eastAsia" w:ascii="Songti SC" w:hAnsi="Songti SC" w:eastAsia="Songti SC" w:cs="Songti SC"/>
              <w:color w:val="000000"/>
              <w:szCs w:val="36"/>
            </w:rPr>
            <w:fldChar w:fldCharType="end"/>
          </w:r>
        </w:p>
        <w:p w14:paraId="4D4F440D">
          <w:pPr>
            <w:pStyle w:val="29"/>
            <w:tabs>
              <w:tab w:val="right" w:leader="dot" w:pos="8121"/>
            </w:tabs>
          </w:pPr>
          <w:r>
            <w:rPr>
              <w:rFonts w:hint="eastAsia" w:ascii="Songti SC" w:hAnsi="Songti SC" w:eastAsia="Songti SC" w:cs="Songti SC"/>
              <w:color w:val="000000"/>
              <w:szCs w:val="36"/>
            </w:rPr>
            <w:fldChar w:fldCharType="begin"/>
          </w:r>
          <w:r>
            <w:rPr>
              <w:rFonts w:hint="eastAsia" w:ascii="Songti SC" w:hAnsi="Songti SC" w:eastAsia="Songti SC" w:cs="Songti SC"/>
              <w:szCs w:val="36"/>
            </w:rPr>
            <w:instrText xml:space="preserve"> HYPERLINK \l _Toc1038432266 </w:instrText>
          </w:r>
          <w:r>
            <w:rPr>
              <w:rFonts w:hint="eastAsia" w:ascii="Songti SC" w:hAnsi="Songti SC" w:eastAsia="Songti SC" w:cs="Songti SC"/>
              <w:szCs w:val="36"/>
            </w:rPr>
            <w:fldChar w:fldCharType="separate"/>
          </w:r>
          <w:r>
            <w:rPr>
              <w:rFonts w:hint="eastAsia"/>
              <w:lang w:eastAsia="zh-CN"/>
            </w:rPr>
            <w:t xml:space="preserve">6.2.8 </w:t>
          </w:r>
          <w:r>
            <w:rPr>
              <w:rFonts w:ascii="Songti SC" w:hAnsi="Songti SC" w:eastAsia="Songti SC" w:cs="Songti SC"/>
              <w:lang w:eastAsia="zh-CN"/>
            </w:rPr>
            <w:t>消费机支持软件兼容适配</w:t>
          </w:r>
          <w:r>
            <w:tab/>
          </w:r>
          <w:r>
            <w:fldChar w:fldCharType="begin"/>
          </w:r>
          <w:r>
            <w:instrText xml:space="preserve"> PAGEREF _Toc1038432266 \h </w:instrText>
          </w:r>
          <w:r>
            <w:fldChar w:fldCharType="separate"/>
          </w:r>
          <w:r>
            <w:t>70</w:t>
          </w:r>
          <w:r>
            <w:fldChar w:fldCharType="end"/>
          </w:r>
          <w:r>
            <w:rPr>
              <w:rFonts w:hint="eastAsia" w:ascii="Songti SC" w:hAnsi="Songti SC" w:eastAsia="Songti SC" w:cs="Songti SC"/>
              <w:color w:val="000000"/>
              <w:szCs w:val="36"/>
            </w:rPr>
            <w:fldChar w:fldCharType="end"/>
          </w:r>
        </w:p>
        <w:p w14:paraId="20587096">
          <w:pPr>
            <w:pStyle w:val="29"/>
            <w:tabs>
              <w:tab w:val="right" w:leader="dot" w:pos="8121"/>
            </w:tabs>
          </w:pPr>
          <w:r>
            <w:rPr>
              <w:rFonts w:hint="eastAsia" w:ascii="Songti SC" w:hAnsi="Songti SC" w:eastAsia="Songti SC" w:cs="Songti SC"/>
              <w:color w:val="000000"/>
              <w:szCs w:val="36"/>
            </w:rPr>
            <w:fldChar w:fldCharType="begin"/>
          </w:r>
          <w:r>
            <w:rPr>
              <w:rFonts w:hint="eastAsia" w:ascii="Songti SC" w:hAnsi="Songti SC" w:eastAsia="Songti SC" w:cs="Songti SC"/>
              <w:szCs w:val="36"/>
            </w:rPr>
            <w:instrText xml:space="preserve"> HYPERLINK \l _Toc331495493 </w:instrText>
          </w:r>
          <w:r>
            <w:rPr>
              <w:rFonts w:hint="eastAsia" w:ascii="Songti SC" w:hAnsi="Songti SC" w:eastAsia="Songti SC" w:cs="Songti SC"/>
              <w:szCs w:val="36"/>
            </w:rPr>
            <w:fldChar w:fldCharType="separate"/>
          </w:r>
          <w:r>
            <w:rPr>
              <w:rFonts w:hint="eastAsia"/>
              <w:lang w:eastAsia="zh-CN"/>
            </w:rPr>
            <w:t xml:space="preserve">6.2.9 </w:t>
          </w:r>
          <w:r>
            <w:rPr>
              <w:rFonts w:ascii="Songti SC" w:hAnsi="Songti SC" w:eastAsia="Songti SC" w:cs="Songti SC"/>
              <w:lang w:eastAsia="zh-CN"/>
            </w:rPr>
            <w:t>小程序端线上充值及工商银行接口适配</w:t>
          </w:r>
          <w:r>
            <w:tab/>
          </w:r>
          <w:r>
            <w:fldChar w:fldCharType="begin"/>
          </w:r>
          <w:r>
            <w:instrText xml:space="preserve"> PAGEREF _Toc331495493 \h </w:instrText>
          </w:r>
          <w:r>
            <w:fldChar w:fldCharType="separate"/>
          </w:r>
          <w:r>
            <w:t>73</w:t>
          </w:r>
          <w:r>
            <w:fldChar w:fldCharType="end"/>
          </w:r>
          <w:r>
            <w:rPr>
              <w:rFonts w:hint="eastAsia" w:ascii="Songti SC" w:hAnsi="Songti SC" w:eastAsia="Songti SC" w:cs="Songti SC"/>
              <w:color w:val="000000"/>
              <w:szCs w:val="36"/>
            </w:rPr>
            <w:fldChar w:fldCharType="end"/>
          </w:r>
        </w:p>
        <w:p w14:paraId="3EB3C5F9">
          <w:pPr>
            <w:pStyle w:val="29"/>
            <w:tabs>
              <w:tab w:val="right" w:leader="dot" w:pos="8121"/>
            </w:tabs>
          </w:pPr>
          <w:r>
            <w:rPr>
              <w:rFonts w:hint="eastAsia" w:ascii="Songti SC" w:hAnsi="Songti SC" w:eastAsia="Songti SC" w:cs="Songti SC"/>
              <w:color w:val="000000"/>
              <w:szCs w:val="36"/>
            </w:rPr>
            <w:fldChar w:fldCharType="begin"/>
          </w:r>
          <w:r>
            <w:rPr>
              <w:rFonts w:hint="eastAsia" w:ascii="Songti SC" w:hAnsi="Songti SC" w:eastAsia="Songti SC" w:cs="Songti SC"/>
              <w:szCs w:val="36"/>
            </w:rPr>
            <w:instrText xml:space="preserve"> HYPERLINK \l _Toc872170533 </w:instrText>
          </w:r>
          <w:r>
            <w:rPr>
              <w:rFonts w:hint="eastAsia" w:ascii="Songti SC" w:hAnsi="Songti SC" w:eastAsia="Songti SC" w:cs="Songti SC"/>
              <w:szCs w:val="36"/>
            </w:rPr>
            <w:fldChar w:fldCharType="separate"/>
          </w:r>
          <w:r>
            <w:rPr>
              <w:rFonts w:hint="eastAsia"/>
              <w:lang w:eastAsia="zh-CN"/>
            </w:rPr>
            <w:t xml:space="preserve">6.2.10 </w:t>
          </w:r>
          <w:r>
            <w:rPr>
              <w:rFonts w:hint="eastAsia" w:ascii="Songti SC" w:hAnsi="Songti SC" w:eastAsia="Songti SC" w:cs="Songti SC"/>
              <w:lang w:eastAsia="zh-CN"/>
            </w:rPr>
            <w:t>历史数据迁移与一致性校验</w:t>
          </w:r>
          <w:r>
            <w:tab/>
          </w:r>
          <w:r>
            <w:fldChar w:fldCharType="begin"/>
          </w:r>
          <w:r>
            <w:instrText xml:space="preserve"> PAGEREF _Toc872170533 \h </w:instrText>
          </w:r>
          <w:r>
            <w:fldChar w:fldCharType="separate"/>
          </w:r>
          <w:r>
            <w:t>75</w:t>
          </w:r>
          <w:r>
            <w:fldChar w:fldCharType="end"/>
          </w:r>
          <w:r>
            <w:rPr>
              <w:rFonts w:hint="eastAsia" w:ascii="Songti SC" w:hAnsi="Songti SC" w:eastAsia="Songti SC" w:cs="Songti SC"/>
              <w:color w:val="000000"/>
              <w:szCs w:val="36"/>
            </w:rPr>
            <w:fldChar w:fldCharType="end"/>
          </w:r>
        </w:p>
        <w:p w14:paraId="7B49CDA1">
          <w:pPr>
            <w:pStyle w:val="50"/>
            <w:tabs>
              <w:tab w:val="right" w:leader="dot" w:pos="8121"/>
            </w:tabs>
          </w:pPr>
          <w:r>
            <w:rPr>
              <w:rFonts w:hint="eastAsia" w:ascii="Songti SC" w:hAnsi="Songti SC" w:eastAsia="Songti SC" w:cs="Songti SC"/>
              <w:color w:val="000000"/>
              <w:szCs w:val="36"/>
            </w:rPr>
            <w:fldChar w:fldCharType="begin"/>
          </w:r>
          <w:r>
            <w:rPr>
              <w:rFonts w:hint="eastAsia" w:ascii="Songti SC" w:hAnsi="Songti SC" w:eastAsia="Songti SC" w:cs="Songti SC"/>
              <w:szCs w:val="36"/>
            </w:rPr>
            <w:instrText xml:space="preserve"> HYPERLINK \l _Toc1994257356 </w:instrText>
          </w:r>
          <w:r>
            <w:rPr>
              <w:rFonts w:hint="eastAsia" w:ascii="Songti SC" w:hAnsi="Songti SC" w:eastAsia="Songti SC" w:cs="Songti SC"/>
              <w:szCs w:val="36"/>
            </w:rPr>
            <w:fldChar w:fldCharType="separate"/>
          </w:r>
          <w:r>
            <w:rPr>
              <w:rFonts w:hint="eastAsia"/>
            </w:rPr>
            <w:t xml:space="preserve">6.3 </w:t>
          </w:r>
          <w:r>
            <w:rPr>
              <w:rFonts w:ascii="Songti SC" w:hAnsi="Songti SC" w:eastAsia="Songti SC" w:cs="Songti SC"/>
            </w:rPr>
            <w:t>目标系统兼容适配方案</w:t>
          </w:r>
          <w:r>
            <w:tab/>
          </w:r>
          <w:r>
            <w:fldChar w:fldCharType="begin"/>
          </w:r>
          <w:r>
            <w:instrText xml:space="preserve"> PAGEREF _Toc1994257356 \h </w:instrText>
          </w:r>
          <w:r>
            <w:fldChar w:fldCharType="separate"/>
          </w:r>
          <w:r>
            <w:t>77</w:t>
          </w:r>
          <w:r>
            <w:fldChar w:fldCharType="end"/>
          </w:r>
          <w:r>
            <w:rPr>
              <w:rFonts w:hint="eastAsia" w:ascii="Songti SC" w:hAnsi="Songti SC" w:eastAsia="Songti SC" w:cs="Songti SC"/>
              <w:color w:val="000000"/>
              <w:szCs w:val="36"/>
            </w:rPr>
            <w:fldChar w:fldCharType="end"/>
          </w:r>
        </w:p>
        <w:p w14:paraId="3307EFE3">
          <w:pPr>
            <w:pStyle w:val="29"/>
            <w:tabs>
              <w:tab w:val="right" w:leader="dot" w:pos="8121"/>
            </w:tabs>
          </w:pPr>
          <w:r>
            <w:rPr>
              <w:rFonts w:hint="eastAsia" w:ascii="Songti SC" w:hAnsi="Songti SC" w:eastAsia="Songti SC" w:cs="Songti SC"/>
              <w:color w:val="000000"/>
              <w:szCs w:val="36"/>
            </w:rPr>
            <w:fldChar w:fldCharType="begin"/>
          </w:r>
          <w:r>
            <w:rPr>
              <w:rFonts w:hint="eastAsia" w:ascii="Songti SC" w:hAnsi="Songti SC" w:eastAsia="Songti SC" w:cs="Songti SC"/>
              <w:szCs w:val="36"/>
            </w:rPr>
            <w:instrText xml:space="preserve"> HYPERLINK \l _Toc1706103563 </w:instrText>
          </w:r>
          <w:r>
            <w:rPr>
              <w:rFonts w:hint="eastAsia" w:ascii="Songti SC" w:hAnsi="Songti SC" w:eastAsia="Songti SC" w:cs="Songti SC"/>
              <w:szCs w:val="36"/>
            </w:rPr>
            <w:fldChar w:fldCharType="separate"/>
          </w:r>
          <w:r>
            <w:rPr>
              <w:rFonts w:hint="eastAsia"/>
            </w:rPr>
            <w:t xml:space="preserve">6.3.1 </w:t>
          </w:r>
          <w:r>
            <w:rPr>
              <w:rFonts w:ascii="Songti SC" w:hAnsi="Songti SC" w:eastAsia="Songti SC" w:cs="Songti SC"/>
            </w:rPr>
            <w:t>整体框架设计优化</w:t>
          </w:r>
          <w:r>
            <w:tab/>
          </w:r>
          <w:r>
            <w:fldChar w:fldCharType="begin"/>
          </w:r>
          <w:r>
            <w:instrText xml:space="preserve"> PAGEREF _Toc1706103563 \h </w:instrText>
          </w:r>
          <w:r>
            <w:fldChar w:fldCharType="separate"/>
          </w:r>
          <w:r>
            <w:t>77</w:t>
          </w:r>
          <w:r>
            <w:fldChar w:fldCharType="end"/>
          </w:r>
          <w:r>
            <w:rPr>
              <w:rFonts w:hint="eastAsia" w:ascii="Songti SC" w:hAnsi="Songti SC" w:eastAsia="Songti SC" w:cs="Songti SC"/>
              <w:color w:val="000000"/>
              <w:szCs w:val="36"/>
            </w:rPr>
            <w:fldChar w:fldCharType="end"/>
          </w:r>
        </w:p>
        <w:p w14:paraId="56FE84FB">
          <w:pPr>
            <w:pStyle w:val="29"/>
            <w:tabs>
              <w:tab w:val="right" w:leader="dot" w:pos="8121"/>
            </w:tabs>
          </w:pPr>
          <w:r>
            <w:rPr>
              <w:rFonts w:hint="eastAsia" w:ascii="Songti SC" w:hAnsi="Songti SC" w:eastAsia="Songti SC" w:cs="Songti SC"/>
              <w:color w:val="000000"/>
              <w:szCs w:val="36"/>
            </w:rPr>
            <w:fldChar w:fldCharType="begin"/>
          </w:r>
          <w:r>
            <w:rPr>
              <w:rFonts w:hint="eastAsia" w:ascii="Songti SC" w:hAnsi="Songti SC" w:eastAsia="Songti SC" w:cs="Songti SC"/>
              <w:szCs w:val="36"/>
            </w:rPr>
            <w:instrText xml:space="preserve"> HYPERLINK \l _Toc1280928597 </w:instrText>
          </w:r>
          <w:r>
            <w:rPr>
              <w:rFonts w:hint="eastAsia" w:ascii="Songti SC" w:hAnsi="Songti SC" w:eastAsia="Songti SC" w:cs="Songti SC"/>
              <w:szCs w:val="36"/>
            </w:rPr>
            <w:fldChar w:fldCharType="separate"/>
          </w:r>
          <w:r>
            <w:rPr>
              <w:rFonts w:hint="eastAsia"/>
            </w:rPr>
            <w:t xml:space="preserve">6.3.2 </w:t>
          </w:r>
          <w:r>
            <w:rPr>
              <w:rFonts w:ascii="Songti SC" w:hAnsi="Songti SC" w:eastAsia="Songti SC" w:cs="Songti SC"/>
            </w:rPr>
            <w:t>操作系统适配</w:t>
          </w:r>
          <w:r>
            <w:tab/>
          </w:r>
          <w:r>
            <w:fldChar w:fldCharType="begin"/>
          </w:r>
          <w:r>
            <w:instrText xml:space="preserve"> PAGEREF _Toc1280928597 \h </w:instrText>
          </w:r>
          <w:r>
            <w:fldChar w:fldCharType="separate"/>
          </w:r>
          <w:r>
            <w:t>78</w:t>
          </w:r>
          <w:r>
            <w:fldChar w:fldCharType="end"/>
          </w:r>
          <w:r>
            <w:rPr>
              <w:rFonts w:hint="eastAsia" w:ascii="Songti SC" w:hAnsi="Songti SC" w:eastAsia="Songti SC" w:cs="Songti SC"/>
              <w:color w:val="000000"/>
              <w:szCs w:val="36"/>
            </w:rPr>
            <w:fldChar w:fldCharType="end"/>
          </w:r>
        </w:p>
        <w:p w14:paraId="0174E341">
          <w:pPr>
            <w:pStyle w:val="29"/>
            <w:tabs>
              <w:tab w:val="right" w:leader="dot" w:pos="8121"/>
            </w:tabs>
          </w:pPr>
          <w:r>
            <w:rPr>
              <w:rFonts w:hint="eastAsia" w:ascii="Songti SC" w:hAnsi="Songti SC" w:eastAsia="Songti SC" w:cs="Songti SC"/>
              <w:color w:val="000000"/>
              <w:szCs w:val="36"/>
            </w:rPr>
            <w:fldChar w:fldCharType="begin"/>
          </w:r>
          <w:r>
            <w:rPr>
              <w:rFonts w:hint="eastAsia" w:ascii="Songti SC" w:hAnsi="Songti SC" w:eastAsia="Songti SC" w:cs="Songti SC"/>
              <w:szCs w:val="36"/>
            </w:rPr>
            <w:instrText xml:space="preserve"> HYPERLINK \l _Toc43368604 </w:instrText>
          </w:r>
          <w:r>
            <w:rPr>
              <w:rFonts w:hint="eastAsia" w:ascii="Songti SC" w:hAnsi="Songti SC" w:eastAsia="Songti SC" w:cs="Songti SC"/>
              <w:szCs w:val="36"/>
            </w:rPr>
            <w:fldChar w:fldCharType="separate"/>
          </w:r>
          <w:r>
            <w:rPr>
              <w:rFonts w:hint="eastAsia"/>
            </w:rPr>
            <w:t xml:space="preserve">6.3.3 </w:t>
          </w:r>
          <w:r>
            <w:rPr>
              <w:rFonts w:ascii="Songti SC" w:hAnsi="Songti SC" w:eastAsia="Songti SC" w:cs="Songti SC"/>
            </w:rPr>
            <w:t>数据库适配</w:t>
          </w:r>
          <w:r>
            <w:tab/>
          </w:r>
          <w:r>
            <w:fldChar w:fldCharType="begin"/>
          </w:r>
          <w:r>
            <w:instrText xml:space="preserve"> PAGEREF _Toc43368604 \h </w:instrText>
          </w:r>
          <w:r>
            <w:fldChar w:fldCharType="separate"/>
          </w:r>
          <w:r>
            <w:t>81</w:t>
          </w:r>
          <w:r>
            <w:fldChar w:fldCharType="end"/>
          </w:r>
          <w:r>
            <w:rPr>
              <w:rFonts w:hint="eastAsia" w:ascii="Songti SC" w:hAnsi="Songti SC" w:eastAsia="Songti SC" w:cs="Songti SC"/>
              <w:color w:val="000000"/>
              <w:szCs w:val="36"/>
            </w:rPr>
            <w:fldChar w:fldCharType="end"/>
          </w:r>
        </w:p>
        <w:p w14:paraId="5E2AB6A2">
          <w:pPr>
            <w:pStyle w:val="29"/>
            <w:tabs>
              <w:tab w:val="right" w:leader="dot" w:pos="8121"/>
            </w:tabs>
          </w:pPr>
          <w:r>
            <w:rPr>
              <w:rFonts w:hint="eastAsia" w:ascii="Songti SC" w:hAnsi="Songti SC" w:eastAsia="Songti SC" w:cs="Songti SC"/>
              <w:color w:val="000000"/>
              <w:szCs w:val="36"/>
            </w:rPr>
            <w:fldChar w:fldCharType="begin"/>
          </w:r>
          <w:r>
            <w:rPr>
              <w:rFonts w:hint="eastAsia" w:ascii="Songti SC" w:hAnsi="Songti SC" w:eastAsia="Songti SC" w:cs="Songti SC"/>
              <w:szCs w:val="36"/>
            </w:rPr>
            <w:instrText xml:space="preserve"> HYPERLINK \l _Toc899171095 </w:instrText>
          </w:r>
          <w:r>
            <w:rPr>
              <w:rFonts w:hint="eastAsia" w:ascii="Songti SC" w:hAnsi="Songti SC" w:eastAsia="Songti SC" w:cs="Songti SC"/>
              <w:szCs w:val="36"/>
            </w:rPr>
            <w:fldChar w:fldCharType="separate"/>
          </w:r>
          <w:r>
            <w:rPr>
              <w:rFonts w:hint="eastAsia"/>
            </w:rPr>
            <w:t xml:space="preserve">6.3.4 </w:t>
          </w:r>
          <w:r>
            <w:rPr>
              <w:rFonts w:ascii="Songti SC" w:hAnsi="Songti SC" w:eastAsia="Songti SC" w:cs="Songti SC"/>
            </w:rPr>
            <w:t>中间件及应用软件适配</w:t>
          </w:r>
          <w:r>
            <w:tab/>
          </w:r>
          <w:r>
            <w:fldChar w:fldCharType="begin"/>
          </w:r>
          <w:r>
            <w:instrText xml:space="preserve"> PAGEREF _Toc899171095 \h </w:instrText>
          </w:r>
          <w:r>
            <w:fldChar w:fldCharType="separate"/>
          </w:r>
          <w:r>
            <w:t>82</w:t>
          </w:r>
          <w:r>
            <w:fldChar w:fldCharType="end"/>
          </w:r>
          <w:r>
            <w:rPr>
              <w:rFonts w:hint="eastAsia" w:ascii="Songti SC" w:hAnsi="Songti SC" w:eastAsia="Songti SC" w:cs="Songti SC"/>
              <w:color w:val="000000"/>
              <w:szCs w:val="36"/>
            </w:rPr>
            <w:fldChar w:fldCharType="end"/>
          </w:r>
        </w:p>
        <w:p w14:paraId="073C19F9">
          <w:pPr>
            <w:pStyle w:val="29"/>
            <w:tabs>
              <w:tab w:val="right" w:leader="dot" w:pos="8121"/>
            </w:tabs>
          </w:pPr>
          <w:r>
            <w:rPr>
              <w:rFonts w:hint="eastAsia" w:ascii="Songti SC" w:hAnsi="Songti SC" w:eastAsia="Songti SC" w:cs="Songti SC"/>
              <w:color w:val="000000"/>
              <w:szCs w:val="36"/>
            </w:rPr>
            <w:fldChar w:fldCharType="begin"/>
          </w:r>
          <w:r>
            <w:rPr>
              <w:rFonts w:hint="eastAsia" w:ascii="Songti SC" w:hAnsi="Songti SC" w:eastAsia="Songti SC" w:cs="Songti SC"/>
              <w:szCs w:val="36"/>
            </w:rPr>
            <w:instrText xml:space="preserve"> HYPERLINK \l _Toc526169726 </w:instrText>
          </w:r>
          <w:r>
            <w:rPr>
              <w:rFonts w:hint="eastAsia" w:ascii="Songti SC" w:hAnsi="Songti SC" w:eastAsia="Songti SC" w:cs="Songti SC"/>
              <w:szCs w:val="36"/>
            </w:rPr>
            <w:fldChar w:fldCharType="separate"/>
          </w:r>
          <w:r>
            <w:rPr>
              <w:rFonts w:hint="eastAsia"/>
            </w:rPr>
            <w:t xml:space="preserve">6.3.5 </w:t>
          </w:r>
          <w:r>
            <w:rPr>
              <w:rFonts w:ascii="Songti SC" w:hAnsi="Songti SC" w:eastAsia="Songti SC" w:cs="Songti SC"/>
            </w:rPr>
            <w:t>外部接口与前置库适配</w:t>
          </w:r>
          <w:r>
            <w:tab/>
          </w:r>
          <w:r>
            <w:fldChar w:fldCharType="begin"/>
          </w:r>
          <w:r>
            <w:instrText xml:space="preserve"> PAGEREF _Toc526169726 \h </w:instrText>
          </w:r>
          <w:r>
            <w:fldChar w:fldCharType="separate"/>
          </w:r>
          <w:r>
            <w:t>84</w:t>
          </w:r>
          <w:r>
            <w:fldChar w:fldCharType="end"/>
          </w:r>
          <w:r>
            <w:rPr>
              <w:rFonts w:hint="eastAsia" w:ascii="Songti SC" w:hAnsi="Songti SC" w:eastAsia="Songti SC" w:cs="Songti SC"/>
              <w:color w:val="000000"/>
              <w:szCs w:val="36"/>
            </w:rPr>
            <w:fldChar w:fldCharType="end"/>
          </w:r>
        </w:p>
        <w:p w14:paraId="35CCB555">
          <w:pPr>
            <w:pStyle w:val="29"/>
            <w:tabs>
              <w:tab w:val="right" w:leader="dot" w:pos="8121"/>
            </w:tabs>
          </w:pPr>
          <w:r>
            <w:rPr>
              <w:rFonts w:hint="eastAsia" w:ascii="Songti SC" w:hAnsi="Songti SC" w:eastAsia="Songti SC" w:cs="Songti SC"/>
              <w:color w:val="000000"/>
              <w:szCs w:val="36"/>
            </w:rPr>
            <w:fldChar w:fldCharType="begin"/>
          </w:r>
          <w:r>
            <w:rPr>
              <w:rFonts w:hint="eastAsia" w:ascii="Songti SC" w:hAnsi="Songti SC" w:eastAsia="Songti SC" w:cs="Songti SC"/>
              <w:szCs w:val="36"/>
            </w:rPr>
            <w:instrText xml:space="preserve"> HYPERLINK \l _Toc2144410183 </w:instrText>
          </w:r>
          <w:r>
            <w:rPr>
              <w:rFonts w:hint="eastAsia" w:ascii="Songti SC" w:hAnsi="Songti SC" w:eastAsia="Songti SC" w:cs="Songti SC"/>
              <w:szCs w:val="36"/>
            </w:rPr>
            <w:fldChar w:fldCharType="separate"/>
          </w:r>
          <w:r>
            <w:rPr>
              <w:rFonts w:hint="eastAsia"/>
            </w:rPr>
            <w:t xml:space="preserve">6.3.6 </w:t>
          </w:r>
          <w:r>
            <w:rPr>
              <w:rFonts w:ascii="Songti SC" w:hAnsi="Songti SC" w:eastAsia="Songti SC" w:cs="Songti SC"/>
            </w:rPr>
            <w:t>多浏览器兼容适配</w:t>
          </w:r>
          <w:r>
            <w:tab/>
          </w:r>
          <w:r>
            <w:fldChar w:fldCharType="begin"/>
          </w:r>
          <w:r>
            <w:instrText xml:space="preserve"> PAGEREF _Toc2144410183 \h </w:instrText>
          </w:r>
          <w:r>
            <w:fldChar w:fldCharType="separate"/>
          </w:r>
          <w:r>
            <w:t>85</w:t>
          </w:r>
          <w:r>
            <w:fldChar w:fldCharType="end"/>
          </w:r>
          <w:r>
            <w:rPr>
              <w:rFonts w:hint="eastAsia" w:ascii="Songti SC" w:hAnsi="Songti SC" w:eastAsia="Songti SC" w:cs="Songti SC"/>
              <w:color w:val="000000"/>
              <w:szCs w:val="36"/>
            </w:rPr>
            <w:fldChar w:fldCharType="end"/>
          </w:r>
        </w:p>
        <w:p w14:paraId="3BA56365">
          <w:pPr>
            <w:pStyle w:val="29"/>
            <w:tabs>
              <w:tab w:val="right" w:leader="dot" w:pos="8121"/>
            </w:tabs>
          </w:pPr>
          <w:r>
            <w:rPr>
              <w:rFonts w:hint="eastAsia" w:ascii="Songti SC" w:hAnsi="Songti SC" w:eastAsia="Songti SC" w:cs="Songti SC"/>
              <w:color w:val="000000"/>
              <w:szCs w:val="36"/>
            </w:rPr>
            <w:fldChar w:fldCharType="begin"/>
          </w:r>
          <w:r>
            <w:rPr>
              <w:rFonts w:hint="eastAsia" w:ascii="Songti SC" w:hAnsi="Songti SC" w:eastAsia="Songti SC" w:cs="Songti SC"/>
              <w:szCs w:val="36"/>
            </w:rPr>
            <w:instrText xml:space="preserve"> HYPERLINK \l _Toc2031381727 </w:instrText>
          </w:r>
          <w:r>
            <w:rPr>
              <w:rFonts w:hint="eastAsia" w:ascii="Songti SC" w:hAnsi="Songti SC" w:eastAsia="Songti SC" w:cs="Songti SC"/>
              <w:szCs w:val="36"/>
            </w:rPr>
            <w:fldChar w:fldCharType="separate"/>
          </w:r>
          <w:r>
            <w:rPr>
              <w:rFonts w:hint="eastAsia"/>
              <w:lang w:eastAsia="zh-CN"/>
            </w:rPr>
            <w:t xml:space="preserve">6.3.7 </w:t>
          </w:r>
          <w:r>
            <w:rPr>
              <w:rFonts w:ascii="Songti SC" w:hAnsi="Songti SC" w:eastAsia="Songti SC" w:cs="Songti SC"/>
              <w:lang w:eastAsia="zh-CN"/>
            </w:rPr>
            <w:t>安全与商用密码应用适配</w:t>
          </w:r>
          <w:r>
            <w:tab/>
          </w:r>
          <w:r>
            <w:fldChar w:fldCharType="begin"/>
          </w:r>
          <w:r>
            <w:instrText xml:space="preserve"> PAGEREF _Toc2031381727 \h </w:instrText>
          </w:r>
          <w:r>
            <w:fldChar w:fldCharType="separate"/>
          </w:r>
          <w:r>
            <w:t>86</w:t>
          </w:r>
          <w:r>
            <w:fldChar w:fldCharType="end"/>
          </w:r>
          <w:r>
            <w:rPr>
              <w:rFonts w:hint="eastAsia" w:ascii="Songti SC" w:hAnsi="Songti SC" w:eastAsia="Songti SC" w:cs="Songti SC"/>
              <w:color w:val="000000"/>
              <w:szCs w:val="36"/>
            </w:rPr>
            <w:fldChar w:fldCharType="end"/>
          </w:r>
        </w:p>
        <w:p w14:paraId="5107BBEA">
          <w:pPr>
            <w:pStyle w:val="50"/>
            <w:tabs>
              <w:tab w:val="right" w:leader="dot" w:pos="8121"/>
            </w:tabs>
          </w:pPr>
          <w:r>
            <w:rPr>
              <w:rFonts w:hint="eastAsia" w:ascii="Songti SC" w:hAnsi="Songti SC" w:eastAsia="Songti SC" w:cs="Songti SC"/>
              <w:color w:val="000000"/>
              <w:szCs w:val="36"/>
            </w:rPr>
            <w:fldChar w:fldCharType="begin"/>
          </w:r>
          <w:r>
            <w:rPr>
              <w:rFonts w:hint="eastAsia" w:ascii="Songti SC" w:hAnsi="Songti SC" w:eastAsia="Songti SC" w:cs="Songti SC"/>
              <w:szCs w:val="36"/>
            </w:rPr>
            <w:instrText xml:space="preserve"> HYPERLINK \l _Toc737665683 </w:instrText>
          </w:r>
          <w:r>
            <w:rPr>
              <w:rFonts w:hint="eastAsia" w:ascii="Songti SC" w:hAnsi="Songti SC" w:eastAsia="Songti SC" w:cs="Songti SC"/>
              <w:szCs w:val="36"/>
            </w:rPr>
            <w:fldChar w:fldCharType="separate"/>
          </w:r>
          <w:r>
            <w:rPr>
              <w:rFonts w:hint="eastAsia"/>
              <w:lang w:eastAsia="zh-CN"/>
            </w:rPr>
            <w:t xml:space="preserve">6.4 </w:t>
          </w:r>
          <w:r>
            <w:rPr>
              <w:rFonts w:ascii="Songti SC" w:hAnsi="Songti SC" w:eastAsia="Songti SC" w:cs="Songti SC"/>
              <w:lang w:eastAsia="zh-CN"/>
            </w:rPr>
            <w:t>上线切换与运行保障方案</w:t>
          </w:r>
          <w:r>
            <w:tab/>
          </w:r>
          <w:r>
            <w:fldChar w:fldCharType="begin"/>
          </w:r>
          <w:r>
            <w:instrText xml:space="preserve"> PAGEREF _Toc737665683 \h </w:instrText>
          </w:r>
          <w:r>
            <w:fldChar w:fldCharType="separate"/>
          </w:r>
          <w:r>
            <w:t>87</w:t>
          </w:r>
          <w:r>
            <w:fldChar w:fldCharType="end"/>
          </w:r>
          <w:r>
            <w:rPr>
              <w:rFonts w:hint="eastAsia" w:ascii="Songti SC" w:hAnsi="Songti SC" w:eastAsia="Songti SC" w:cs="Songti SC"/>
              <w:color w:val="000000"/>
              <w:szCs w:val="36"/>
            </w:rPr>
            <w:fldChar w:fldCharType="end"/>
          </w:r>
        </w:p>
        <w:p w14:paraId="75EF596B">
          <w:pPr>
            <w:pStyle w:val="29"/>
            <w:tabs>
              <w:tab w:val="right" w:leader="dot" w:pos="8121"/>
            </w:tabs>
          </w:pPr>
          <w:r>
            <w:rPr>
              <w:rFonts w:hint="eastAsia" w:ascii="Songti SC" w:hAnsi="Songti SC" w:eastAsia="Songti SC" w:cs="Songti SC"/>
              <w:color w:val="000000"/>
              <w:szCs w:val="36"/>
            </w:rPr>
            <w:fldChar w:fldCharType="begin"/>
          </w:r>
          <w:r>
            <w:rPr>
              <w:rFonts w:hint="eastAsia" w:ascii="Songti SC" w:hAnsi="Songti SC" w:eastAsia="Songti SC" w:cs="Songti SC"/>
              <w:szCs w:val="36"/>
            </w:rPr>
            <w:instrText xml:space="preserve"> HYPERLINK \l _Toc524040050 </w:instrText>
          </w:r>
          <w:r>
            <w:rPr>
              <w:rFonts w:hint="eastAsia" w:ascii="Songti SC" w:hAnsi="Songti SC" w:eastAsia="Songti SC" w:cs="Songti SC"/>
              <w:szCs w:val="36"/>
            </w:rPr>
            <w:fldChar w:fldCharType="separate"/>
          </w:r>
          <w:r>
            <w:rPr>
              <w:rFonts w:hint="eastAsia"/>
            </w:rPr>
            <w:t xml:space="preserve">6.4.1 </w:t>
          </w:r>
          <w:r>
            <w:rPr>
              <w:rFonts w:ascii="Songti SC" w:hAnsi="Songti SC" w:eastAsia="Songti SC" w:cs="Songti SC"/>
            </w:rPr>
            <w:t>实施阶段安排</w:t>
          </w:r>
          <w:r>
            <w:tab/>
          </w:r>
          <w:r>
            <w:fldChar w:fldCharType="begin"/>
          </w:r>
          <w:r>
            <w:instrText xml:space="preserve"> PAGEREF _Toc524040050 \h </w:instrText>
          </w:r>
          <w:r>
            <w:fldChar w:fldCharType="separate"/>
          </w:r>
          <w:r>
            <w:t>87</w:t>
          </w:r>
          <w:r>
            <w:fldChar w:fldCharType="end"/>
          </w:r>
          <w:r>
            <w:rPr>
              <w:rFonts w:hint="eastAsia" w:ascii="Songti SC" w:hAnsi="Songti SC" w:eastAsia="Songti SC" w:cs="Songti SC"/>
              <w:color w:val="000000"/>
              <w:szCs w:val="36"/>
            </w:rPr>
            <w:fldChar w:fldCharType="end"/>
          </w:r>
        </w:p>
        <w:p w14:paraId="72086C13">
          <w:pPr>
            <w:pStyle w:val="29"/>
            <w:tabs>
              <w:tab w:val="right" w:leader="dot" w:pos="8121"/>
            </w:tabs>
          </w:pPr>
          <w:r>
            <w:rPr>
              <w:rFonts w:hint="eastAsia" w:ascii="Songti SC" w:hAnsi="Songti SC" w:eastAsia="Songti SC" w:cs="Songti SC"/>
              <w:color w:val="000000"/>
              <w:szCs w:val="36"/>
            </w:rPr>
            <w:fldChar w:fldCharType="begin"/>
          </w:r>
          <w:r>
            <w:rPr>
              <w:rFonts w:hint="eastAsia" w:ascii="Songti SC" w:hAnsi="Songti SC" w:eastAsia="Songti SC" w:cs="Songti SC"/>
              <w:szCs w:val="36"/>
            </w:rPr>
            <w:instrText xml:space="preserve"> HYPERLINK \l _Toc710684003 </w:instrText>
          </w:r>
          <w:r>
            <w:rPr>
              <w:rFonts w:hint="eastAsia" w:ascii="Songti SC" w:hAnsi="Songti SC" w:eastAsia="Songti SC" w:cs="Songti SC"/>
              <w:szCs w:val="36"/>
            </w:rPr>
            <w:fldChar w:fldCharType="separate"/>
          </w:r>
          <w:r>
            <w:rPr>
              <w:rFonts w:hint="eastAsia"/>
            </w:rPr>
            <w:t xml:space="preserve">6.4.2 </w:t>
          </w:r>
          <w:r>
            <w:rPr>
              <w:rFonts w:ascii="Songti SC" w:hAnsi="Songti SC" w:eastAsia="Songti SC" w:cs="Songti SC"/>
            </w:rPr>
            <w:t>组织协同安排</w:t>
          </w:r>
          <w:r>
            <w:tab/>
          </w:r>
          <w:r>
            <w:fldChar w:fldCharType="begin"/>
          </w:r>
          <w:r>
            <w:instrText xml:space="preserve"> PAGEREF _Toc710684003 \h </w:instrText>
          </w:r>
          <w:r>
            <w:fldChar w:fldCharType="separate"/>
          </w:r>
          <w:r>
            <w:t>88</w:t>
          </w:r>
          <w:r>
            <w:fldChar w:fldCharType="end"/>
          </w:r>
          <w:r>
            <w:rPr>
              <w:rFonts w:hint="eastAsia" w:ascii="Songti SC" w:hAnsi="Songti SC" w:eastAsia="Songti SC" w:cs="Songti SC"/>
              <w:color w:val="000000"/>
              <w:szCs w:val="36"/>
            </w:rPr>
            <w:fldChar w:fldCharType="end"/>
          </w:r>
        </w:p>
        <w:p w14:paraId="6E635A94">
          <w:pPr>
            <w:pStyle w:val="29"/>
            <w:tabs>
              <w:tab w:val="right" w:leader="dot" w:pos="8121"/>
            </w:tabs>
          </w:pPr>
          <w:r>
            <w:rPr>
              <w:rFonts w:hint="eastAsia" w:ascii="Songti SC" w:hAnsi="Songti SC" w:eastAsia="Songti SC" w:cs="Songti SC"/>
              <w:color w:val="000000"/>
              <w:szCs w:val="36"/>
            </w:rPr>
            <w:fldChar w:fldCharType="begin"/>
          </w:r>
          <w:r>
            <w:rPr>
              <w:rFonts w:hint="eastAsia" w:ascii="Songti SC" w:hAnsi="Songti SC" w:eastAsia="Songti SC" w:cs="Songti SC"/>
              <w:szCs w:val="36"/>
            </w:rPr>
            <w:instrText xml:space="preserve"> HYPERLINK \l _Toc161993807 </w:instrText>
          </w:r>
          <w:r>
            <w:rPr>
              <w:rFonts w:hint="eastAsia" w:ascii="Songti SC" w:hAnsi="Songti SC" w:eastAsia="Songti SC" w:cs="Songti SC"/>
              <w:szCs w:val="36"/>
            </w:rPr>
            <w:fldChar w:fldCharType="separate"/>
          </w:r>
          <w:r>
            <w:rPr>
              <w:rFonts w:hint="eastAsia"/>
            </w:rPr>
            <w:t xml:space="preserve">6.4.3 </w:t>
          </w:r>
          <w:r>
            <w:rPr>
              <w:rFonts w:ascii="Songti SC" w:hAnsi="Songti SC" w:eastAsia="Songti SC" w:cs="Songti SC"/>
            </w:rPr>
            <w:t>运行监测安排</w:t>
          </w:r>
          <w:r>
            <w:tab/>
          </w:r>
          <w:r>
            <w:fldChar w:fldCharType="begin"/>
          </w:r>
          <w:r>
            <w:instrText xml:space="preserve"> PAGEREF _Toc161993807 \h </w:instrText>
          </w:r>
          <w:r>
            <w:fldChar w:fldCharType="separate"/>
          </w:r>
          <w:r>
            <w:t>89</w:t>
          </w:r>
          <w:r>
            <w:fldChar w:fldCharType="end"/>
          </w:r>
          <w:r>
            <w:rPr>
              <w:rFonts w:hint="eastAsia" w:ascii="Songti SC" w:hAnsi="Songti SC" w:eastAsia="Songti SC" w:cs="Songti SC"/>
              <w:color w:val="000000"/>
              <w:szCs w:val="36"/>
            </w:rPr>
            <w:fldChar w:fldCharType="end"/>
          </w:r>
        </w:p>
        <w:p w14:paraId="55D0F764">
          <w:pPr>
            <w:pStyle w:val="29"/>
            <w:tabs>
              <w:tab w:val="right" w:leader="dot" w:pos="8121"/>
            </w:tabs>
          </w:pPr>
          <w:r>
            <w:rPr>
              <w:rFonts w:hint="eastAsia" w:ascii="Songti SC" w:hAnsi="Songti SC" w:eastAsia="Songti SC" w:cs="Songti SC"/>
              <w:color w:val="000000"/>
              <w:szCs w:val="36"/>
            </w:rPr>
            <w:fldChar w:fldCharType="begin"/>
          </w:r>
          <w:r>
            <w:rPr>
              <w:rFonts w:hint="eastAsia" w:ascii="Songti SC" w:hAnsi="Songti SC" w:eastAsia="Songti SC" w:cs="Songti SC"/>
              <w:szCs w:val="36"/>
            </w:rPr>
            <w:instrText xml:space="preserve"> HYPERLINK \l _Toc1768133500 </w:instrText>
          </w:r>
          <w:r>
            <w:rPr>
              <w:rFonts w:hint="eastAsia" w:ascii="Songti SC" w:hAnsi="Songti SC" w:eastAsia="Songti SC" w:cs="Songti SC"/>
              <w:szCs w:val="36"/>
            </w:rPr>
            <w:fldChar w:fldCharType="separate"/>
          </w:r>
          <w:r>
            <w:rPr>
              <w:rFonts w:hint="eastAsia"/>
            </w:rPr>
            <w:t xml:space="preserve">6.4.4 </w:t>
          </w:r>
          <w:r>
            <w:rPr>
              <w:rFonts w:ascii="Songti SC" w:hAnsi="Songti SC" w:eastAsia="Songti SC" w:cs="Songti SC"/>
            </w:rPr>
            <w:t>培训与交接安排</w:t>
          </w:r>
          <w:r>
            <w:tab/>
          </w:r>
          <w:r>
            <w:fldChar w:fldCharType="begin"/>
          </w:r>
          <w:r>
            <w:instrText xml:space="preserve"> PAGEREF _Toc1768133500 \h </w:instrText>
          </w:r>
          <w:r>
            <w:fldChar w:fldCharType="separate"/>
          </w:r>
          <w:r>
            <w:t>89</w:t>
          </w:r>
          <w:r>
            <w:fldChar w:fldCharType="end"/>
          </w:r>
          <w:r>
            <w:rPr>
              <w:rFonts w:hint="eastAsia" w:ascii="Songti SC" w:hAnsi="Songti SC" w:eastAsia="Songti SC" w:cs="Songti SC"/>
              <w:color w:val="000000"/>
              <w:szCs w:val="36"/>
            </w:rPr>
            <w:fldChar w:fldCharType="end"/>
          </w:r>
        </w:p>
        <w:p w14:paraId="60F8D006">
          <w:pPr>
            <w:pStyle w:val="29"/>
            <w:tabs>
              <w:tab w:val="right" w:leader="dot" w:pos="8121"/>
            </w:tabs>
          </w:pPr>
          <w:r>
            <w:rPr>
              <w:rFonts w:hint="eastAsia" w:ascii="Songti SC" w:hAnsi="Songti SC" w:eastAsia="Songti SC" w:cs="Songti SC"/>
              <w:color w:val="000000"/>
              <w:szCs w:val="36"/>
            </w:rPr>
            <w:fldChar w:fldCharType="begin"/>
          </w:r>
          <w:r>
            <w:rPr>
              <w:rFonts w:hint="eastAsia" w:ascii="Songti SC" w:hAnsi="Songti SC" w:eastAsia="Songti SC" w:cs="Songti SC"/>
              <w:szCs w:val="36"/>
            </w:rPr>
            <w:instrText xml:space="preserve"> HYPERLINK \l _Toc141027314 </w:instrText>
          </w:r>
          <w:r>
            <w:rPr>
              <w:rFonts w:hint="eastAsia" w:ascii="Songti SC" w:hAnsi="Songti SC" w:eastAsia="Songti SC" w:cs="Songti SC"/>
              <w:szCs w:val="36"/>
            </w:rPr>
            <w:fldChar w:fldCharType="separate"/>
          </w:r>
          <w:r>
            <w:rPr>
              <w:rFonts w:hint="eastAsia"/>
            </w:rPr>
            <w:t xml:space="preserve">6.4.5 </w:t>
          </w:r>
          <w:r>
            <w:rPr>
              <w:rFonts w:ascii="Songti SC" w:hAnsi="Songti SC" w:eastAsia="Songti SC" w:cs="Songti SC"/>
            </w:rPr>
            <w:t>风险控制安排</w:t>
          </w:r>
          <w:r>
            <w:tab/>
          </w:r>
          <w:r>
            <w:fldChar w:fldCharType="begin"/>
          </w:r>
          <w:r>
            <w:instrText xml:space="preserve"> PAGEREF _Toc141027314 \h </w:instrText>
          </w:r>
          <w:r>
            <w:fldChar w:fldCharType="separate"/>
          </w:r>
          <w:r>
            <w:t>90</w:t>
          </w:r>
          <w:r>
            <w:fldChar w:fldCharType="end"/>
          </w:r>
          <w:r>
            <w:rPr>
              <w:rFonts w:hint="eastAsia" w:ascii="Songti SC" w:hAnsi="Songti SC" w:eastAsia="Songti SC" w:cs="Songti SC"/>
              <w:color w:val="000000"/>
              <w:szCs w:val="36"/>
            </w:rPr>
            <w:fldChar w:fldCharType="end"/>
          </w:r>
        </w:p>
        <w:p w14:paraId="0178BD5C">
          <w:pPr>
            <w:pStyle w:val="29"/>
            <w:tabs>
              <w:tab w:val="right" w:leader="dot" w:pos="8121"/>
            </w:tabs>
          </w:pPr>
          <w:r>
            <w:rPr>
              <w:rFonts w:hint="eastAsia" w:ascii="Songti SC" w:hAnsi="Songti SC" w:eastAsia="Songti SC" w:cs="Songti SC"/>
              <w:color w:val="000000"/>
              <w:szCs w:val="36"/>
            </w:rPr>
            <w:fldChar w:fldCharType="begin"/>
          </w:r>
          <w:r>
            <w:rPr>
              <w:rFonts w:hint="eastAsia" w:ascii="Songti SC" w:hAnsi="Songti SC" w:eastAsia="Songti SC" w:cs="Songti SC"/>
              <w:szCs w:val="36"/>
            </w:rPr>
            <w:instrText xml:space="preserve"> HYPERLINK \l _Toc1571603757 </w:instrText>
          </w:r>
          <w:r>
            <w:rPr>
              <w:rFonts w:hint="eastAsia" w:ascii="Songti SC" w:hAnsi="Songti SC" w:eastAsia="Songti SC" w:cs="Songti SC"/>
              <w:szCs w:val="36"/>
            </w:rPr>
            <w:fldChar w:fldCharType="separate"/>
          </w:r>
          <w:r>
            <w:rPr>
              <w:rFonts w:hint="eastAsia"/>
            </w:rPr>
            <w:t xml:space="preserve">6.4.6 </w:t>
          </w:r>
          <w:r>
            <w:rPr>
              <w:rFonts w:ascii="Songti SC" w:hAnsi="Songti SC" w:eastAsia="Songti SC" w:cs="Songti SC"/>
            </w:rPr>
            <w:t>详细落地工作分解</w:t>
          </w:r>
          <w:r>
            <w:tab/>
          </w:r>
          <w:r>
            <w:fldChar w:fldCharType="begin"/>
          </w:r>
          <w:r>
            <w:instrText xml:space="preserve"> PAGEREF _Toc1571603757 \h </w:instrText>
          </w:r>
          <w:r>
            <w:fldChar w:fldCharType="separate"/>
          </w:r>
          <w:r>
            <w:t>90</w:t>
          </w:r>
          <w:r>
            <w:fldChar w:fldCharType="end"/>
          </w:r>
          <w:r>
            <w:rPr>
              <w:rFonts w:hint="eastAsia" w:ascii="Songti SC" w:hAnsi="Songti SC" w:eastAsia="Songti SC" w:cs="Songti SC"/>
              <w:color w:val="000000"/>
              <w:szCs w:val="36"/>
            </w:rPr>
            <w:fldChar w:fldCharType="end"/>
          </w:r>
        </w:p>
        <w:p w14:paraId="332FBB09">
          <w:pPr>
            <w:pStyle w:val="50"/>
            <w:tabs>
              <w:tab w:val="right" w:leader="dot" w:pos="8121"/>
            </w:tabs>
          </w:pPr>
          <w:r>
            <w:rPr>
              <w:rFonts w:hint="eastAsia" w:ascii="Songti SC" w:hAnsi="Songti SC" w:eastAsia="Songti SC" w:cs="Songti SC"/>
              <w:color w:val="000000"/>
              <w:szCs w:val="36"/>
            </w:rPr>
            <w:fldChar w:fldCharType="begin"/>
          </w:r>
          <w:r>
            <w:rPr>
              <w:rFonts w:hint="eastAsia" w:ascii="Songti SC" w:hAnsi="Songti SC" w:eastAsia="Songti SC" w:cs="Songti SC"/>
              <w:szCs w:val="36"/>
            </w:rPr>
            <w:instrText xml:space="preserve"> HYPERLINK \l _Toc2042969446 </w:instrText>
          </w:r>
          <w:r>
            <w:rPr>
              <w:rFonts w:hint="eastAsia" w:ascii="Songti SC" w:hAnsi="Songti SC" w:eastAsia="Songti SC" w:cs="Songti SC"/>
              <w:szCs w:val="36"/>
            </w:rPr>
            <w:fldChar w:fldCharType="separate"/>
          </w:r>
          <w:r>
            <w:rPr>
              <w:rFonts w:hint="eastAsia"/>
              <w:lang w:eastAsia="zh-CN"/>
            </w:rPr>
            <w:t xml:space="preserve">6.5 </w:t>
          </w:r>
          <w:r>
            <w:rPr>
              <w:rFonts w:hint="eastAsia" w:ascii="Songti SC" w:hAnsi="Songti SC" w:eastAsia="Songti SC" w:cs="Songti SC"/>
              <w:lang w:eastAsia="zh-CN"/>
            </w:rPr>
            <w:t>信息安全建设方案</w:t>
          </w:r>
          <w:r>
            <w:tab/>
          </w:r>
          <w:r>
            <w:fldChar w:fldCharType="begin"/>
          </w:r>
          <w:r>
            <w:instrText xml:space="preserve"> PAGEREF _Toc2042969446 \h </w:instrText>
          </w:r>
          <w:r>
            <w:fldChar w:fldCharType="separate"/>
          </w:r>
          <w:r>
            <w:t>121</w:t>
          </w:r>
          <w:r>
            <w:fldChar w:fldCharType="end"/>
          </w:r>
          <w:r>
            <w:rPr>
              <w:rFonts w:hint="eastAsia" w:ascii="Songti SC" w:hAnsi="Songti SC" w:eastAsia="Songti SC" w:cs="Songti SC"/>
              <w:color w:val="000000"/>
              <w:szCs w:val="36"/>
            </w:rPr>
            <w:fldChar w:fldCharType="end"/>
          </w:r>
        </w:p>
        <w:p w14:paraId="46865A5C">
          <w:pPr>
            <w:pStyle w:val="29"/>
            <w:tabs>
              <w:tab w:val="right" w:leader="dot" w:pos="8121"/>
            </w:tabs>
          </w:pPr>
          <w:r>
            <w:rPr>
              <w:rFonts w:hint="eastAsia" w:ascii="Songti SC" w:hAnsi="Songti SC" w:eastAsia="Songti SC" w:cs="Songti SC"/>
              <w:color w:val="000000"/>
              <w:szCs w:val="36"/>
            </w:rPr>
            <w:fldChar w:fldCharType="begin"/>
          </w:r>
          <w:r>
            <w:rPr>
              <w:rFonts w:hint="eastAsia" w:ascii="Songti SC" w:hAnsi="Songti SC" w:eastAsia="Songti SC" w:cs="Songti SC"/>
              <w:szCs w:val="36"/>
            </w:rPr>
            <w:instrText xml:space="preserve"> HYPERLINK \l _Toc71447039 </w:instrText>
          </w:r>
          <w:r>
            <w:rPr>
              <w:rFonts w:hint="eastAsia" w:ascii="Songti SC" w:hAnsi="Songti SC" w:eastAsia="Songti SC" w:cs="Songti SC"/>
              <w:szCs w:val="36"/>
            </w:rPr>
            <w:fldChar w:fldCharType="separate"/>
          </w:r>
          <w:r>
            <w:rPr>
              <w:rFonts w:hint="eastAsia"/>
            </w:rPr>
            <w:t xml:space="preserve">6.5.1 </w:t>
          </w:r>
          <w:r>
            <w:rPr>
              <w:rFonts w:ascii="Songti SC" w:hAnsi="Songti SC" w:eastAsia="Songti SC" w:cs="Songti SC"/>
            </w:rPr>
            <w:t>项目目标</w:t>
          </w:r>
          <w:r>
            <w:tab/>
          </w:r>
          <w:r>
            <w:fldChar w:fldCharType="begin"/>
          </w:r>
          <w:r>
            <w:instrText xml:space="preserve"> PAGEREF _Toc71447039 \h </w:instrText>
          </w:r>
          <w:r>
            <w:fldChar w:fldCharType="separate"/>
          </w:r>
          <w:r>
            <w:t>121</w:t>
          </w:r>
          <w:r>
            <w:fldChar w:fldCharType="end"/>
          </w:r>
          <w:r>
            <w:rPr>
              <w:rFonts w:hint="eastAsia" w:ascii="Songti SC" w:hAnsi="Songti SC" w:eastAsia="Songti SC" w:cs="Songti SC"/>
              <w:color w:val="000000"/>
              <w:szCs w:val="36"/>
            </w:rPr>
            <w:fldChar w:fldCharType="end"/>
          </w:r>
        </w:p>
        <w:p w14:paraId="5BD4536F">
          <w:pPr>
            <w:pStyle w:val="29"/>
            <w:tabs>
              <w:tab w:val="right" w:leader="dot" w:pos="8121"/>
            </w:tabs>
          </w:pPr>
          <w:r>
            <w:rPr>
              <w:rFonts w:hint="eastAsia" w:ascii="Songti SC" w:hAnsi="Songti SC" w:eastAsia="Songti SC" w:cs="Songti SC"/>
              <w:color w:val="000000"/>
              <w:szCs w:val="36"/>
            </w:rPr>
            <w:fldChar w:fldCharType="begin"/>
          </w:r>
          <w:r>
            <w:rPr>
              <w:rFonts w:hint="eastAsia" w:ascii="Songti SC" w:hAnsi="Songti SC" w:eastAsia="Songti SC" w:cs="Songti SC"/>
              <w:szCs w:val="36"/>
            </w:rPr>
            <w:instrText xml:space="preserve"> HYPERLINK \l _Toc367025800 </w:instrText>
          </w:r>
          <w:r>
            <w:rPr>
              <w:rFonts w:hint="eastAsia" w:ascii="Songti SC" w:hAnsi="Songti SC" w:eastAsia="Songti SC" w:cs="Songti SC"/>
              <w:szCs w:val="36"/>
            </w:rPr>
            <w:fldChar w:fldCharType="separate"/>
          </w:r>
          <w:r>
            <w:rPr>
              <w:rFonts w:hint="eastAsia"/>
            </w:rPr>
            <w:t xml:space="preserve">6.5.2 </w:t>
          </w:r>
          <w:r>
            <w:rPr>
              <w:rFonts w:ascii="Songti SC" w:hAnsi="Songti SC" w:eastAsia="Songti SC" w:cs="Songti SC"/>
            </w:rPr>
            <w:t>项目内容</w:t>
          </w:r>
          <w:r>
            <w:tab/>
          </w:r>
          <w:r>
            <w:fldChar w:fldCharType="begin"/>
          </w:r>
          <w:r>
            <w:instrText xml:space="preserve"> PAGEREF _Toc367025800 \h </w:instrText>
          </w:r>
          <w:r>
            <w:fldChar w:fldCharType="separate"/>
          </w:r>
          <w:r>
            <w:t>122</w:t>
          </w:r>
          <w:r>
            <w:fldChar w:fldCharType="end"/>
          </w:r>
          <w:r>
            <w:rPr>
              <w:rFonts w:hint="eastAsia" w:ascii="Songti SC" w:hAnsi="Songti SC" w:eastAsia="Songti SC" w:cs="Songti SC"/>
              <w:color w:val="000000"/>
              <w:szCs w:val="36"/>
            </w:rPr>
            <w:fldChar w:fldCharType="end"/>
          </w:r>
        </w:p>
        <w:p w14:paraId="23A8A8DE">
          <w:pPr>
            <w:pStyle w:val="29"/>
            <w:tabs>
              <w:tab w:val="right" w:leader="dot" w:pos="8121"/>
            </w:tabs>
          </w:pPr>
          <w:r>
            <w:rPr>
              <w:rFonts w:hint="eastAsia" w:ascii="Songti SC" w:hAnsi="Songti SC" w:eastAsia="Songti SC" w:cs="Songti SC"/>
              <w:color w:val="000000"/>
              <w:szCs w:val="36"/>
            </w:rPr>
            <w:fldChar w:fldCharType="begin"/>
          </w:r>
          <w:r>
            <w:rPr>
              <w:rFonts w:hint="eastAsia" w:ascii="Songti SC" w:hAnsi="Songti SC" w:eastAsia="Songti SC" w:cs="Songti SC"/>
              <w:szCs w:val="36"/>
            </w:rPr>
            <w:instrText xml:space="preserve"> HYPERLINK \l _Toc1029586416 </w:instrText>
          </w:r>
          <w:r>
            <w:rPr>
              <w:rFonts w:hint="eastAsia" w:ascii="Songti SC" w:hAnsi="Songti SC" w:eastAsia="Songti SC" w:cs="Songti SC"/>
              <w:szCs w:val="36"/>
            </w:rPr>
            <w:fldChar w:fldCharType="separate"/>
          </w:r>
          <w:r>
            <w:rPr>
              <w:rFonts w:hint="eastAsia"/>
            </w:rPr>
            <w:t xml:space="preserve">6.5.3 </w:t>
          </w:r>
          <w:r>
            <w:rPr>
              <w:rFonts w:hint="eastAsia" w:ascii="Songti SC" w:hAnsi="Songti SC" w:eastAsia="Songti SC" w:cs="Songti SC"/>
            </w:rPr>
            <w:t>安全架构设计</w:t>
          </w:r>
          <w:r>
            <w:tab/>
          </w:r>
          <w:r>
            <w:fldChar w:fldCharType="begin"/>
          </w:r>
          <w:r>
            <w:instrText xml:space="preserve"> PAGEREF _Toc1029586416 \h </w:instrText>
          </w:r>
          <w:r>
            <w:fldChar w:fldCharType="separate"/>
          </w:r>
          <w:r>
            <w:t>123</w:t>
          </w:r>
          <w:r>
            <w:fldChar w:fldCharType="end"/>
          </w:r>
          <w:r>
            <w:rPr>
              <w:rFonts w:hint="eastAsia" w:ascii="Songti SC" w:hAnsi="Songti SC" w:eastAsia="Songti SC" w:cs="Songti SC"/>
              <w:color w:val="000000"/>
              <w:szCs w:val="36"/>
            </w:rPr>
            <w:fldChar w:fldCharType="end"/>
          </w:r>
        </w:p>
        <w:p w14:paraId="6ED0772B">
          <w:pPr>
            <w:pStyle w:val="29"/>
            <w:tabs>
              <w:tab w:val="right" w:leader="dot" w:pos="8121"/>
            </w:tabs>
          </w:pPr>
          <w:r>
            <w:rPr>
              <w:rFonts w:hint="eastAsia" w:ascii="Songti SC" w:hAnsi="Songti SC" w:eastAsia="Songti SC" w:cs="Songti SC"/>
              <w:color w:val="000000"/>
              <w:szCs w:val="36"/>
            </w:rPr>
            <w:fldChar w:fldCharType="begin"/>
          </w:r>
          <w:r>
            <w:rPr>
              <w:rFonts w:hint="eastAsia" w:ascii="Songti SC" w:hAnsi="Songti SC" w:eastAsia="Songti SC" w:cs="Songti SC"/>
              <w:szCs w:val="36"/>
            </w:rPr>
            <w:instrText xml:space="preserve"> HYPERLINK \l _Toc1983149833 </w:instrText>
          </w:r>
          <w:r>
            <w:rPr>
              <w:rFonts w:hint="eastAsia" w:ascii="Songti SC" w:hAnsi="Songti SC" w:eastAsia="Songti SC" w:cs="Songti SC"/>
              <w:szCs w:val="36"/>
            </w:rPr>
            <w:fldChar w:fldCharType="separate"/>
          </w:r>
          <w:r>
            <w:rPr>
              <w:rFonts w:hint="eastAsia"/>
            </w:rPr>
            <w:t xml:space="preserve">6.5.4 </w:t>
          </w:r>
          <w:r>
            <w:rPr>
              <w:rFonts w:ascii="Songti SC" w:hAnsi="Songti SC" w:eastAsia="Songti SC" w:cs="Songti SC"/>
            </w:rPr>
            <w:t>安全技术防护</w:t>
          </w:r>
          <w:r>
            <w:tab/>
          </w:r>
          <w:r>
            <w:fldChar w:fldCharType="begin"/>
          </w:r>
          <w:r>
            <w:instrText xml:space="preserve"> PAGEREF _Toc1983149833 \h </w:instrText>
          </w:r>
          <w:r>
            <w:fldChar w:fldCharType="separate"/>
          </w:r>
          <w:r>
            <w:t>125</w:t>
          </w:r>
          <w:r>
            <w:fldChar w:fldCharType="end"/>
          </w:r>
          <w:r>
            <w:rPr>
              <w:rFonts w:hint="eastAsia" w:ascii="Songti SC" w:hAnsi="Songti SC" w:eastAsia="Songti SC" w:cs="Songti SC"/>
              <w:color w:val="000000"/>
              <w:szCs w:val="36"/>
            </w:rPr>
            <w:fldChar w:fldCharType="end"/>
          </w:r>
        </w:p>
        <w:p w14:paraId="2CA51216">
          <w:pPr>
            <w:pStyle w:val="29"/>
            <w:tabs>
              <w:tab w:val="right" w:leader="dot" w:pos="8121"/>
            </w:tabs>
          </w:pPr>
          <w:r>
            <w:rPr>
              <w:rFonts w:hint="eastAsia" w:ascii="Songti SC" w:hAnsi="Songti SC" w:eastAsia="Songti SC" w:cs="Songti SC"/>
              <w:color w:val="000000"/>
              <w:szCs w:val="36"/>
            </w:rPr>
            <w:fldChar w:fldCharType="begin"/>
          </w:r>
          <w:r>
            <w:rPr>
              <w:rFonts w:hint="eastAsia" w:ascii="Songti SC" w:hAnsi="Songti SC" w:eastAsia="Songti SC" w:cs="Songti SC"/>
              <w:szCs w:val="36"/>
            </w:rPr>
            <w:instrText xml:space="preserve"> HYPERLINK \l _Toc1853041791 </w:instrText>
          </w:r>
          <w:r>
            <w:rPr>
              <w:rFonts w:hint="eastAsia" w:ascii="Songti SC" w:hAnsi="Songti SC" w:eastAsia="Songti SC" w:cs="Songti SC"/>
              <w:szCs w:val="36"/>
            </w:rPr>
            <w:fldChar w:fldCharType="separate"/>
          </w:r>
          <w:r>
            <w:rPr>
              <w:rFonts w:hint="eastAsia"/>
            </w:rPr>
            <w:t xml:space="preserve">6.5.5 </w:t>
          </w:r>
          <w:r>
            <w:rPr>
              <w:rFonts w:ascii="Songti SC" w:hAnsi="Songti SC" w:eastAsia="Songti SC" w:cs="Songti SC"/>
            </w:rPr>
            <w:t>安全管理防护</w:t>
          </w:r>
          <w:r>
            <w:tab/>
          </w:r>
          <w:r>
            <w:fldChar w:fldCharType="begin"/>
          </w:r>
          <w:r>
            <w:instrText xml:space="preserve"> PAGEREF _Toc1853041791 \h </w:instrText>
          </w:r>
          <w:r>
            <w:fldChar w:fldCharType="separate"/>
          </w:r>
          <w:r>
            <w:t>128</w:t>
          </w:r>
          <w:r>
            <w:fldChar w:fldCharType="end"/>
          </w:r>
          <w:r>
            <w:rPr>
              <w:rFonts w:hint="eastAsia" w:ascii="Songti SC" w:hAnsi="Songti SC" w:eastAsia="Songti SC" w:cs="Songti SC"/>
              <w:color w:val="000000"/>
              <w:szCs w:val="36"/>
            </w:rPr>
            <w:fldChar w:fldCharType="end"/>
          </w:r>
        </w:p>
        <w:p w14:paraId="73ED7C5D">
          <w:pPr>
            <w:pStyle w:val="29"/>
            <w:tabs>
              <w:tab w:val="right" w:leader="dot" w:pos="8121"/>
            </w:tabs>
          </w:pPr>
          <w:r>
            <w:rPr>
              <w:rFonts w:hint="eastAsia" w:ascii="Songti SC" w:hAnsi="Songti SC" w:eastAsia="Songti SC" w:cs="Songti SC"/>
              <w:color w:val="000000"/>
              <w:szCs w:val="36"/>
            </w:rPr>
            <w:fldChar w:fldCharType="begin"/>
          </w:r>
          <w:r>
            <w:rPr>
              <w:rFonts w:hint="eastAsia" w:ascii="Songti SC" w:hAnsi="Songti SC" w:eastAsia="Songti SC" w:cs="Songti SC"/>
              <w:szCs w:val="36"/>
            </w:rPr>
            <w:instrText xml:space="preserve"> HYPERLINK \l _Toc1265532543 </w:instrText>
          </w:r>
          <w:r>
            <w:rPr>
              <w:rFonts w:hint="eastAsia" w:ascii="Songti SC" w:hAnsi="Songti SC" w:eastAsia="Songti SC" w:cs="Songti SC"/>
              <w:szCs w:val="36"/>
            </w:rPr>
            <w:fldChar w:fldCharType="separate"/>
          </w:r>
          <w:r>
            <w:rPr>
              <w:rFonts w:hint="eastAsia"/>
              <w:lang w:eastAsia="zh-CN"/>
            </w:rPr>
            <w:t xml:space="preserve">6.5.6 </w:t>
          </w:r>
          <w:r>
            <w:rPr>
              <w:rFonts w:hint="eastAsia" w:ascii="Songti SC" w:hAnsi="Songti SC" w:eastAsia="Songti SC" w:cs="Songti SC"/>
              <w:lang w:eastAsia="zh-CN"/>
            </w:rPr>
            <w:t>针对特定场景的安全措施</w:t>
          </w:r>
          <w:r>
            <w:tab/>
          </w:r>
          <w:r>
            <w:fldChar w:fldCharType="begin"/>
          </w:r>
          <w:r>
            <w:instrText xml:space="preserve"> PAGEREF _Toc1265532543 \h </w:instrText>
          </w:r>
          <w:r>
            <w:fldChar w:fldCharType="separate"/>
          </w:r>
          <w:r>
            <w:t>130</w:t>
          </w:r>
          <w:r>
            <w:fldChar w:fldCharType="end"/>
          </w:r>
          <w:r>
            <w:rPr>
              <w:rFonts w:hint="eastAsia" w:ascii="Songti SC" w:hAnsi="Songti SC" w:eastAsia="Songti SC" w:cs="Songti SC"/>
              <w:color w:val="000000"/>
              <w:szCs w:val="36"/>
            </w:rPr>
            <w:fldChar w:fldCharType="end"/>
          </w:r>
        </w:p>
        <w:p w14:paraId="0218C964">
          <w:pPr>
            <w:pStyle w:val="29"/>
            <w:tabs>
              <w:tab w:val="right" w:leader="dot" w:pos="8121"/>
            </w:tabs>
          </w:pPr>
          <w:r>
            <w:rPr>
              <w:rFonts w:hint="eastAsia" w:ascii="Songti SC" w:hAnsi="Songti SC" w:eastAsia="Songti SC" w:cs="Songti SC"/>
              <w:color w:val="000000"/>
              <w:szCs w:val="36"/>
            </w:rPr>
            <w:fldChar w:fldCharType="begin"/>
          </w:r>
          <w:r>
            <w:rPr>
              <w:rFonts w:hint="eastAsia" w:ascii="Songti SC" w:hAnsi="Songti SC" w:eastAsia="Songti SC" w:cs="Songti SC"/>
              <w:szCs w:val="36"/>
            </w:rPr>
            <w:instrText xml:space="preserve"> HYPERLINK \l _Toc1127410313 </w:instrText>
          </w:r>
          <w:r>
            <w:rPr>
              <w:rFonts w:hint="eastAsia" w:ascii="Songti SC" w:hAnsi="Songti SC" w:eastAsia="Songti SC" w:cs="Songti SC"/>
              <w:szCs w:val="36"/>
            </w:rPr>
            <w:fldChar w:fldCharType="separate"/>
          </w:r>
          <w:r>
            <w:rPr>
              <w:rFonts w:hint="eastAsia"/>
            </w:rPr>
            <w:t xml:space="preserve">6.5.7 </w:t>
          </w:r>
          <w:r>
            <w:rPr>
              <w:rFonts w:hint="eastAsia" w:ascii="Songti SC" w:hAnsi="Songti SC" w:eastAsia="Songti SC" w:cs="Songti SC"/>
            </w:rPr>
            <w:t>合规性与标准</w:t>
          </w:r>
          <w:r>
            <w:tab/>
          </w:r>
          <w:r>
            <w:fldChar w:fldCharType="begin"/>
          </w:r>
          <w:r>
            <w:instrText xml:space="preserve"> PAGEREF _Toc1127410313 \h </w:instrText>
          </w:r>
          <w:r>
            <w:fldChar w:fldCharType="separate"/>
          </w:r>
          <w:r>
            <w:t>131</w:t>
          </w:r>
          <w:r>
            <w:fldChar w:fldCharType="end"/>
          </w:r>
          <w:r>
            <w:rPr>
              <w:rFonts w:hint="eastAsia" w:ascii="Songti SC" w:hAnsi="Songti SC" w:eastAsia="Songti SC" w:cs="Songti SC"/>
              <w:color w:val="000000"/>
              <w:szCs w:val="36"/>
            </w:rPr>
            <w:fldChar w:fldCharType="end"/>
          </w:r>
        </w:p>
        <w:p w14:paraId="2AE5FC27">
          <w:pPr>
            <w:pStyle w:val="50"/>
            <w:tabs>
              <w:tab w:val="right" w:leader="dot" w:pos="8121"/>
            </w:tabs>
          </w:pPr>
          <w:r>
            <w:rPr>
              <w:rFonts w:hint="eastAsia" w:ascii="Songti SC" w:hAnsi="Songti SC" w:eastAsia="Songti SC" w:cs="Songti SC"/>
              <w:color w:val="000000"/>
              <w:szCs w:val="36"/>
            </w:rPr>
            <w:fldChar w:fldCharType="begin"/>
          </w:r>
          <w:r>
            <w:rPr>
              <w:rFonts w:hint="eastAsia" w:ascii="Songti SC" w:hAnsi="Songti SC" w:eastAsia="Songti SC" w:cs="Songti SC"/>
              <w:szCs w:val="36"/>
            </w:rPr>
            <w:instrText xml:space="preserve"> HYPERLINK \l _Toc1136913110 </w:instrText>
          </w:r>
          <w:r>
            <w:rPr>
              <w:rFonts w:hint="eastAsia" w:ascii="Songti SC" w:hAnsi="Songti SC" w:eastAsia="Songti SC" w:cs="Songti SC"/>
              <w:szCs w:val="36"/>
            </w:rPr>
            <w:fldChar w:fldCharType="separate"/>
          </w:r>
          <w:r>
            <w:rPr>
              <w:rFonts w:hint="eastAsia"/>
              <w:lang w:eastAsia="zh-CN"/>
            </w:rPr>
            <w:t xml:space="preserve">6.6 </w:t>
          </w:r>
          <w:r>
            <w:rPr>
              <w:rFonts w:hint="eastAsia" w:ascii="Songti SC" w:hAnsi="Songti SC" w:eastAsia="Songti SC" w:cs="Songti SC"/>
              <w:lang w:eastAsia="zh-CN"/>
            </w:rPr>
            <w:t>项目部署方案</w:t>
          </w:r>
          <w:r>
            <w:tab/>
          </w:r>
          <w:r>
            <w:fldChar w:fldCharType="begin"/>
          </w:r>
          <w:r>
            <w:instrText xml:space="preserve"> PAGEREF _Toc1136913110 \h </w:instrText>
          </w:r>
          <w:r>
            <w:fldChar w:fldCharType="separate"/>
          </w:r>
          <w:r>
            <w:t>131</w:t>
          </w:r>
          <w:r>
            <w:fldChar w:fldCharType="end"/>
          </w:r>
          <w:r>
            <w:rPr>
              <w:rFonts w:hint="eastAsia" w:ascii="Songti SC" w:hAnsi="Songti SC" w:eastAsia="Songti SC" w:cs="Songti SC"/>
              <w:color w:val="000000"/>
              <w:szCs w:val="36"/>
            </w:rPr>
            <w:fldChar w:fldCharType="end"/>
          </w:r>
        </w:p>
        <w:p w14:paraId="0FD9DB96">
          <w:pPr>
            <w:pStyle w:val="29"/>
            <w:tabs>
              <w:tab w:val="right" w:leader="dot" w:pos="8121"/>
            </w:tabs>
          </w:pPr>
          <w:r>
            <w:rPr>
              <w:rFonts w:hint="eastAsia" w:ascii="Songti SC" w:hAnsi="Songti SC" w:eastAsia="Songti SC" w:cs="Songti SC"/>
              <w:color w:val="000000"/>
              <w:szCs w:val="36"/>
            </w:rPr>
            <w:fldChar w:fldCharType="begin"/>
          </w:r>
          <w:r>
            <w:rPr>
              <w:rFonts w:hint="eastAsia" w:ascii="Songti SC" w:hAnsi="Songti SC" w:eastAsia="Songti SC" w:cs="Songti SC"/>
              <w:szCs w:val="36"/>
            </w:rPr>
            <w:instrText xml:space="preserve"> HYPERLINK \l _Toc1936632411 </w:instrText>
          </w:r>
          <w:r>
            <w:rPr>
              <w:rFonts w:hint="eastAsia" w:ascii="Songti SC" w:hAnsi="Songti SC" w:eastAsia="Songti SC" w:cs="Songti SC"/>
              <w:szCs w:val="36"/>
            </w:rPr>
            <w:fldChar w:fldCharType="separate"/>
          </w:r>
          <w:r>
            <w:rPr>
              <w:rFonts w:hint="eastAsia"/>
            </w:rPr>
            <w:t xml:space="preserve">6.6.1 </w:t>
          </w:r>
          <w:r>
            <w:rPr>
              <w:rFonts w:hint="eastAsia" w:ascii="Songti SC" w:hAnsi="Songti SC" w:eastAsia="Songti SC" w:cs="Songti SC"/>
            </w:rPr>
            <w:t>系统整体部署方案</w:t>
          </w:r>
          <w:r>
            <w:tab/>
          </w:r>
          <w:r>
            <w:fldChar w:fldCharType="begin"/>
          </w:r>
          <w:r>
            <w:instrText xml:space="preserve"> PAGEREF _Toc1936632411 \h </w:instrText>
          </w:r>
          <w:r>
            <w:fldChar w:fldCharType="separate"/>
          </w:r>
          <w:r>
            <w:t>131</w:t>
          </w:r>
          <w:r>
            <w:fldChar w:fldCharType="end"/>
          </w:r>
          <w:r>
            <w:rPr>
              <w:rFonts w:hint="eastAsia" w:ascii="Songti SC" w:hAnsi="Songti SC" w:eastAsia="Songti SC" w:cs="Songti SC"/>
              <w:color w:val="000000"/>
              <w:szCs w:val="36"/>
            </w:rPr>
            <w:fldChar w:fldCharType="end"/>
          </w:r>
        </w:p>
        <w:p w14:paraId="689F1B6B">
          <w:pPr>
            <w:pStyle w:val="29"/>
            <w:tabs>
              <w:tab w:val="right" w:leader="dot" w:pos="8121"/>
            </w:tabs>
          </w:pPr>
          <w:r>
            <w:rPr>
              <w:rFonts w:hint="eastAsia" w:ascii="Songti SC" w:hAnsi="Songti SC" w:eastAsia="Songti SC" w:cs="Songti SC"/>
              <w:color w:val="000000"/>
              <w:szCs w:val="36"/>
            </w:rPr>
            <w:fldChar w:fldCharType="begin"/>
          </w:r>
          <w:r>
            <w:rPr>
              <w:rFonts w:hint="eastAsia" w:ascii="Songti SC" w:hAnsi="Songti SC" w:eastAsia="Songti SC" w:cs="Songti SC"/>
              <w:szCs w:val="36"/>
            </w:rPr>
            <w:instrText xml:space="preserve"> HYPERLINK \l _Toc1718777745 </w:instrText>
          </w:r>
          <w:r>
            <w:rPr>
              <w:rFonts w:hint="eastAsia" w:ascii="Songti SC" w:hAnsi="Songti SC" w:eastAsia="Songti SC" w:cs="Songti SC"/>
              <w:szCs w:val="36"/>
            </w:rPr>
            <w:fldChar w:fldCharType="separate"/>
          </w:r>
          <w:r>
            <w:rPr>
              <w:rFonts w:hint="eastAsia"/>
              <w:lang w:eastAsia="zh-CN"/>
            </w:rPr>
            <w:t xml:space="preserve">6.6.2 </w:t>
          </w:r>
          <w:r>
            <w:rPr>
              <w:rFonts w:hint="eastAsia" w:ascii="Songti SC" w:hAnsi="Songti SC" w:eastAsia="Songti SC" w:cs="Songti SC"/>
              <w:lang w:eastAsia="zh-CN"/>
            </w:rPr>
            <w:t>主机与存储备份系统建设方案</w:t>
          </w:r>
          <w:r>
            <w:tab/>
          </w:r>
          <w:r>
            <w:fldChar w:fldCharType="begin"/>
          </w:r>
          <w:r>
            <w:instrText xml:space="preserve"> PAGEREF _Toc1718777745 \h </w:instrText>
          </w:r>
          <w:r>
            <w:fldChar w:fldCharType="separate"/>
          </w:r>
          <w:r>
            <w:t>132</w:t>
          </w:r>
          <w:r>
            <w:fldChar w:fldCharType="end"/>
          </w:r>
          <w:r>
            <w:rPr>
              <w:rFonts w:hint="eastAsia" w:ascii="Songti SC" w:hAnsi="Songti SC" w:eastAsia="Songti SC" w:cs="Songti SC"/>
              <w:color w:val="000000"/>
              <w:szCs w:val="36"/>
            </w:rPr>
            <w:fldChar w:fldCharType="end"/>
          </w:r>
        </w:p>
        <w:p w14:paraId="067F7FD4">
          <w:pPr>
            <w:pStyle w:val="50"/>
            <w:tabs>
              <w:tab w:val="right" w:leader="dot" w:pos="8121"/>
            </w:tabs>
          </w:pPr>
          <w:r>
            <w:rPr>
              <w:rFonts w:hint="eastAsia" w:ascii="Songti SC" w:hAnsi="Songti SC" w:eastAsia="Songti SC" w:cs="Songti SC"/>
              <w:color w:val="000000"/>
              <w:szCs w:val="36"/>
            </w:rPr>
            <w:fldChar w:fldCharType="begin"/>
          </w:r>
          <w:r>
            <w:rPr>
              <w:rFonts w:hint="eastAsia" w:ascii="Songti SC" w:hAnsi="Songti SC" w:eastAsia="Songti SC" w:cs="Songti SC"/>
              <w:szCs w:val="36"/>
            </w:rPr>
            <w:instrText xml:space="preserve"> HYPERLINK \l _Toc1695024418 </w:instrText>
          </w:r>
          <w:r>
            <w:rPr>
              <w:rFonts w:hint="eastAsia" w:ascii="Songti SC" w:hAnsi="Songti SC" w:eastAsia="Songti SC" w:cs="Songti SC"/>
              <w:szCs w:val="36"/>
            </w:rPr>
            <w:fldChar w:fldCharType="separate"/>
          </w:r>
          <w:r>
            <w:rPr>
              <w:rFonts w:hint="eastAsia"/>
            </w:rPr>
            <w:t xml:space="preserve">6.7 </w:t>
          </w:r>
          <w:r>
            <w:rPr>
              <w:rFonts w:hint="eastAsia" w:ascii="Songti SC" w:hAnsi="Songti SC" w:eastAsia="Songti SC" w:cs="Songti SC"/>
            </w:rPr>
            <w:t>密码应用建设方案</w:t>
          </w:r>
          <w:r>
            <w:tab/>
          </w:r>
          <w:r>
            <w:fldChar w:fldCharType="begin"/>
          </w:r>
          <w:r>
            <w:instrText xml:space="preserve"> PAGEREF _Toc1695024418 \h </w:instrText>
          </w:r>
          <w:r>
            <w:fldChar w:fldCharType="separate"/>
          </w:r>
          <w:r>
            <w:t>136</w:t>
          </w:r>
          <w:r>
            <w:fldChar w:fldCharType="end"/>
          </w:r>
          <w:r>
            <w:rPr>
              <w:rFonts w:hint="eastAsia" w:ascii="Songti SC" w:hAnsi="Songti SC" w:eastAsia="Songti SC" w:cs="Songti SC"/>
              <w:color w:val="000000"/>
              <w:szCs w:val="36"/>
            </w:rPr>
            <w:fldChar w:fldCharType="end"/>
          </w:r>
        </w:p>
        <w:p w14:paraId="2285F717">
          <w:pPr>
            <w:pStyle w:val="29"/>
            <w:tabs>
              <w:tab w:val="right" w:leader="dot" w:pos="8121"/>
            </w:tabs>
          </w:pPr>
          <w:r>
            <w:rPr>
              <w:rFonts w:hint="eastAsia" w:ascii="Songti SC" w:hAnsi="Songti SC" w:eastAsia="Songti SC" w:cs="Songti SC"/>
              <w:color w:val="000000"/>
              <w:szCs w:val="36"/>
            </w:rPr>
            <w:fldChar w:fldCharType="begin"/>
          </w:r>
          <w:r>
            <w:rPr>
              <w:rFonts w:hint="eastAsia" w:ascii="Songti SC" w:hAnsi="Songti SC" w:eastAsia="Songti SC" w:cs="Songti SC"/>
              <w:szCs w:val="36"/>
            </w:rPr>
            <w:instrText xml:space="preserve"> HYPERLINK \l _Toc1904815871 </w:instrText>
          </w:r>
          <w:r>
            <w:rPr>
              <w:rFonts w:hint="eastAsia" w:ascii="Songti SC" w:hAnsi="Songti SC" w:eastAsia="Songti SC" w:cs="Songti SC"/>
              <w:szCs w:val="36"/>
            </w:rPr>
            <w:fldChar w:fldCharType="separate"/>
          </w:r>
          <w:r>
            <w:rPr>
              <w:rFonts w:hint="eastAsia"/>
            </w:rPr>
            <w:t xml:space="preserve">6.7.1 </w:t>
          </w:r>
          <w:r>
            <w:rPr>
              <w:rFonts w:hint="eastAsia" w:ascii="Songti SC" w:hAnsi="Songti SC" w:eastAsia="Songti SC" w:cs="Songti SC"/>
            </w:rPr>
            <w:t>密码应用技术框架</w:t>
          </w:r>
          <w:r>
            <w:tab/>
          </w:r>
          <w:r>
            <w:fldChar w:fldCharType="begin"/>
          </w:r>
          <w:r>
            <w:instrText xml:space="preserve"> PAGEREF _Toc1904815871 \h </w:instrText>
          </w:r>
          <w:r>
            <w:fldChar w:fldCharType="separate"/>
          </w:r>
          <w:r>
            <w:t>137</w:t>
          </w:r>
          <w:r>
            <w:fldChar w:fldCharType="end"/>
          </w:r>
          <w:r>
            <w:rPr>
              <w:rFonts w:hint="eastAsia" w:ascii="Songti SC" w:hAnsi="Songti SC" w:eastAsia="Songti SC" w:cs="Songti SC"/>
              <w:color w:val="000000"/>
              <w:szCs w:val="36"/>
            </w:rPr>
            <w:fldChar w:fldCharType="end"/>
          </w:r>
        </w:p>
        <w:p w14:paraId="6F2EDB89">
          <w:pPr>
            <w:pStyle w:val="29"/>
            <w:tabs>
              <w:tab w:val="right" w:leader="dot" w:pos="8121"/>
            </w:tabs>
          </w:pPr>
          <w:r>
            <w:rPr>
              <w:rFonts w:hint="eastAsia" w:ascii="Songti SC" w:hAnsi="Songti SC" w:eastAsia="Songti SC" w:cs="Songti SC"/>
              <w:color w:val="000000"/>
              <w:szCs w:val="36"/>
            </w:rPr>
            <w:fldChar w:fldCharType="begin"/>
          </w:r>
          <w:r>
            <w:rPr>
              <w:rFonts w:hint="eastAsia" w:ascii="Songti SC" w:hAnsi="Songti SC" w:eastAsia="Songti SC" w:cs="Songti SC"/>
              <w:szCs w:val="36"/>
            </w:rPr>
            <w:instrText xml:space="preserve"> HYPERLINK \l _Toc1701618068 </w:instrText>
          </w:r>
          <w:r>
            <w:rPr>
              <w:rFonts w:hint="eastAsia" w:ascii="Songti SC" w:hAnsi="Songti SC" w:eastAsia="Songti SC" w:cs="Songti SC"/>
              <w:szCs w:val="36"/>
            </w:rPr>
            <w:fldChar w:fldCharType="separate"/>
          </w:r>
          <w:r>
            <w:rPr>
              <w:rFonts w:hint="eastAsia"/>
            </w:rPr>
            <w:t xml:space="preserve">6.7.2 </w:t>
          </w:r>
          <w:r>
            <w:rPr>
              <w:rFonts w:hint="eastAsia" w:ascii="Songti SC" w:hAnsi="Songti SC" w:eastAsia="Songti SC" w:cs="Songti SC"/>
            </w:rPr>
            <w:t>物理和环境安全</w:t>
          </w:r>
          <w:r>
            <w:tab/>
          </w:r>
          <w:r>
            <w:fldChar w:fldCharType="begin"/>
          </w:r>
          <w:r>
            <w:instrText xml:space="preserve"> PAGEREF _Toc1701618068 \h </w:instrText>
          </w:r>
          <w:r>
            <w:fldChar w:fldCharType="separate"/>
          </w:r>
          <w:r>
            <w:t>137</w:t>
          </w:r>
          <w:r>
            <w:fldChar w:fldCharType="end"/>
          </w:r>
          <w:r>
            <w:rPr>
              <w:rFonts w:hint="eastAsia" w:ascii="Songti SC" w:hAnsi="Songti SC" w:eastAsia="Songti SC" w:cs="Songti SC"/>
              <w:color w:val="000000"/>
              <w:szCs w:val="36"/>
            </w:rPr>
            <w:fldChar w:fldCharType="end"/>
          </w:r>
        </w:p>
        <w:p w14:paraId="62104F98">
          <w:pPr>
            <w:pStyle w:val="29"/>
            <w:tabs>
              <w:tab w:val="right" w:leader="dot" w:pos="8121"/>
            </w:tabs>
          </w:pPr>
          <w:r>
            <w:rPr>
              <w:rFonts w:hint="eastAsia" w:ascii="Songti SC" w:hAnsi="Songti SC" w:eastAsia="Songti SC" w:cs="Songti SC"/>
              <w:color w:val="000000"/>
              <w:szCs w:val="36"/>
            </w:rPr>
            <w:fldChar w:fldCharType="begin"/>
          </w:r>
          <w:r>
            <w:rPr>
              <w:rFonts w:hint="eastAsia" w:ascii="Songti SC" w:hAnsi="Songti SC" w:eastAsia="Songti SC" w:cs="Songti SC"/>
              <w:szCs w:val="36"/>
            </w:rPr>
            <w:instrText xml:space="preserve"> HYPERLINK \l _Toc1055141777 </w:instrText>
          </w:r>
          <w:r>
            <w:rPr>
              <w:rFonts w:hint="eastAsia" w:ascii="Songti SC" w:hAnsi="Songti SC" w:eastAsia="Songti SC" w:cs="Songti SC"/>
              <w:szCs w:val="36"/>
            </w:rPr>
            <w:fldChar w:fldCharType="separate"/>
          </w:r>
          <w:r>
            <w:rPr>
              <w:rFonts w:hint="eastAsia"/>
            </w:rPr>
            <w:t xml:space="preserve">6.7.3 </w:t>
          </w:r>
          <w:r>
            <w:rPr>
              <w:rFonts w:hint="eastAsia" w:ascii="Songti SC" w:hAnsi="Songti SC" w:eastAsia="Songti SC" w:cs="Songti SC"/>
            </w:rPr>
            <w:t>网络和通信安全</w:t>
          </w:r>
          <w:r>
            <w:tab/>
          </w:r>
          <w:r>
            <w:fldChar w:fldCharType="begin"/>
          </w:r>
          <w:r>
            <w:instrText xml:space="preserve"> PAGEREF _Toc1055141777 \h </w:instrText>
          </w:r>
          <w:r>
            <w:fldChar w:fldCharType="separate"/>
          </w:r>
          <w:r>
            <w:t>138</w:t>
          </w:r>
          <w:r>
            <w:fldChar w:fldCharType="end"/>
          </w:r>
          <w:r>
            <w:rPr>
              <w:rFonts w:hint="eastAsia" w:ascii="Songti SC" w:hAnsi="Songti SC" w:eastAsia="Songti SC" w:cs="Songti SC"/>
              <w:color w:val="000000"/>
              <w:szCs w:val="36"/>
            </w:rPr>
            <w:fldChar w:fldCharType="end"/>
          </w:r>
        </w:p>
        <w:p w14:paraId="1F5225AC">
          <w:pPr>
            <w:pStyle w:val="29"/>
            <w:tabs>
              <w:tab w:val="right" w:leader="dot" w:pos="8121"/>
            </w:tabs>
          </w:pPr>
          <w:r>
            <w:rPr>
              <w:rFonts w:hint="eastAsia" w:ascii="Songti SC" w:hAnsi="Songti SC" w:eastAsia="Songti SC" w:cs="Songti SC"/>
              <w:color w:val="000000"/>
              <w:szCs w:val="36"/>
            </w:rPr>
            <w:fldChar w:fldCharType="begin"/>
          </w:r>
          <w:r>
            <w:rPr>
              <w:rFonts w:hint="eastAsia" w:ascii="Songti SC" w:hAnsi="Songti SC" w:eastAsia="Songti SC" w:cs="Songti SC"/>
              <w:szCs w:val="36"/>
            </w:rPr>
            <w:instrText xml:space="preserve"> HYPERLINK \l _Toc1995372760 </w:instrText>
          </w:r>
          <w:r>
            <w:rPr>
              <w:rFonts w:hint="eastAsia" w:ascii="Songti SC" w:hAnsi="Songti SC" w:eastAsia="Songti SC" w:cs="Songti SC"/>
              <w:szCs w:val="36"/>
            </w:rPr>
            <w:fldChar w:fldCharType="separate"/>
          </w:r>
          <w:r>
            <w:rPr>
              <w:rFonts w:hint="eastAsia"/>
            </w:rPr>
            <w:t xml:space="preserve">6.7.4 </w:t>
          </w:r>
          <w:r>
            <w:rPr>
              <w:rFonts w:hint="eastAsia" w:ascii="Songti SC" w:hAnsi="Songti SC" w:eastAsia="Songti SC" w:cs="Songti SC"/>
            </w:rPr>
            <w:t>设备和计算安全</w:t>
          </w:r>
          <w:r>
            <w:tab/>
          </w:r>
          <w:r>
            <w:fldChar w:fldCharType="begin"/>
          </w:r>
          <w:r>
            <w:instrText xml:space="preserve"> PAGEREF _Toc1995372760 \h </w:instrText>
          </w:r>
          <w:r>
            <w:fldChar w:fldCharType="separate"/>
          </w:r>
          <w:r>
            <w:t>138</w:t>
          </w:r>
          <w:r>
            <w:fldChar w:fldCharType="end"/>
          </w:r>
          <w:r>
            <w:rPr>
              <w:rFonts w:hint="eastAsia" w:ascii="Songti SC" w:hAnsi="Songti SC" w:eastAsia="Songti SC" w:cs="Songti SC"/>
              <w:color w:val="000000"/>
              <w:szCs w:val="36"/>
            </w:rPr>
            <w:fldChar w:fldCharType="end"/>
          </w:r>
        </w:p>
        <w:p w14:paraId="4576CD81">
          <w:pPr>
            <w:pStyle w:val="29"/>
            <w:tabs>
              <w:tab w:val="right" w:leader="dot" w:pos="8121"/>
            </w:tabs>
          </w:pPr>
          <w:r>
            <w:rPr>
              <w:rFonts w:hint="eastAsia" w:ascii="Songti SC" w:hAnsi="Songti SC" w:eastAsia="Songti SC" w:cs="Songti SC"/>
              <w:color w:val="000000"/>
              <w:szCs w:val="36"/>
            </w:rPr>
            <w:fldChar w:fldCharType="begin"/>
          </w:r>
          <w:r>
            <w:rPr>
              <w:rFonts w:hint="eastAsia" w:ascii="Songti SC" w:hAnsi="Songti SC" w:eastAsia="Songti SC" w:cs="Songti SC"/>
              <w:szCs w:val="36"/>
            </w:rPr>
            <w:instrText xml:space="preserve"> HYPERLINK \l _Toc1125345768 </w:instrText>
          </w:r>
          <w:r>
            <w:rPr>
              <w:rFonts w:hint="eastAsia" w:ascii="Songti SC" w:hAnsi="Songti SC" w:eastAsia="Songti SC" w:cs="Songti SC"/>
              <w:szCs w:val="36"/>
            </w:rPr>
            <w:fldChar w:fldCharType="separate"/>
          </w:r>
          <w:r>
            <w:rPr>
              <w:rFonts w:hint="eastAsia"/>
            </w:rPr>
            <w:t xml:space="preserve">6.7.5 </w:t>
          </w:r>
          <w:r>
            <w:rPr>
              <w:rFonts w:hint="eastAsia" w:ascii="Songti SC" w:hAnsi="Songti SC" w:eastAsia="Songti SC" w:cs="Songti SC"/>
            </w:rPr>
            <w:t>应用和数据安全</w:t>
          </w:r>
          <w:r>
            <w:tab/>
          </w:r>
          <w:r>
            <w:fldChar w:fldCharType="begin"/>
          </w:r>
          <w:r>
            <w:instrText xml:space="preserve"> PAGEREF _Toc1125345768 \h </w:instrText>
          </w:r>
          <w:r>
            <w:fldChar w:fldCharType="separate"/>
          </w:r>
          <w:r>
            <w:t>139</w:t>
          </w:r>
          <w:r>
            <w:fldChar w:fldCharType="end"/>
          </w:r>
          <w:r>
            <w:rPr>
              <w:rFonts w:hint="eastAsia" w:ascii="Songti SC" w:hAnsi="Songti SC" w:eastAsia="Songti SC" w:cs="Songti SC"/>
              <w:color w:val="000000"/>
              <w:szCs w:val="36"/>
            </w:rPr>
            <w:fldChar w:fldCharType="end"/>
          </w:r>
        </w:p>
        <w:p w14:paraId="06430E8D">
          <w:pPr>
            <w:pStyle w:val="29"/>
            <w:tabs>
              <w:tab w:val="right" w:leader="dot" w:pos="8121"/>
            </w:tabs>
          </w:pPr>
          <w:r>
            <w:rPr>
              <w:rFonts w:hint="eastAsia" w:ascii="Songti SC" w:hAnsi="Songti SC" w:eastAsia="Songti SC" w:cs="Songti SC"/>
              <w:color w:val="000000"/>
              <w:szCs w:val="36"/>
            </w:rPr>
            <w:fldChar w:fldCharType="begin"/>
          </w:r>
          <w:r>
            <w:rPr>
              <w:rFonts w:hint="eastAsia" w:ascii="Songti SC" w:hAnsi="Songti SC" w:eastAsia="Songti SC" w:cs="Songti SC"/>
              <w:szCs w:val="36"/>
            </w:rPr>
            <w:instrText xml:space="preserve"> HYPERLINK \l _Toc797843647 </w:instrText>
          </w:r>
          <w:r>
            <w:rPr>
              <w:rFonts w:hint="eastAsia" w:ascii="Songti SC" w:hAnsi="Songti SC" w:eastAsia="Songti SC" w:cs="Songti SC"/>
              <w:szCs w:val="36"/>
            </w:rPr>
            <w:fldChar w:fldCharType="separate"/>
          </w:r>
          <w:r>
            <w:rPr>
              <w:rFonts w:hint="eastAsia"/>
            </w:rPr>
            <w:t xml:space="preserve">6.7.6 </w:t>
          </w:r>
          <w:r>
            <w:rPr>
              <w:rFonts w:hint="eastAsia" w:ascii="Songti SC" w:hAnsi="Songti SC" w:eastAsia="Songti SC" w:cs="Songti SC"/>
            </w:rPr>
            <w:t>密钥管理安全</w:t>
          </w:r>
          <w:r>
            <w:tab/>
          </w:r>
          <w:r>
            <w:fldChar w:fldCharType="begin"/>
          </w:r>
          <w:r>
            <w:instrText xml:space="preserve"> PAGEREF _Toc797843647 \h </w:instrText>
          </w:r>
          <w:r>
            <w:fldChar w:fldCharType="separate"/>
          </w:r>
          <w:r>
            <w:t>140</w:t>
          </w:r>
          <w:r>
            <w:fldChar w:fldCharType="end"/>
          </w:r>
          <w:r>
            <w:rPr>
              <w:rFonts w:hint="eastAsia" w:ascii="Songti SC" w:hAnsi="Songti SC" w:eastAsia="Songti SC" w:cs="Songti SC"/>
              <w:color w:val="000000"/>
              <w:szCs w:val="36"/>
            </w:rPr>
            <w:fldChar w:fldCharType="end"/>
          </w:r>
        </w:p>
        <w:p w14:paraId="4C06D5B1">
          <w:pPr>
            <w:pStyle w:val="29"/>
            <w:tabs>
              <w:tab w:val="right" w:leader="dot" w:pos="8121"/>
            </w:tabs>
          </w:pPr>
          <w:r>
            <w:rPr>
              <w:rFonts w:hint="eastAsia" w:ascii="Songti SC" w:hAnsi="Songti SC" w:eastAsia="Songti SC" w:cs="Songti SC"/>
              <w:color w:val="000000"/>
              <w:szCs w:val="36"/>
            </w:rPr>
            <w:fldChar w:fldCharType="begin"/>
          </w:r>
          <w:r>
            <w:rPr>
              <w:rFonts w:hint="eastAsia" w:ascii="Songti SC" w:hAnsi="Songti SC" w:eastAsia="Songti SC" w:cs="Songti SC"/>
              <w:szCs w:val="36"/>
            </w:rPr>
            <w:instrText xml:space="preserve"> HYPERLINK \l _Toc470283261 </w:instrText>
          </w:r>
          <w:r>
            <w:rPr>
              <w:rFonts w:hint="eastAsia" w:ascii="Songti SC" w:hAnsi="Songti SC" w:eastAsia="Songti SC" w:cs="Songti SC"/>
              <w:szCs w:val="36"/>
            </w:rPr>
            <w:fldChar w:fldCharType="separate"/>
          </w:r>
          <w:r>
            <w:rPr>
              <w:rFonts w:hint="eastAsia"/>
            </w:rPr>
            <w:t xml:space="preserve">6.7.7 </w:t>
          </w:r>
          <w:r>
            <w:rPr>
              <w:rFonts w:hint="eastAsia" w:ascii="Songti SC" w:hAnsi="Songti SC" w:eastAsia="Songti SC" w:cs="Songti SC"/>
            </w:rPr>
            <w:t>密码服务清单</w:t>
          </w:r>
          <w:r>
            <w:tab/>
          </w:r>
          <w:r>
            <w:fldChar w:fldCharType="begin"/>
          </w:r>
          <w:r>
            <w:instrText xml:space="preserve"> PAGEREF _Toc470283261 \h </w:instrText>
          </w:r>
          <w:r>
            <w:fldChar w:fldCharType="separate"/>
          </w:r>
          <w:r>
            <w:t>142</w:t>
          </w:r>
          <w:r>
            <w:fldChar w:fldCharType="end"/>
          </w:r>
          <w:r>
            <w:rPr>
              <w:rFonts w:hint="eastAsia" w:ascii="Songti SC" w:hAnsi="Songti SC" w:eastAsia="Songti SC" w:cs="Songti SC"/>
              <w:color w:val="000000"/>
              <w:szCs w:val="36"/>
            </w:rPr>
            <w:fldChar w:fldCharType="end"/>
          </w:r>
        </w:p>
        <w:p w14:paraId="5650C8D5">
          <w:pPr>
            <w:pStyle w:val="29"/>
            <w:tabs>
              <w:tab w:val="right" w:leader="dot" w:pos="8121"/>
            </w:tabs>
          </w:pPr>
          <w:r>
            <w:rPr>
              <w:rFonts w:hint="eastAsia" w:ascii="Songti SC" w:hAnsi="Songti SC" w:eastAsia="Songti SC" w:cs="Songti SC"/>
              <w:color w:val="000000"/>
              <w:szCs w:val="36"/>
            </w:rPr>
            <w:fldChar w:fldCharType="begin"/>
          </w:r>
          <w:r>
            <w:rPr>
              <w:rFonts w:hint="eastAsia" w:ascii="Songti SC" w:hAnsi="Songti SC" w:eastAsia="Songti SC" w:cs="Songti SC"/>
              <w:szCs w:val="36"/>
            </w:rPr>
            <w:instrText xml:space="preserve"> HYPERLINK \l _Toc1310946667 </w:instrText>
          </w:r>
          <w:r>
            <w:rPr>
              <w:rFonts w:hint="eastAsia" w:ascii="Songti SC" w:hAnsi="Songti SC" w:eastAsia="Songti SC" w:cs="Songti SC"/>
              <w:szCs w:val="36"/>
            </w:rPr>
            <w:fldChar w:fldCharType="separate"/>
          </w:r>
          <w:r>
            <w:rPr>
              <w:rFonts w:hint="eastAsia"/>
            </w:rPr>
            <w:t xml:space="preserve">6.7.8 </w:t>
          </w:r>
          <w:r>
            <w:rPr>
              <w:rFonts w:hint="eastAsia" w:ascii="Songti SC" w:hAnsi="Songti SC" w:eastAsia="Songti SC" w:cs="Songti SC"/>
            </w:rPr>
            <w:t>安全与合规性分析</w:t>
          </w:r>
          <w:r>
            <w:tab/>
          </w:r>
          <w:r>
            <w:fldChar w:fldCharType="begin"/>
          </w:r>
          <w:r>
            <w:instrText xml:space="preserve"> PAGEREF _Toc1310946667 \h </w:instrText>
          </w:r>
          <w:r>
            <w:fldChar w:fldCharType="separate"/>
          </w:r>
          <w:r>
            <w:t>143</w:t>
          </w:r>
          <w:r>
            <w:fldChar w:fldCharType="end"/>
          </w:r>
          <w:r>
            <w:rPr>
              <w:rFonts w:hint="eastAsia" w:ascii="Songti SC" w:hAnsi="Songti SC" w:eastAsia="Songti SC" w:cs="Songti SC"/>
              <w:color w:val="000000"/>
              <w:szCs w:val="36"/>
            </w:rPr>
            <w:fldChar w:fldCharType="end"/>
          </w:r>
        </w:p>
        <w:p w14:paraId="37DE133C">
          <w:pPr>
            <w:pStyle w:val="39"/>
            <w:tabs>
              <w:tab w:val="right" w:leader="dot" w:pos="8121"/>
            </w:tabs>
          </w:pPr>
          <w:r>
            <w:rPr>
              <w:rFonts w:hint="eastAsia" w:ascii="Songti SC" w:hAnsi="Songti SC" w:eastAsia="Songti SC" w:cs="Songti SC"/>
              <w:color w:val="000000"/>
              <w:szCs w:val="36"/>
            </w:rPr>
            <w:fldChar w:fldCharType="begin"/>
          </w:r>
          <w:r>
            <w:rPr>
              <w:rFonts w:hint="eastAsia" w:ascii="Songti SC" w:hAnsi="Songti SC" w:eastAsia="Songti SC" w:cs="Songti SC"/>
              <w:szCs w:val="36"/>
            </w:rPr>
            <w:instrText xml:space="preserve"> HYPERLINK \l _Toc2045897696 </w:instrText>
          </w:r>
          <w:r>
            <w:rPr>
              <w:rFonts w:hint="eastAsia" w:ascii="Songti SC" w:hAnsi="Songti SC" w:eastAsia="Songti SC" w:cs="Songti SC"/>
              <w:szCs w:val="36"/>
            </w:rPr>
            <w:fldChar w:fldCharType="separate"/>
          </w:r>
          <w:r>
            <w:rPr>
              <w:rFonts w:hint="eastAsia"/>
            </w:rPr>
            <w:t xml:space="preserve">第7章 </w:t>
          </w:r>
          <w:r>
            <w:rPr>
              <w:rFonts w:hint="eastAsia" w:ascii="Songti SC" w:hAnsi="Songti SC" w:eastAsia="Songti SC" w:cs="Songti SC"/>
            </w:rPr>
            <w:t>项目招标方案</w:t>
          </w:r>
          <w:r>
            <w:tab/>
          </w:r>
          <w:r>
            <w:fldChar w:fldCharType="begin"/>
          </w:r>
          <w:r>
            <w:instrText xml:space="preserve"> PAGEREF _Toc2045897696 \h </w:instrText>
          </w:r>
          <w:r>
            <w:fldChar w:fldCharType="separate"/>
          </w:r>
          <w:r>
            <w:t>146</w:t>
          </w:r>
          <w:r>
            <w:fldChar w:fldCharType="end"/>
          </w:r>
          <w:r>
            <w:rPr>
              <w:rFonts w:hint="eastAsia" w:ascii="Songti SC" w:hAnsi="Songti SC" w:eastAsia="Songti SC" w:cs="Songti SC"/>
              <w:color w:val="000000"/>
              <w:szCs w:val="36"/>
            </w:rPr>
            <w:fldChar w:fldCharType="end"/>
          </w:r>
        </w:p>
        <w:p w14:paraId="75080BDF">
          <w:pPr>
            <w:pStyle w:val="50"/>
            <w:tabs>
              <w:tab w:val="right" w:leader="dot" w:pos="8121"/>
            </w:tabs>
          </w:pPr>
          <w:r>
            <w:rPr>
              <w:rFonts w:hint="eastAsia" w:ascii="Songti SC" w:hAnsi="Songti SC" w:eastAsia="Songti SC" w:cs="Songti SC"/>
              <w:color w:val="000000"/>
              <w:szCs w:val="36"/>
            </w:rPr>
            <w:fldChar w:fldCharType="begin"/>
          </w:r>
          <w:r>
            <w:rPr>
              <w:rFonts w:hint="eastAsia" w:ascii="Songti SC" w:hAnsi="Songti SC" w:eastAsia="Songti SC" w:cs="Songti SC"/>
              <w:szCs w:val="36"/>
            </w:rPr>
            <w:instrText xml:space="preserve"> HYPERLINK \l _Toc2041904555 </w:instrText>
          </w:r>
          <w:r>
            <w:rPr>
              <w:rFonts w:hint="eastAsia" w:ascii="Songti SC" w:hAnsi="Songti SC" w:eastAsia="Songti SC" w:cs="Songti SC"/>
              <w:szCs w:val="36"/>
            </w:rPr>
            <w:fldChar w:fldCharType="separate"/>
          </w:r>
          <w:r>
            <w:rPr>
              <w:rFonts w:hint="eastAsia"/>
            </w:rPr>
            <w:t xml:space="preserve">7.1 </w:t>
          </w:r>
          <w:r>
            <w:rPr>
              <w:rFonts w:ascii="Songti SC" w:hAnsi="Songti SC" w:eastAsia="Songti SC" w:cs="Songti SC"/>
            </w:rPr>
            <w:t>招标遵循的法规和原则</w:t>
          </w:r>
          <w:r>
            <w:tab/>
          </w:r>
          <w:r>
            <w:fldChar w:fldCharType="begin"/>
          </w:r>
          <w:r>
            <w:instrText xml:space="preserve"> PAGEREF _Toc2041904555 \h </w:instrText>
          </w:r>
          <w:r>
            <w:fldChar w:fldCharType="separate"/>
          </w:r>
          <w:r>
            <w:t>146</w:t>
          </w:r>
          <w:r>
            <w:fldChar w:fldCharType="end"/>
          </w:r>
          <w:r>
            <w:rPr>
              <w:rFonts w:hint="eastAsia" w:ascii="Songti SC" w:hAnsi="Songti SC" w:eastAsia="Songti SC" w:cs="Songti SC"/>
              <w:color w:val="000000"/>
              <w:szCs w:val="36"/>
            </w:rPr>
            <w:fldChar w:fldCharType="end"/>
          </w:r>
        </w:p>
        <w:p w14:paraId="030AE3E9">
          <w:pPr>
            <w:pStyle w:val="50"/>
            <w:tabs>
              <w:tab w:val="right" w:leader="dot" w:pos="8121"/>
            </w:tabs>
          </w:pPr>
          <w:r>
            <w:rPr>
              <w:rFonts w:hint="eastAsia" w:ascii="Songti SC" w:hAnsi="Songti SC" w:eastAsia="Songti SC" w:cs="Songti SC"/>
              <w:color w:val="000000"/>
              <w:szCs w:val="36"/>
            </w:rPr>
            <w:fldChar w:fldCharType="begin"/>
          </w:r>
          <w:r>
            <w:rPr>
              <w:rFonts w:hint="eastAsia" w:ascii="Songti SC" w:hAnsi="Songti SC" w:eastAsia="Songti SC" w:cs="Songti SC"/>
              <w:szCs w:val="36"/>
            </w:rPr>
            <w:instrText xml:space="preserve"> HYPERLINK \l _Toc1501176825 </w:instrText>
          </w:r>
          <w:r>
            <w:rPr>
              <w:rFonts w:hint="eastAsia" w:ascii="Songti SC" w:hAnsi="Songti SC" w:eastAsia="Songti SC" w:cs="Songti SC"/>
              <w:szCs w:val="36"/>
            </w:rPr>
            <w:fldChar w:fldCharType="separate"/>
          </w:r>
          <w:r>
            <w:rPr>
              <w:rFonts w:hint="eastAsia"/>
            </w:rPr>
            <w:t xml:space="preserve">7.2 </w:t>
          </w:r>
          <w:r>
            <w:rPr>
              <w:rFonts w:ascii="Songti SC" w:hAnsi="Songti SC" w:eastAsia="Songti SC" w:cs="Songti SC"/>
            </w:rPr>
            <w:t>招标范围</w:t>
          </w:r>
          <w:r>
            <w:tab/>
          </w:r>
          <w:r>
            <w:fldChar w:fldCharType="begin"/>
          </w:r>
          <w:r>
            <w:instrText xml:space="preserve"> PAGEREF _Toc1501176825 \h </w:instrText>
          </w:r>
          <w:r>
            <w:fldChar w:fldCharType="separate"/>
          </w:r>
          <w:r>
            <w:t>146</w:t>
          </w:r>
          <w:r>
            <w:fldChar w:fldCharType="end"/>
          </w:r>
          <w:r>
            <w:rPr>
              <w:rFonts w:hint="eastAsia" w:ascii="Songti SC" w:hAnsi="Songti SC" w:eastAsia="Songti SC" w:cs="Songti SC"/>
              <w:color w:val="000000"/>
              <w:szCs w:val="36"/>
            </w:rPr>
            <w:fldChar w:fldCharType="end"/>
          </w:r>
        </w:p>
        <w:p w14:paraId="01D61EF6">
          <w:pPr>
            <w:pStyle w:val="50"/>
            <w:tabs>
              <w:tab w:val="right" w:leader="dot" w:pos="8121"/>
            </w:tabs>
          </w:pPr>
          <w:r>
            <w:rPr>
              <w:rFonts w:hint="eastAsia" w:ascii="Songti SC" w:hAnsi="Songti SC" w:eastAsia="Songti SC" w:cs="Songti SC"/>
              <w:color w:val="000000"/>
              <w:szCs w:val="36"/>
            </w:rPr>
            <w:fldChar w:fldCharType="begin"/>
          </w:r>
          <w:r>
            <w:rPr>
              <w:rFonts w:hint="eastAsia" w:ascii="Songti SC" w:hAnsi="Songti SC" w:eastAsia="Songti SC" w:cs="Songti SC"/>
              <w:szCs w:val="36"/>
            </w:rPr>
            <w:instrText xml:space="preserve"> HYPERLINK \l _Toc1641012819 </w:instrText>
          </w:r>
          <w:r>
            <w:rPr>
              <w:rFonts w:hint="eastAsia" w:ascii="Songti SC" w:hAnsi="Songti SC" w:eastAsia="Songti SC" w:cs="Songti SC"/>
              <w:szCs w:val="36"/>
            </w:rPr>
            <w:fldChar w:fldCharType="separate"/>
          </w:r>
          <w:r>
            <w:rPr>
              <w:rFonts w:hint="eastAsia"/>
            </w:rPr>
            <w:t xml:space="preserve">7.3 </w:t>
          </w:r>
          <w:r>
            <w:rPr>
              <w:rFonts w:ascii="Songti SC" w:hAnsi="Songti SC" w:eastAsia="Songti SC" w:cs="Songti SC"/>
            </w:rPr>
            <w:t>招标方式</w:t>
          </w:r>
          <w:r>
            <w:tab/>
          </w:r>
          <w:r>
            <w:fldChar w:fldCharType="begin"/>
          </w:r>
          <w:r>
            <w:instrText xml:space="preserve"> PAGEREF _Toc1641012819 \h </w:instrText>
          </w:r>
          <w:r>
            <w:fldChar w:fldCharType="separate"/>
          </w:r>
          <w:r>
            <w:t>146</w:t>
          </w:r>
          <w:r>
            <w:fldChar w:fldCharType="end"/>
          </w:r>
          <w:r>
            <w:rPr>
              <w:rFonts w:hint="eastAsia" w:ascii="Songti SC" w:hAnsi="Songti SC" w:eastAsia="Songti SC" w:cs="Songti SC"/>
              <w:color w:val="000000"/>
              <w:szCs w:val="36"/>
            </w:rPr>
            <w:fldChar w:fldCharType="end"/>
          </w:r>
        </w:p>
        <w:p w14:paraId="16B58899">
          <w:pPr>
            <w:pStyle w:val="39"/>
            <w:tabs>
              <w:tab w:val="right" w:leader="dot" w:pos="8121"/>
            </w:tabs>
          </w:pPr>
          <w:r>
            <w:rPr>
              <w:rFonts w:hint="eastAsia" w:ascii="Songti SC" w:hAnsi="Songti SC" w:eastAsia="Songti SC" w:cs="Songti SC"/>
              <w:color w:val="000000"/>
              <w:szCs w:val="36"/>
            </w:rPr>
            <w:fldChar w:fldCharType="begin"/>
          </w:r>
          <w:r>
            <w:rPr>
              <w:rFonts w:hint="eastAsia" w:ascii="Songti SC" w:hAnsi="Songti SC" w:eastAsia="Songti SC" w:cs="Songti SC"/>
              <w:szCs w:val="36"/>
            </w:rPr>
            <w:instrText xml:space="preserve"> HYPERLINK \l _Toc369970512 </w:instrText>
          </w:r>
          <w:r>
            <w:rPr>
              <w:rFonts w:hint="eastAsia" w:ascii="Songti SC" w:hAnsi="Songti SC" w:eastAsia="Songti SC" w:cs="Songti SC"/>
              <w:szCs w:val="36"/>
            </w:rPr>
            <w:fldChar w:fldCharType="separate"/>
          </w:r>
          <w:r>
            <w:rPr>
              <w:rFonts w:hint="eastAsia"/>
            </w:rPr>
            <w:t xml:space="preserve">第8章 </w:t>
          </w:r>
          <w:r>
            <w:rPr>
              <w:rFonts w:hint="eastAsia" w:ascii="Songti SC" w:hAnsi="Songti SC" w:eastAsia="Songti SC" w:cs="Songti SC"/>
            </w:rPr>
            <w:t>环保、消防、职业安全和卫生</w:t>
          </w:r>
          <w:r>
            <w:tab/>
          </w:r>
          <w:r>
            <w:fldChar w:fldCharType="begin"/>
          </w:r>
          <w:r>
            <w:instrText xml:space="preserve"> PAGEREF _Toc369970512 \h </w:instrText>
          </w:r>
          <w:r>
            <w:fldChar w:fldCharType="separate"/>
          </w:r>
          <w:r>
            <w:t>147</w:t>
          </w:r>
          <w:r>
            <w:fldChar w:fldCharType="end"/>
          </w:r>
          <w:r>
            <w:rPr>
              <w:rFonts w:hint="eastAsia" w:ascii="Songti SC" w:hAnsi="Songti SC" w:eastAsia="Songti SC" w:cs="Songti SC"/>
              <w:color w:val="000000"/>
              <w:szCs w:val="36"/>
            </w:rPr>
            <w:fldChar w:fldCharType="end"/>
          </w:r>
        </w:p>
        <w:p w14:paraId="0648347A">
          <w:pPr>
            <w:pStyle w:val="50"/>
            <w:tabs>
              <w:tab w:val="right" w:leader="dot" w:pos="8121"/>
            </w:tabs>
          </w:pPr>
          <w:r>
            <w:rPr>
              <w:rFonts w:hint="eastAsia" w:ascii="Songti SC" w:hAnsi="Songti SC" w:eastAsia="Songti SC" w:cs="Songti SC"/>
              <w:color w:val="000000"/>
              <w:szCs w:val="36"/>
            </w:rPr>
            <w:fldChar w:fldCharType="begin"/>
          </w:r>
          <w:r>
            <w:rPr>
              <w:rFonts w:hint="eastAsia" w:ascii="Songti SC" w:hAnsi="Songti SC" w:eastAsia="Songti SC" w:cs="Songti SC"/>
              <w:szCs w:val="36"/>
            </w:rPr>
            <w:instrText xml:space="preserve"> HYPERLINK \l _Toc1129237119 </w:instrText>
          </w:r>
          <w:r>
            <w:rPr>
              <w:rFonts w:hint="eastAsia" w:ascii="Songti SC" w:hAnsi="Songti SC" w:eastAsia="Songti SC" w:cs="Songti SC"/>
              <w:szCs w:val="36"/>
            </w:rPr>
            <w:fldChar w:fldCharType="separate"/>
          </w:r>
          <w:r>
            <w:rPr>
              <w:rFonts w:hint="eastAsia"/>
            </w:rPr>
            <w:t xml:space="preserve">8.1 </w:t>
          </w:r>
          <w:r>
            <w:rPr>
              <w:rFonts w:ascii="Songti SC" w:hAnsi="Songti SC" w:eastAsia="Songti SC" w:cs="Songti SC"/>
            </w:rPr>
            <w:t>环境影响分析</w:t>
          </w:r>
          <w:r>
            <w:tab/>
          </w:r>
          <w:r>
            <w:fldChar w:fldCharType="begin"/>
          </w:r>
          <w:r>
            <w:instrText xml:space="preserve"> PAGEREF _Toc1129237119 \h </w:instrText>
          </w:r>
          <w:r>
            <w:fldChar w:fldCharType="separate"/>
          </w:r>
          <w:r>
            <w:t>147</w:t>
          </w:r>
          <w:r>
            <w:fldChar w:fldCharType="end"/>
          </w:r>
          <w:r>
            <w:rPr>
              <w:rFonts w:hint="eastAsia" w:ascii="Songti SC" w:hAnsi="Songti SC" w:eastAsia="Songti SC" w:cs="Songti SC"/>
              <w:color w:val="000000"/>
              <w:szCs w:val="36"/>
            </w:rPr>
            <w:fldChar w:fldCharType="end"/>
          </w:r>
        </w:p>
        <w:p w14:paraId="0442461C">
          <w:pPr>
            <w:pStyle w:val="50"/>
            <w:tabs>
              <w:tab w:val="right" w:leader="dot" w:pos="8121"/>
            </w:tabs>
          </w:pPr>
          <w:r>
            <w:rPr>
              <w:rFonts w:hint="eastAsia" w:ascii="Songti SC" w:hAnsi="Songti SC" w:eastAsia="Songti SC" w:cs="Songti SC"/>
              <w:color w:val="000000"/>
              <w:szCs w:val="36"/>
            </w:rPr>
            <w:fldChar w:fldCharType="begin"/>
          </w:r>
          <w:r>
            <w:rPr>
              <w:rFonts w:hint="eastAsia" w:ascii="Songti SC" w:hAnsi="Songti SC" w:eastAsia="Songti SC" w:cs="Songti SC"/>
              <w:szCs w:val="36"/>
            </w:rPr>
            <w:instrText xml:space="preserve"> HYPERLINK \l _Toc1775270494 </w:instrText>
          </w:r>
          <w:r>
            <w:rPr>
              <w:rFonts w:hint="eastAsia" w:ascii="Songti SC" w:hAnsi="Songti SC" w:eastAsia="Songti SC" w:cs="Songti SC"/>
              <w:szCs w:val="36"/>
            </w:rPr>
            <w:fldChar w:fldCharType="separate"/>
          </w:r>
          <w:r>
            <w:rPr>
              <w:rFonts w:hint="eastAsia"/>
            </w:rPr>
            <w:t xml:space="preserve">8.2 </w:t>
          </w:r>
          <w:r>
            <w:rPr>
              <w:rFonts w:ascii="Songti SC" w:hAnsi="Songti SC" w:eastAsia="Songti SC" w:cs="Songti SC"/>
            </w:rPr>
            <w:t>环保措施及方案</w:t>
          </w:r>
          <w:r>
            <w:tab/>
          </w:r>
          <w:r>
            <w:fldChar w:fldCharType="begin"/>
          </w:r>
          <w:r>
            <w:instrText xml:space="preserve"> PAGEREF _Toc1775270494 \h </w:instrText>
          </w:r>
          <w:r>
            <w:fldChar w:fldCharType="separate"/>
          </w:r>
          <w:r>
            <w:t>147</w:t>
          </w:r>
          <w:r>
            <w:fldChar w:fldCharType="end"/>
          </w:r>
          <w:r>
            <w:rPr>
              <w:rFonts w:hint="eastAsia" w:ascii="Songti SC" w:hAnsi="Songti SC" w:eastAsia="Songti SC" w:cs="Songti SC"/>
              <w:color w:val="000000"/>
              <w:szCs w:val="36"/>
            </w:rPr>
            <w:fldChar w:fldCharType="end"/>
          </w:r>
        </w:p>
        <w:p w14:paraId="745FD202">
          <w:pPr>
            <w:pStyle w:val="50"/>
            <w:tabs>
              <w:tab w:val="right" w:leader="dot" w:pos="8121"/>
            </w:tabs>
          </w:pPr>
          <w:r>
            <w:rPr>
              <w:rFonts w:hint="eastAsia" w:ascii="Songti SC" w:hAnsi="Songti SC" w:eastAsia="Songti SC" w:cs="Songti SC"/>
              <w:color w:val="000000"/>
              <w:szCs w:val="36"/>
            </w:rPr>
            <w:fldChar w:fldCharType="begin"/>
          </w:r>
          <w:r>
            <w:rPr>
              <w:rFonts w:hint="eastAsia" w:ascii="Songti SC" w:hAnsi="Songti SC" w:eastAsia="Songti SC" w:cs="Songti SC"/>
              <w:szCs w:val="36"/>
            </w:rPr>
            <w:instrText xml:space="preserve"> HYPERLINK \l _Toc1980884887 </w:instrText>
          </w:r>
          <w:r>
            <w:rPr>
              <w:rFonts w:hint="eastAsia" w:ascii="Songti SC" w:hAnsi="Songti SC" w:eastAsia="Songti SC" w:cs="Songti SC"/>
              <w:szCs w:val="36"/>
            </w:rPr>
            <w:fldChar w:fldCharType="separate"/>
          </w:r>
          <w:r>
            <w:rPr>
              <w:rFonts w:hint="eastAsia"/>
            </w:rPr>
            <w:t xml:space="preserve">8.3 </w:t>
          </w:r>
          <w:r>
            <w:rPr>
              <w:rFonts w:ascii="Songti SC" w:hAnsi="Songti SC" w:eastAsia="Songti SC" w:cs="Songti SC"/>
            </w:rPr>
            <w:t>消防措施</w:t>
          </w:r>
          <w:r>
            <w:tab/>
          </w:r>
          <w:r>
            <w:fldChar w:fldCharType="begin"/>
          </w:r>
          <w:r>
            <w:instrText xml:space="preserve"> PAGEREF _Toc1980884887 \h </w:instrText>
          </w:r>
          <w:r>
            <w:fldChar w:fldCharType="separate"/>
          </w:r>
          <w:r>
            <w:t>147</w:t>
          </w:r>
          <w:r>
            <w:fldChar w:fldCharType="end"/>
          </w:r>
          <w:r>
            <w:rPr>
              <w:rFonts w:hint="eastAsia" w:ascii="Songti SC" w:hAnsi="Songti SC" w:eastAsia="Songti SC" w:cs="Songti SC"/>
              <w:color w:val="000000"/>
              <w:szCs w:val="36"/>
            </w:rPr>
            <w:fldChar w:fldCharType="end"/>
          </w:r>
        </w:p>
        <w:p w14:paraId="381F03A2">
          <w:pPr>
            <w:pStyle w:val="50"/>
            <w:tabs>
              <w:tab w:val="right" w:leader="dot" w:pos="8121"/>
            </w:tabs>
          </w:pPr>
          <w:r>
            <w:rPr>
              <w:rFonts w:hint="eastAsia" w:ascii="Songti SC" w:hAnsi="Songti SC" w:eastAsia="Songti SC" w:cs="Songti SC"/>
              <w:color w:val="000000"/>
              <w:szCs w:val="36"/>
            </w:rPr>
            <w:fldChar w:fldCharType="begin"/>
          </w:r>
          <w:r>
            <w:rPr>
              <w:rFonts w:hint="eastAsia" w:ascii="Songti SC" w:hAnsi="Songti SC" w:eastAsia="Songti SC" w:cs="Songti SC"/>
              <w:szCs w:val="36"/>
            </w:rPr>
            <w:instrText xml:space="preserve"> HYPERLINK \l _Toc293316368 </w:instrText>
          </w:r>
          <w:r>
            <w:rPr>
              <w:rFonts w:hint="eastAsia" w:ascii="Songti SC" w:hAnsi="Songti SC" w:eastAsia="Songti SC" w:cs="Songti SC"/>
              <w:szCs w:val="36"/>
            </w:rPr>
            <w:fldChar w:fldCharType="separate"/>
          </w:r>
          <w:r>
            <w:rPr>
              <w:rFonts w:hint="eastAsia"/>
            </w:rPr>
            <w:t xml:space="preserve">8.4 </w:t>
          </w:r>
          <w:r>
            <w:rPr>
              <w:rFonts w:ascii="Songti SC" w:hAnsi="Songti SC" w:eastAsia="Songti SC" w:cs="Songti SC"/>
            </w:rPr>
            <w:t>职业安全和卫生措施</w:t>
          </w:r>
          <w:r>
            <w:tab/>
          </w:r>
          <w:r>
            <w:fldChar w:fldCharType="begin"/>
          </w:r>
          <w:r>
            <w:instrText xml:space="preserve"> PAGEREF _Toc293316368 \h </w:instrText>
          </w:r>
          <w:r>
            <w:fldChar w:fldCharType="separate"/>
          </w:r>
          <w:r>
            <w:t>147</w:t>
          </w:r>
          <w:r>
            <w:fldChar w:fldCharType="end"/>
          </w:r>
          <w:r>
            <w:rPr>
              <w:rFonts w:hint="eastAsia" w:ascii="Songti SC" w:hAnsi="Songti SC" w:eastAsia="Songti SC" w:cs="Songti SC"/>
              <w:color w:val="000000"/>
              <w:szCs w:val="36"/>
            </w:rPr>
            <w:fldChar w:fldCharType="end"/>
          </w:r>
        </w:p>
        <w:p w14:paraId="059F5E8F">
          <w:pPr>
            <w:pStyle w:val="29"/>
            <w:tabs>
              <w:tab w:val="right" w:leader="dot" w:pos="8121"/>
            </w:tabs>
          </w:pPr>
          <w:r>
            <w:rPr>
              <w:rFonts w:hint="eastAsia" w:ascii="Songti SC" w:hAnsi="Songti SC" w:eastAsia="Songti SC" w:cs="Songti SC"/>
              <w:color w:val="000000"/>
              <w:szCs w:val="36"/>
            </w:rPr>
            <w:fldChar w:fldCharType="begin"/>
          </w:r>
          <w:r>
            <w:rPr>
              <w:rFonts w:hint="eastAsia" w:ascii="Songti SC" w:hAnsi="Songti SC" w:eastAsia="Songti SC" w:cs="Songti SC"/>
              <w:szCs w:val="36"/>
            </w:rPr>
            <w:instrText xml:space="preserve"> HYPERLINK \l _Toc1293227111 </w:instrText>
          </w:r>
          <w:r>
            <w:rPr>
              <w:rFonts w:hint="eastAsia" w:ascii="Songti SC" w:hAnsi="Songti SC" w:eastAsia="Songti SC" w:cs="Songti SC"/>
              <w:szCs w:val="36"/>
            </w:rPr>
            <w:fldChar w:fldCharType="separate"/>
          </w:r>
          <w:r>
            <w:rPr>
              <w:rFonts w:hint="eastAsia"/>
              <w:lang w:eastAsia="zh-CN"/>
            </w:rPr>
            <w:t xml:space="preserve">8.4.1 </w:t>
          </w:r>
          <w:r>
            <w:rPr>
              <w:rFonts w:ascii="Songti SC" w:hAnsi="Songti SC" w:eastAsia="Songti SC" w:cs="Songti SC"/>
              <w:lang w:eastAsia="zh-CN"/>
            </w:rPr>
            <w:t>劳动安全、卫生的设计依据和执行的相关标准</w:t>
          </w:r>
          <w:r>
            <w:tab/>
          </w:r>
          <w:r>
            <w:fldChar w:fldCharType="begin"/>
          </w:r>
          <w:r>
            <w:instrText xml:space="preserve"> PAGEREF _Toc1293227111 \h </w:instrText>
          </w:r>
          <w:r>
            <w:fldChar w:fldCharType="separate"/>
          </w:r>
          <w:r>
            <w:t>147</w:t>
          </w:r>
          <w:r>
            <w:fldChar w:fldCharType="end"/>
          </w:r>
          <w:r>
            <w:rPr>
              <w:rFonts w:hint="eastAsia" w:ascii="Songti SC" w:hAnsi="Songti SC" w:eastAsia="Songti SC" w:cs="Songti SC"/>
              <w:color w:val="000000"/>
              <w:szCs w:val="36"/>
            </w:rPr>
            <w:fldChar w:fldCharType="end"/>
          </w:r>
        </w:p>
        <w:p w14:paraId="25F580CF">
          <w:pPr>
            <w:pStyle w:val="29"/>
            <w:tabs>
              <w:tab w:val="right" w:leader="dot" w:pos="8121"/>
            </w:tabs>
          </w:pPr>
          <w:r>
            <w:rPr>
              <w:rFonts w:hint="eastAsia" w:ascii="Songti SC" w:hAnsi="Songti SC" w:eastAsia="Songti SC" w:cs="Songti SC"/>
              <w:color w:val="000000"/>
              <w:szCs w:val="36"/>
            </w:rPr>
            <w:fldChar w:fldCharType="begin"/>
          </w:r>
          <w:r>
            <w:rPr>
              <w:rFonts w:hint="eastAsia" w:ascii="Songti SC" w:hAnsi="Songti SC" w:eastAsia="Songti SC" w:cs="Songti SC"/>
              <w:szCs w:val="36"/>
            </w:rPr>
            <w:instrText xml:space="preserve"> HYPERLINK \l _Toc586063290 </w:instrText>
          </w:r>
          <w:r>
            <w:rPr>
              <w:rFonts w:hint="eastAsia" w:ascii="Songti SC" w:hAnsi="Songti SC" w:eastAsia="Songti SC" w:cs="Songti SC"/>
              <w:szCs w:val="36"/>
            </w:rPr>
            <w:fldChar w:fldCharType="separate"/>
          </w:r>
          <w:r>
            <w:rPr>
              <w:rFonts w:hint="eastAsia"/>
            </w:rPr>
            <w:t xml:space="preserve">8.4.2 </w:t>
          </w:r>
          <w:r>
            <w:rPr>
              <w:rFonts w:ascii="Songti SC" w:hAnsi="Songti SC" w:eastAsia="Songti SC" w:cs="Songti SC"/>
            </w:rPr>
            <w:t>劳动安全、卫生</w:t>
          </w:r>
          <w:r>
            <w:tab/>
          </w:r>
          <w:r>
            <w:fldChar w:fldCharType="begin"/>
          </w:r>
          <w:r>
            <w:instrText xml:space="preserve"> PAGEREF _Toc586063290 \h </w:instrText>
          </w:r>
          <w:r>
            <w:fldChar w:fldCharType="separate"/>
          </w:r>
          <w:r>
            <w:t>147</w:t>
          </w:r>
          <w:r>
            <w:fldChar w:fldCharType="end"/>
          </w:r>
          <w:r>
            <w:rPr>
              <w:rFonts w:hint="eastAsia" w:ascii="Songti SC" w:hAnsi="Songti SC" w:eastAsia="Songti SC" w:cs="Songti SC"/>
              <w:color w:val="000000"/>
              <w:szCs w:val="36"/>
            </w:rPr>
            <w:fldChar w:fldCharType="end"/>
          </w:r>
        </w:p>
        <w:p w14:paraId="6B284CFE">
          <w:pPr>
            <w:pStyle w:val="39"/>
            <w:tabs>
              <w:tab w:val="right" w:leader="dot" w:pos="8121"/>
            </w:tabs>
          </w:pPr>
          <w:r>
            <w:rPr>
              <w:rFonts w:hint="eastAsia" w:ascii="Songti SC" w:hAnsi="Songti SC" w:eastAsia="Songti SC" w:cs="Songti SC"/>
              <w:color w:val="000000"/>
              <w:szCs w:val="36"/>
            </w:rPr>
            <w:fldChar w:fldCharType="begin"/>
          </w:r>
          <w:r>
            <w:rPr>
              <w:rFonts w:hint="eastAsia" w:ascii="Songti SC" w:hAnsi="Songti SC" w:eastAsia="Songti SC" w:cs="Songti SC"/>
              <w:szCs w:val="36"/>
            </w:rPr>
            <w:instrText xml:space="preserve"> HYPERLINK \l _Toc1605709888 </w:instrText>
          </w:r>
          <w:r>
            <w:rPr>
              <w:rFonts w:hint="eastAsia" w:ascii="Songti SC" w:hAnsi="Songti SC" w:eastAsia="Songti SC" w:cs="Songti SC"/>
              <w:szCs w:val="36"/>
            </w:rPr>
            <w:fldChar w:fldCharType="separate"/>
          </w:r>
          <w:r>
            <w:rPr>
              <w:rFonts w:hint="eastAsia"/>
            </w:rPr>
            <w:t xml:space="preserve">第9章 </w:t>
          </w:r>
          <w:r>
            <w:rPr>
              <w:rFonts w:hint="eastAsia" w:ascii="Songti SC" w:hAnsi="Songti SC" w:eastAsia="Songti SC" w:cs="Songti SC"/>
            </w:rPr>
            <w:t>项目组织机构和人员培训</w:t>
          </w:r>
          <w:r>
            <w:tab/>
          </w:r>
          <w:r>
            <w:fldChar w:fldCharType="begin"/>
          </w:r>
          <w:r>
            <w:instrText xml:space="preserve"> PAGEREF _Toc1605709888 \h </w:instrText>
          </w:r>
          <w:r>
            <w:fldChar w:fldCharType="separate"/>
          </w:r>
          <w:r>
            <w:t>149</w:t>
          </w:r>
          <w:r>
            <w:fldChar w:fldCharType="end"/>
          </w:r>
          <w:r>
            <w:rPr>
              <w:rFonts w:hint="eastAsia" w:ascii="Songti SC" w:hAnsi="Songti SC" w:eastAsia="Songti SC" w:cs="Songti SC"/>
              <w:color w:val="000000"/>
              <w:szCs w:val="36"/>
            </w:rPr>
            <w:fldChar w:fldCharType="end"/>
          </w:r>
        </w:p>
        <w:p w14:paraId="7242B819">
          <w:pPr>
            <w:pStyle w:val="50"/>
            <w:tabs>
              <w:tab w:val="right" w:leader="dot" w:pos="8121"/>
            </w:tabs>
          </w:pPr>
          <w:r>
            <w:rPr>
              <w:rFonts w:hint="eastAsia" w:ascii="Songti SC" w:hAnsi="Songti SC" w:eastAsia="Songti SC" w:cs="Songti SC"/>
              <w:color w:val="000000"/>
              <w:szCs w:val="36"/>
            </w:rPr>
            <w:fldChar w:fldCharType="begin"/>
          </w:r>
          <w:r>
            <w:rPr>
              <w:rFonts w:hint="eastAsia" w:ascii="Songti SC" w:hAnsi="Songti SC" w:eastAsia="Songti SC" w:cs="Songti SC"/>
              <w:szCs w:val="36"/>
            </w:rPr>
            <w:instrText xml:space="preserve"> HYPERLINK \l _Toc1886579414 </w:instrText>
          </w:r>
          <w:r>
            <w:rPr>
              <w:rFonts w:hint="eastAsia" w:ascii="Songti SC" w:hAnsi="Songti SC" w:eastAsia="Songti SC" w:cs="Songti SC"/>
              <w:szCs w:val="36"/>
            </w:rPr>
            <w:fldChar w:fldCharType="separate"/>
          </w:r>
          <w:r>
            <w:rPr>
              <w:rFonts w:hint="eastAsia"/>
            </w:rPr>
            <w:t xml:space="preserve">9.1 </w:t>
          </w:r>
          <w:r>
            <w:rPr>
              <w:rFonts w:hint="eastAsia" w:ascii="Songti SC" w:hAnsi="Songti SC" w:eastAsia="Songti SC" w:cs="Songti SC"/>
            </w:rPr>
            <w:t>项目组织机构</w:t>
          </w:r>
          <w:r>
            <w:tab/>
          </w:r>
          <w:r>
            <w:fldChar w:fldCharType="begin"/>
          </w:r>
          <w:r>
            <w:instrText xml:space="preserve"> PAGEREF _Toc1886579414 \h </w:instrText>
          </w:r>
          <w:r>
            <w:fldChar w:fldCharType="separate"/>
          </w:r>
          <w:r>
            <w:t>149</w:t>
          </w:r>
          <w:r>
            <w:fldChar w:fldCharType="end"/>
          </w:r>
          <w:r>
            <w:rPr>
              <w:rFonts w:hint="eastAsia" w:ascii="Songti SC" w:hAnsi="Songti SC" w:eastAsia="Songti SC" w:cs="Songti SC"/>
              <w:color w:val="000000"/>
              <w:szCs w:val="36"/>
            </w:rPr>
            <w:fldChar w:fldCharType="end"/>
          </w:r>
        </w:p>
        <w:p w14:paraId="6D152A87">
          <w:pPr>
            <w:pStyle w:val="29"/>
            <w:tabs>
              <w:tab w:val="right" w:leader="dot" w:pos="8121"/>
            </w:tabs>
          </w:pPr>
          <w:r>
            <w:rPr>
              <w:rFonts w:hint="eastAsia" w:ascii="Songti SC" w:hAnsi="Songti SC" w:eastAsia="Songti SC" w:cs="Songti SC"/>
              <w:color w:val="000000"/>
              <w:szCs w:val="36"/>
            </w:rPr>
            <w:fldChar w:fldCharType="begin"/>
          </w:r>
          <w:r>
            <w:rPr>
              <w:rFonts w:hint="eastAsia" w:ascii="Songti SC" w:hAnsi="Songti SC" w:eastAsia="Songti SC" w:cs="Songti SC"/>
              <w:szCs w:val="36"/>
            </w:rPr>
            <w:instrText xml:space="preserve"> HYPERLINK \l _Toc144163143 </w:instrText>
          </w:r>
          <w:r>
            <w:rPr>
              <w:rFonts w:hint="eastAsia" w:ascii="Songti SC" w:hAnsi="Songti SC" w:eastAsia="Songti SC" w:cs="Songti SC"/>
              <w:szCs w:val="36"/>
            </w:rPr>
            <w:fldChar w:fldCharType="separate"/>
          </w:r>
          <w:r>
            <w:rPr>
              <w:rFonts w:hint="eastAsia"/>
            </w:rPr>
            <w:t xml:space="preserve">9.1.1 </w:t>
          </w:r>
          <w:r>
            <w:rPr>
              <w:rFonts w:hint="eastAsia" w:ascii="Songti SC" w:hAnsi="Songti SC" w:eastAsia="Songti SC" w:cs="Songti SC"/>
            </w:rPr>
            <w:t>项目建设领导小组</w:t>
          </w:r>
          <w:r>
            <w:tab/>
          </w:r>
          <w:r>
            <w:fldChar w:fldCharType="begin"/>
          </w:r>
          <w:r>
            <w:instrText xml:space="preserve"> PAGEREF _Toc144163143 \h </w:instrText>
          </w:r>
          <w:r>
            <w:fldChar w:fldCharType="separate"/>
          </w:r>
          <w:r>
            <w:t>149</w:t>
          </w:r>
          <w:r>
            <w:fldChar w:fldCharType="end"/>
          </w:r>
          <w:r>
            <w:rPr>
              <w:rFonts w:hint="eastAsia" w:ascii="Songti SC" w:hAnsi="Songti SC" w:eastAsia="Songti SC" w:cs="Songti SC"/>
              <w:color w:val="000000"/>
              <w:szCs w:val="36"/>
            </w:rPr>
            <w:fldChar w:fldCharType="end"/>
          </w:r>
        </w:p>
        <w:p w14:paraId="153FDBB8">
          <w:pPr>
            <w:pStyle w:val="29"/>
            <w:tabs>
              <w:tab w:val="right" w:leader="dot" w:pos="8121"/>
            </w:tabs>
          </w:pPr>
          <w:r>
            <w:rPr>
              <w:rFonts w:hint="eastAsia" w:ascii="Songti SC" w:hAnsi="Songti SC" w:eastAsia="Songti SC" w:cs="Songti SC"/>
              <w:color w:val="000000"/>
              <w:szCs w:val="36"/>
            </w:rPr>
            <w:fldChar w:fldCharType="begin"/>
          </w:r>
          <w:r>
            <w:rPr>
              <w:rFonts w:hint="eastAsia" w:ascii="Songti SC" w:hAnsi="Songti SC" w:eastAsia="Songti SC" w:cs="Songti SC"/>
              <w:szCs w:val="36"/>
            </w:rPr>
            <w:instrText xml:space="preserve"> HYPERLINK \l _Toc588390585 </w:instrText>
          </w:r>
          <w:r>
            <w:rPr>
              <w:rFonts w:hint="eastAsia" w:ascii="Songti SC" w:hAnsi="Songti SC" w:eastAsia="Songti SC" w:cs="Songti SC"/>
              <w:szCs w:val="36"/>
            </w:rPr>
            <w:fldChar w:fldCharType="separate"/>
          </w:r>
          <w:r>
            <w:rPr>
              <w:rFonts w:hint="eastAsia"/>
            </w:rPr>
            <w:t xml:space="preserve">9.1.2 </w:t>
          </w:r>
          <w:r>
            <w:rPr>
              <w:rFonts w:hint="eastAsia" w:ascii="Songti SC" w:hAnsi="Songti SC" w:eastAsia="Songti SC" w:cs="Songti SC"/>
            </w:rPr>
            <w:t>项目实施机构</w:t>
          </w:r>
          <w:r>
            <w:tab/>
          </w:r>
          <w:r>
            <w:fldChar w:fldCharType="begin"/>
          </w:r>
          <w:r>
            <w:instrText xml:space="preserve"> PAGEREF _Toc588390585 \h </w:instrText>
          </w:r>
          <w:r>
            <w:fldChar w:fldCharType="separate"/>
          </w:r>
          <w:r>
            <w:t>151</w:t>
          </w:r>
          <w:r>
            <w:fldChar w:fldCharType="end"/>
          </w:r>
          <w:r>
            <w:rPr>
              <w:rFonts w:hint="eastAsia" w:ascii="Songti SC" w:hAnsi="Songti SC" w:eastAsia="Songti SC" w:cs="Songti SC"/>
              <w:color w:val="000000"/>
              <w:szCs w:val="36"/>
            </w:rPr>
            <w:fldChar w:fldCharType="end"/>
          </w:r>
        </w:p>
        <w:p w14:paraId="35827C54">
          <w:pPr>
            <w:pStyle w:val="50"/>
            <w:tabs>
              <w:tab w:val="right" w:leader="dot" w:pos="8121"/>
            </w:tabs>
          </w:pPr>
          <w:r>
            <w:rPr>
              <w:rFonts w:hint="eastAsia" w:ascii="Songti SC" w:hAnsi="Songti SC" w:eastAsia="Songti SC" w:cs="Songti SC"/>
              <w:color w:val="000000"/>
              <w:szCs w:val="36"/>
            </w:rPr>
            <w:fldChar w:fldCharType="begin"/>
          </w:r>
          <w:r>
            <w:rPr>
              <w:rFonts w:hint="eastAsia" w:ascii="Songti SC" w:hAnsi="Songti SC" w:eastAsia="Songti SC" w:cs="Songti SC"/>
              <w:szCs w:val="36"/>
            </w:rPr>
            <w:instrText xml:space="preserve"> HYPERLINK \l _Toc2065851307 </w:instrText>
          </w:r>
          <w:r>
            <w:rPr>
              <w:rFonts w:hint="eastAsia" w:ascii="Songti SC" w:hAnsi="Songti SC" w:eastAsia="Songti SC" w:cs="Songti SC"/>
              <w:szCs w:val="36"/>
            </w:rPr>
            <w:fldChar w:fldCharType="separate"/>
          </w:r>
          <w:r>
            <w:rPr>
              <w:rFonts w:hint="eastAsia"/>
            </w:rPr>
            <w:t xml:space="preserve">9.2 </w:t>
          </w:r>
          <w:r>
            <w:rPr>
              <w:rFonts w:hint="eastAsia" w:ascii="Songti SC" w:hAnsi="Songti SC" w:eastAsia="Songti SC" w:cs="Songti SC"/>
            </w:rPr>
            <w:t>人员培训方案</w:t>
          </w:r>
          <w:r>
            <w:tab/>
          </w:r>
          <w:r>
            <w:fldChar w:fldCharType="begin"/>
          </w:r>
          <w:r>
            <w:instrText xml:space="preserve"> PAGEREF _Toc2065851307 \h </w:instrText>
          </w:r>
          <w:r>
            <w:fldChar w:fldCharType="separate"/>
          </w:r>
          <w:r>
            <w:t>153</w:t>
          </w:r>
          <w:r>
            <w:fldChar w:fldCharType="end"/>
          </w:r>
          <w:r>
            <w:rPr>
              <w:rFonts w:hint="eastAsia" w:ascii="Songti SC" w:hAnsi="Songti SC" w:eastAsia="Songti SC" w:cs="Songti SC"/>
              <w:color w:val="000000"/>
              <w:szCs w:val="36"/>
            </w:rPr>
            <w:fldChar w:fldCharType="end"/>
          </w:r>
        </w:p>
        <w:p w14:paraId="449329C6">
          <w:pPr>
            <w:pStyle w:val="29"/>
            <w:tabs>
              <w:tab w:val="right" w:leader="dot" w:pos="8121"/>
            </w:tabs>
          </w:pPr>
          <w:r>
            <w:rPr>
              <w:rFonts w:hint="eastAsia" w:ascii="Songti SC" w:hAnsi="Songti SC" w:eastAsia="Songti SC" w:cs="Songti SC"/>
              <w:color w:val="000000"/>
              <w:szCs w:val="36"/>
            </w:rPr>
            <w:fldChar w:fldCharType="begin"/>
          </w:r>
          <w:r>
            <w:rPr>
              <w:rFonts w:hint="eastAsia" w:ascii="Songti SC" w:hAnsi="Songti SC" w:eastAsia="Songti SC" w:cs="Songti SC"/>
              <w:szCs w:val="36"/>
            </w:rPr>
            <w:instrText xml:space="preserve"> HYPERLINK \l _Toc247312053 </w:instrText>
          </w:r>
          <w:r>
            <w:rPr>
              <w:rFonts w:hint="eastAsia" w:ascii="Songti SC" w:hAnsi="Songti SC" w:eastAsia="Songti SC" w:cs="Songti SC"/>
              <w:szCs w:val="36"/>
            </w:rPr>
            <w:fldChar w:fldCharType="separate"/>
          </w:r>
          <w:r>
            <w:rPr>
              <w:rFonts w:hint="eastAsia"/>
            </w:rPr>
            <w:t xml:space="preserve">9.2.1 </w:t>
          </w:r>
          <w:r>
            <w:rPr>
              <w:rFonts w:hint="eastAsia" w:ascii="Songti SC" w:hAnsi="Songti SC" w:eastAsia="Songti SC" w:cs="Songti SC"/>
            </w:rPr>
            <w:t>培训对象及内容</w:t>
          </w:r>
          <w:r>
            <w:tab/>
          </w:r>
          <w:r>
            <w:fldChar w:fldCharType="begin"/>
          </w:r>
          <w:r>
            <w:instrText xml:space="preserve"> PAGEREF _Toc247312053 \h </w:instrText>
          </w:r>
          <w:r>
            <w:fldChar w:fldCharType="separate"/>
          </w:r>
          <w:r>
            <w:t>153</w:t>
          </w:r>
          <w:r>
            <w:fldChar w:fldCharType="end"/>
          </w:r>
          <w:r>
            <w:rPr>
              <w:rFonts w:hint="eastAsia" w:ascii="Songti SC" w:hAnsi="Songti SC" w:eastAsia="Songti SC" w:cs="Songti SC"/>
              <w:color w:val="000000"/>
              <w:szCs w:val="36"/>
            </w:rPr>
            <w:fldChar w:fldCharType="end"/>
          </w:r>
        </w:p>
        <w:p w14:paraId="4235C0FB">
          <w:pPr>
            <w:pStyle w:val="29"/>
            <w:tabs>
              <w:tab w:val="right" w:leader="dot" w:pos="8121"/>
            </w:tabs>
          </w:pPr>
          <w:r>
            <w:rPr>
              <w:rFonts w:hint="eastAsia" w:ascii="Songti SC" w:hAnsi="Songti SC" w:eastAsia="Songti SC" w:cs="Songti SC"/>
              <w:color w:val="000000"/>
              <w:szCs w:val="36"/>
            </w:rPr>
            <w:fldChar w:fldCharType="begin"/>
          </w:r>
          <w:r>
            <w:rPr>
              <w:rFonts w:hint="eastAsia" w:ascii="Songti SC" w:hAnsi="Songti SC" w:eastAsia="Songti SC" w:cs="Songti SC"/>
              <w:szCs w:val="36"/>
            </w:rPr>
            <w:instrText xml:space="preserve"> HYPERLINK \l _Toc1192817826 </w:instrText>
          </w:r>
          <w:r>
            <w:rPr>
              <w:rFonts w:hint="eastAsia" w:ascii="Songti SC" w:hAnsi="Songti SC" w:eastAsia="Songti SC" w:cs="Songti SC"/>
              <w:szCs w:val="36"/>
            </w:rPr>
            <w:fldChar w:fldCharType="separate"/>
          </w:r>
          <w:r>
            <w:rPr>
              <w:rFonts w:hint="eastAsia"/>
            </w:rPr>
            <w:t xml:space="preserve">9.2.2 </w:t>
          </w:r>
          <w:r>
            <w:rPr>
              <w:rFonts w:hint="eastAsia" w:ascii="Songti SC" w:hAnsi="Songti SC" w:eastAsia="Songti SC" w:cs="Songti SC"/>
            </w:rPr>
            <w:t>培训方式</w:t>
          </w:r>
          <w:r>
            <w:tab/>
          </w:r>
          <w:r>
            <w:fldChar w:fldCharType="begin"/>
          </w:r>
          <w:r>
            <w:instrText xml:space="preserve"> PAGEREF _Toc1192817826 \h </w:instrText>
          </w:r>
          <w:r>
            <w:fldChar w:fldCharType="separate"/>
          </w:r>
          <w:r>
            <w:t>155</w:t>
          </w:r>
          <w:r>
            <w:fldChar w:fldCharType="end"/>
          </w:r>
          <w:r>
            <w:rPr>
              <w:rFonts w:hint="eastAsia" w:ascii="Songti SC" w:hAnsi="Songti SC" w:eastAsia="Songti SC" w:cs="Songti SC"/>
              <w:color w:val="000000"/>
              <w:szCs w:val="36"/>
            </w:rPr>
            <w:fldChar w:fldCharType="end"/>
          </w:r>
        </w:p>
        <w:p w14:paraId="2AFA5F7C">
          <w:pPr>
            <w:pStyle w:val="39"/>
            <w:tabs>
              <w:tab w:val="right" w:leader="dot" w:pos="8121"/>
            </w:tabs>
          </w:pPr>
          <w:r>
            <w:rPr>
              <w:rFonts w:hint="eastAsia" w:ascii="Songti SC" w:hAnsi="Songti SC" w:eastAsia="Songti SC" w:cs="Songti SC"/>
              <w:color w:val="000000"/>
              <w:szCs w:val="36"/>
            </w:rPr>
            <w:fldChar w:fldCharType="begin"/>
          </w:r>
          <w:r>
            <w:rPr>
              <w:rFonts w:hint="eastAsia" w:ascii="Songti SC" w:hAnsi="Songti SC" w:eastAsia="Songti SC" w:cs="Songti SC"/>
              <w:szCs w:val="36"/>
            </w:rPr>
            <w:instrText xml:space="preserve"> HYPERLINK \l _Toc929356837 </w:instrText>
          </w:r>
          <w:r>
            <w:rPr>
              <w:rFonts w:hint="eastAsia" w:ascii="Songti SC" w:hAnsi="Songti SC" w:eastAsia="Songti SC" w:cs="Songti SC"/>
              <w:szCs w:val="36"/>
            </w:rPr>
            <w:fldChar w:fldCharType="separate"/>
          </w:r>
          <w:r>
            <w:rPr>
              <w:rFonts w:hint="eastAsia"/>
            </w:rPr>
            <w:t xml:space="preserve">第10章 </w:t>
          </w:r>
          <w:r>
            <w:rPr>
              <w:rFonts w:hint="eastAsia" w:ascii="Songti SC" w:hAnsi="Songti SC" w:eastAsia="Songti SC" w:cs="Songti SC"/>
            </w:rPr>
            <w:t>项目实施方案及进度</w:t>
          </w:r>
          <w:r>
            <w:tab/>
          </w:r>
          <w:r>
            <w:fldChar w:fldCharType="begin"/>
          </w:r>
          <w:r>
            <w:instrText xml:space="preserve"> PAGEREF _Toc929356837 \h </w:instrText>
          </w:r>
          <w:r>
            <w:fldChar w:fldCharType="separate"/>
          </w:r>
          <w:r>
            <w:t>157</w:t>
          </w:r>
          <w:r>
            <w:fldChar w:fldCharType="end"/>
          </w:r>
          <w:r>
            <w:rPr>
              <w:rFonts w:hint="eastAsia" w:ascii="Songti SC" w:hAnsi="Songti SC" w:eastAsia="Songti SC" w:cs="Songti SC"/>
              <w:color w:val="000000"/>
              <w:szCs w:val="36"/>
            </w:rPr>
            <w:fldChar w:fldCharType="end"/>
          </w:r>
        </w:p>
        <w:p w14:paraId="55DA6A98">
          <w:pPr>
            <w:pStyle w:val="50"/>
            <w:tabs>
              <w:tab w:val="right" w:leader="dot" w:pos="8121"/>
            </w:tabs>
          </w:pPr>
          <w:r>
            <w:rPr>
              <w:rFonts w:hint="eastAsia" w:ascii="Songti SC" w:hAnsi="Songti SC" w:eastAsia="Songti SC" w:cs="Songti SC"/>
              <w:color w:val="000000"/>
              <w:szCs w:val="36"/>
            </w:rPr>
            <w:fldChar w:fldCharType="begin"/>
          </w:r>
          <w:r>
            <w:rPr>
              <w:rFonts w:hint="eastAsia" w:ascii="Songti SC" w:hAnsi="Songti SC" w:eastAsia="Songti SC" w:cs="Songti SC"/>
              <w:szCs w:val="36"/>
            </w:rPr>
            <w:instrText xml:space="preserve"> HYPERLINK \l _Toc1051794828 </w:instrText>
          </w:r>
          <w:r>
            <w:rPr>
              <w:rFonts w:hint="eastAsia" w:ascii="Songti SC" w:hAnsi="Songti SC" w:eastAsia="Songti SC" w:cs="Songti SC"/>
              <w:szCs w:val="36"/>
            </w:rPr>
            <w:fldChar w:fldCharType="separate"/>
          </w:r>
          <w:r>
            <w:rPr>
              <w:rFonts w:hint="eastAsia"/>
            </w:rPr>
            <w:t xml:space="preserve">10.1 </w:t>
          </w:r>
          <w:r>
            <w:rPr>
              <w:rFonts w:hint="eastAsia" w:ascii="Songti SC" w:hAnsi="Songti SC" w:eastAsia="Songti SC" w:cs="Songti SC"/>
            </w:rPr>
            <w:t>项目建设期</w:t>
          </w:r>
          <w:r>
            <w:tab/>
          </w:r>
          <w:r>
            <w:fldChar w:fldCharType="begin"/>
          </w:r>
          <w:r>
            <w:instrText xml:space="preserve"> PAGEREF _Toc1051794828 \h </w:instrText>
          </w:r>
          <w:r>
            <w:fldChar w:fldCharType="separate"/>
          </w:r>
          <w:r>
            <w:t>157</w:t>
          </w:r>
          <w:r>
            <w:fldChar w:fldCharType="end"/>
          </w:r>
          <w:r>
            <w:rPr>
              <w:rFonts w:hint="eastAsia" w:ascii="Songti SC" w:hAnsi="Songti SC" w:eastAsia="Songti SC" w:cs="Songti SC"/>
              <w:color w:val="000000"/>
              <w:szCs w:val="36"/>
            </w:rPr>
            <w:fldChar w:fldCharType="end"/>
          </w:r>
        </w:p>
        <w:p w14:paraId="475450E8">
          <w:pPr>
            <w:pStyle w:val="50"/>
            <w:tabs>
              <w:tab w:val="right" w:leader="dot" w:pos="8121"/>
            </w:tabs>
          </w:pPr>
          <w:r>
            <w:rPr>
              <w:rFonts w:hint="eastAsia" w:ascii="Songti SC" w:hAnsi="Songti SC" w:eastAsia="Songti SC" w:cs="Songti SC"/>
              <w:color w:val="000000"/>
              <w:szCs w:val="36"/>
            </w:rPr>
            <w:fldChar w:fldCharType="begin"/>
          </w:r>
          <w:r>
            <w:rPr>
              <w:rFonts w:hint="eastAsia" w:ascii="Songti SC" w:hAnsi="Songti SC" w:eastAsia="Songti SC" w:cs="Songti SC"/>
              <w:szCs w:val="36"/>
            </w:rPr>
            <w:instrText xml:space="preserve"> HYPERLINK \l _Toc1577775739 </w:instrText>
          </w:r>
          <w:r>
            <w:rPr>
              <w:rFonts w:hint="eastAsia" w:ascii="Songti SC" w:hAnsi="Songti SC" w:eastAsia="Songti SC" w:cs="Songti SC"/>
              <w:szCs w:val="36"/>
            </w:rPr>
            <w:fldChar w:fldCharType="separate"/>
          </w:r>
          <w:r>
            <w:rPr>
              <w:rFonts w:hint="eastAsia"/>
            </w:rPr>
            <w:t xml:space="preserve">10.2 </w:t>
          </w:r>
          <w:r>
            <w:rPr>
              <w:rFonts w:hint="eastAsia" w:ascii="Songti SC" w:hAnsi="Songti SC" w:eastAsia="Songti SC" w:cs="Songti SC"/>
            </w:rPr>
            <w:t>实施进度计划</w:t>
          </w:r>
          <w:r>
            <w:tab/>
          </w:r>
          <w:r>
            <w:fldChar w:fldCharType="begin"/>
          </w:r>
          <w:r>
            <w:instrText xml:space="preserve"> PAGEREF _Toc1577775739 \h </w:instrText>
          </w:r>
          <w:r>
            <w:fldChar w:fldCharType="separate"/>
          </w:r>
          <w:r>
            <w:t>157</w:t>
          </w:r>
          <w:r>
            <w:fldChar w:fldCharType="end"/>
          </w:r>
          <w:r>
            <w:rPr>
              <w:rFonts w:hint="eastAsia" w:ascii="Songti SC" w:hAnsi="Songti SC" w:eastAsia="Songti SC" w:cs="Songti SC"/>
              <w:color w:val="000000"/>
              <w:szCs w:val="36"/>
            </w:rPr>
            <w:fldChar w:fldCharType="end"/>
          </w:r>
        </w:p>
        <w:p w14:paraId="78FA12DD">
          <w:pPr>
            <w:pStyle w:val="39"/>
            <w:tabs>
              <w:tab w:val="right" w:leader="dot" w:pos="8121"/>
            </w:tabs>
          </w:pPr>
          <w:r>
            <w:rPr>
              <w:rFonts w:hint="eastAsia" w:ascii="Songti SC" w:hAnsi="Songti SC" w:eastAsia="Songti SC" w:cs="Songti SC"/>
              <w:color w:val="000000"/>
              <w:szCs w:val="36"/>
            </w:rPr>
            <w:fldChar w:fldCharType="begin"/>
          </w:r>
          <w:r>
            <w:rPr>
              <w:rFonts w:hint="eastAsia" w:ascii="Songti SC" w:hAnsi="Songti SC" w:eastAsia="Songti SC" w:cs="Songti SC"/>
              <w:szCs w:val="36"/>
            </w:rPr>
            <w:instrText xml:space="preserve"> HYPERLINK \l _Toc548772217 </w:instrText>
          </w:r>
          <w:r>
            <w:rPr>
              <w:rFonts w:hint="eastAsia" w:ascii="Songti SC" w:hAnsi="Songti SC" w:eastAsia="Songti SC" w:cs="Songti SC"/>
              <w:szCs w:val="36"/>
            </w:rPr>
            <w:fldChar w:fldCharType="separate"/>
          </w:r>
          <w:r>
            <w:rPr>
              <w:rFonts w:hint="eastAsia"/>
            </w:rPr>
            <w:t xml:space="preserve">第11章 </w:t>
          </w:r>
          <w:r>
            <w:rPr>
              <w:rFonts w:hint="eastAsia" w:ascii="Songti SC" w:hAnsi="Songti SC" w:eastAsia="Songti SC" w:cs="Songti SC"/>
            </w:rPr>
            <w:t>投资概算及资金来源</w:t>
          </w:r>
          <w:r>
            <w:tab/>
          </w:r>
          <w:r>
            <w:fldChar w:fldCharType="begin"/>
          </w:r>
          <w:r>
            <w:instrText xml:space="preserve"> PAGEREF _Toc548772217 \h </w:instrText>
          </w:r>
          <w:r>
            <w:fldChar w:fldCharType="separate"/>
          </w:r>
          <w:r>
            <w:t>162</w:t>
          </w:r>
          <w:r>
            <w:fldChar w:fldCharType="end"/>
          </w:r>
          <w:r>
            <w:rPr>
              <w:rFonts w:hint="eastAsia" w:ascii="Songti SC" w:hAnsi="Songti SC" w:eastAsia="Songti SC" w:cs="Songti SC"/>
              <w:color w:val="000000"/>
              <w:szCs w:val="36"/>
            </w:rPr>
            <w:fldChar w:fldCharType="end"/>
          </w:r>
        </w:p>
        <w:p w14:paraId="68AAC5D9">
          <w:pPr>
            <w:pStyle w:val="50"/>
            <w:tabs>
              <w:tab w:val="right" w:leader="dot" w:pos="8121"/>
            </w:tabs>
          </w:pPr>
          <w:r>
            <w:rPr>
              <w:rFonts w:hint="eastAsia" w:ascii="Songti SC" w:hAnsi="Songti SC" w:eastAsia="Songti SC" w:cs="Songti SC"/>
              <w:color w:val="000000"/>
              <w:szCs w:val="36"/>
            </w:rPr>
            <w:fldChar w:fldCharType="begin"/>
          </w:r>
          <w:r>
            <w:rPr>
              <w:rFonts w:hint="eastAsia" w:ascii="Songti SC" w:hAnsi="Songti SC" w:eastAsia="Songti SC" w:cs="Songti SC"/>
              <w:szCs w:val="36"/>
            </w:rPr>
            <w:instrText xml:space="preserve"> HYPERLINK \l _Toc1919870901 </w:instrText>
          </w:r>
          <w:r>
            <w:rPr>
              <w:rFonts w:hint="eastAsia" w:ascii="Songti SC" w:hAnsi="Songti SC" w:eastAsia="Songti SC" w:cs="Songti SC"/>
              <w:szCs w:val="36"/>
            </w:rPr>
            <w:fldChar w:fldCharType="separate"/>
          </w:r>
          <w:r>
            <w:rPr>
              <w:rFonts w:hint="eastAsia"/>
            </w:rPr>
            <w:t xml:space="preserve">11.1 </w:t>
          </w:r>
          <w:r>
            <w:rPr>
              <w:rFonts w:ascii="Songti SC" w:hAnsi="Songti SC" w:eastAsia="Songti SC" w:cs="Songti SC"/>
            </w:rPr>
            <w:t>投资概算编制说明</w:t>
          </w:r>
          <w:r>
            <w:tab/>
          </w:r>
          <w:r>
            <w:fldChar w:fldCharType="begin"/>
          </w:r>
          <w:r>
            <w:instrText xml:space="preserve"> PAGEREF _Toc1919870901 \h </w:instrText>
          </w:r>
          <w:r>
            <w:fldChar w:fldCharType="separate"/>
          </w:r>
          <w:r>
            <w:t>162</w:t>
          </w:r>
          <w:r>
            <w:fldChar w:fldCharType="end"/>
          </w:r>
          <w:r>
            <w:rPr>
              <w:rFonts w:hint="eastAsia" w:ascii="Songti SC" w:hAnsi="Songti SC" w:eastAsia="Songti SC" w:cs="Songti SC"/>
              <w:color w:val="000000"/>
              <w:szCs w:val="36"/>
            </w:rPr>
            <w:fldChar w:fldCharType="end"/>
          </w:r>
        </w:p>
        <w:p w14:paraId="7B4D2F09">
          <w:pPr>
            <w:pStyle w:val="50"/>
            <w:tabs>
              <w:tab w:val="right" w:leader="dot" w:pos="8121"/>
            </w:tabs>
          </w:pPr>
          <w:r>
            <w:rPr>
              <w:rFonts w:hint="eastAsia" w:ascii="Songti SC" w:hAnsi="Songti SC" w:eastAsia="Songti SC" w:cs="Songti SC"/>
              <w:color w:val="000000"/>
              <w:szCs w:val="36"/>
            </w:rPr>
            <w:fldChar w:fldCharType="begin"/>
          </w:r>
          <w:r>
            <w:rPr>
              <w:rFonts w:hint="eastAsia" w:ascii="Songti SC" w:hAnsi="Songti SC" w:eastAsia="Songti SC" w:cs="Songti SC"/>
              <w:szCs w:val="36"/>
            </w:rPr>
            <w:instrText xml:space="preserve"> HYPERLINK \l _Toc1328436932 </w:instrText>
          </w:r>
          <w:r>
            <w:rPr>
              <w:rFonts w:hint="eastAsia" w:ascii="Songti SC" w:hAnsi="Songti SC" w:eastAsia="Songti SC" w:cs="Songti SC"/>
              <w:szCs w:val="36"/>
            </w:rPr>
            <w:fldChar w:fldCharType="separate"/>
          </w:r>
          <w:r>
            <w:rPr>
              <w:rFonts w:hint="eastAsia"/>
            </w:rPr>
            <w:t xml:space="preserve">11.2 </w:t>
          </w:r>
          <w:r>
            <w:rPr>
              <w:rFonts w:hint="eastAsia" w:ascii="Songti SC" w:hAnsi="Songti SC" w:eastAsia="Songti SC" w:cs="Songti SC"/>
              <w:lang w:eastAsia="zh-CN"/>
            </w:rPr>
            <w:t>本项目投资概算</w:t>
          </w:r>
          <w:r>
            <w:tab/>
          </w:r>
          <w:r>
            <w:fldChar w:fldCharType="begin"/>
          </w:r>
          <w:r>
            <w:instrText xml:space="preserve"> PAGEREF _Toc1328436932 \h </w:instrText>
          </w:r>
          <w:r>
            <w:fldChar w:fldCharType="separate"/>
          </w:r>
          <w:r>
            <w:t>162</w:t>
          </w:r>
          <w:r>
            <w:fldChar w:fldCharType="end"/>
          </w:r>
          <w:r>
            <w:rPr>
              <w:rFonts w:hint="eastAsia" w:ascii="Songti SC" w:hAnsi="Songti SC" w:eastAsia="Songti SC" w:cs="Songti SC"/>
              <w:color w:val="000000"/>
              <w:szCs w:val="36"/>
            </w:rPr>
            <w:fldChar w:fldCharType="end"/>
          </w:r>
        </w:p>
        <w:p w14:paraId="6526C522">
          <w:pPr>
            <w:pStyle w:val="29"/>
            <w:tabs>
              <w:tab w:val="right" w:leader="dot" w:pos="8121"/>
            </w:tabs>
          </w:pPr>
          <w:r>
            <w:rPr>
              <w:rFonts w:hint="eastAsia" w:ascii="Songti SC" w:hAnsi="Songti SC" w:eastAsia="Songti SC" w:cs="Songti SC"/>
              <w:color w:val="000000"/>
              <w:szCs w:val="36"/>
            </w:rPr>
            <w:fldChar w:fldCharType="begin"/>
          </w:r>
          <w:r>
            <w:rPr>
              <w:rFonts w:hint="eastAsia" w:ascii="Songti SC" w:hAnsi="Songti SC" w:eastAsia="Songti SC" w:cs="Songti SC"/>
              <w:szCs w:val="36"/>
            </w:rPr>
            <w:instrText xml:space="preserve"> HYPERLINK \l _Toc1799521912 </w:instrText>
          </w:r>
          <w:r>
            <w:rPr>
              <w:rFonts w:hint="eastAsia" w:ascii="Songti SC" w:hAnsi="Songti SC" w:eastAsia="Songti SC" w:cs="Songti SC"/>
              <w:szCs w:val="36"/>
            </w:rPr>
            <w:fldChar w:fldCharType="separate"/>
          </w:r>
          <w:r>
            <w:rPr>
              <w:rFonts w:hint="eastAsia"/>
            </w:rPr>
            <w:t xml:space="preserve">11.2.1 </w:t>
          </w:r>
          <w:r>
            <w:rPr>
              <w:rFonts w:hint="eastAsia" w:ascii="Songti SC" w:hAnsi="Songti SC" w:eastAsia="Songti SC" w:cs="Songti SC"/>
            </w:rPr>
            <w:t>总投资概算</w:t>
          </w:r>
          <w:r>
            <w:tab/>
          </w:r>
          <w:r>
            <w:fldChar w:fldCharType="begin"/>
          </w:r>
          <w:r>
            <w:instrText xml:space="preserve"> PAGEREF _Toc1799521912 \h </w:instrText>
          </w:r>
          <w:r>
            <w:fldChar w:fldCharType="separate"/>
          </w:r>
          <w:r>
            <w:t>162</w:t>
          </w:r>
          <w:r>
            <w:fldChar w:fldCharType="end"/>
          </w:r>
          <w:r>
            <w:rPr>
              <w:rFonts w:hint="eastAsia" w:ascii="Songti SC" w:hAnsi="Songti SC" w:eastAsia="Songti SC" w:cs="Songti SC"/>
              <w:color w:val="000000"/>
              <w:szCs w:val="36"/>
            </w:rPr>
            <w:fldChar w:fldCharType="end"/>
          </w:r>
        </w:p>
        <w:p w14:paraId="18901F6E">
          <w:pPr>
            <w:pStyle w:val="29"/>
            <w:tabs>
              <w:tab w:val="right" w:leader="dot" w:pos="8121"/>
            </w:tabs>
          </w:pPr>
          <w:r>
            <w:rPr>
              <w:rFonts w:hint="eastAsia" w:ascii="Songti SC" w:hAnsi="Songti SC" w:eastAsia="Songti SC" w:cs="Songti SC"/>
              <w:color w:val="000000"/>
              <w:szCs w:val="36"/>
            </w:rPr>
            <w:fldChar w:fldCharType="begin"/>
          </w:r>
          <w:r>
            <w:rPr>
              <w:rFonts w:hint="eastAsia" w:ascii="Songti SC" w:hAnsi="Songti SC" w:eastAsia="Songti SC" w:cs="Songti SC"/>
              <w:szCs w:val="36"/>
            </w:rPr>
            <w:instrText xml:space="preserve"> HYPERLINK \l _Toc1552574283 </w:instrText>
          </w:r>
          <w:r>
            <w:rPr>
              <w:rFonts w:hint="eastAsia" w:ascii="Songti SC" w:hAnsi="Songti SC" w:eastAsia="Songti SC" w:cs="Songti SC"/>
              <w:szCs w:val="36"/>
            </w:rPr>
            <w:fldChar w:fldCharType="separate"/>
          </w:r>
          <w:r>
            <w:rPr>
              <w:rFonts w:hint="eastAsia"/>
            </w:rPr>
            <w:t xml:space="preserve">11.2.2 </w:t>
          </w:r>
          <w:r>
            <w:rPr>
              <w:rFonts w:hint="eastAsia" w:ascii="Songti SC" w:hAnsi="Songti SC" w:eastAsia="Songti SC" w:cs="Songti SC"/>
              <w:lang w:eastAsia="zh-CN"/>
            </w:rPr>
            <w:t>项目工程费</w:t>
          </w:r>
          <w:r>
            <w:tab/>
          </w:r>
          <w:r>
            <w:fldChar w:fldCharType="begin"/>
          </w:r>
          <w:r>
            <w:instrText xml:space="preserve"> PAGEREF _Toc1552574283 \h </w:instrText>
          </w:r>
          <w:r>
            <w:fldChar w:fldCharType="separate"/>
          </w:r>
          <w:r>
            <w:t>163</w:t>
          </w:r>
          <w:r>
            <w:fldChar w:fldCharType="end"/>
          </w:r>
          <w:r>
            <w:rPr>
              <w:rFonts w:hint="eastAsia" w:ascii="Songti SC" w:hAnsi="Songti SC" w:eastAsia="Songti SC" w:cs="Songti SC"/>
              <w:color w:val="000000"/>
              <w:szCs w:val="36"/>
            </w:rPr>
            <w:fldChar w:fldCharType="end"/>
          </w:r>
        </w:p>
        <w:p w14:paraId="4695408C">
          <w:pPr>
            <w:pStyle w:val="50"/>
            <w:tabs>
              <w:tab w:val="right" w:leader="dot" w:pos="8121"/>
            </w:tabs>
          </w:pPr>
          <w:r>
            <w:rPr>
              <w:rFonts w:hint="eastAsia" w:ascii="Songti SC" w:hAnsi="Songti SC" w:eastAsia="Songti SC" w:cs="Songti SC"/>
              <w:color w:val="000000"/>
              <w:szCs w:val="36"/>
            </w:rPr>
            <w:fldChar w:fldCharType="begin"/>
          </w:r>
          <w:r>
            <w:rPr>
              <w:rFonts w:hint="eastAsia" w:ascii="Songti SC" w:hAnsi="Songti SC" w:eastAsia="Songti SC" w:cs="Songti SC"/>
              <w:szCs w:val="36"/>
            </w:rPr>
            <w:instrText xml:space="preserve"> HYPERLINK \l _Toc42179684 </w:instrText>
          </w:r>
          <w:r>
            <w:rPr>
              <w:rFonts w:hint="eastAsia" w:ascii="Songti SC" w:hAnsi="Songti SC" w:eastAsia="Songti SC" w:cs="Songti SC"/>
              <w:szCs w:val="36"/>
            </w:rPr>
            <w:fldChar w:fldCharType="separate"/>
          </w:r>
          <w:r>
            <w:rPr>
              <w:rFonts w:hint="eastAsia"/>
            </w:rPr>
            <w:t xml:space="preserve">11.3 </w:t>
          </w:r>
          <w:r>
            <w:rPr>
              <w:rFonts w:ascii="Songti SC" w:hAnsi="Songti SC" w:eastAsia="Songti SC" w:cs="Songti SC"/>
            </w:rPr>
            <w:t>资金来源与落实情况</w:t>
          </w:r>
          <w:r>
            <w:tab/>
          </w:r>
          <w:r>
            <w:fldChar w:fldCharType="begin"/>
          </w:r>
          <w:r>
            <w:instrText xml:space="preserve"> PAGEREF _Toc42179684 \h </w:instrText>
          </w:r>
          <w:r>
            <w:fldChar w:fldCharType="separate"/>
          </w:r>
          <w:r>
            <w:t>168</w:t>
          </w:r>
          <w:r>
            <w:fldChar w:fldCharType="end"/>
          </w:r>
          <w:r>
            <w:rPr>
              <w:rFonts w:hint="eastAsia" w:ascii="Songti SC" w:hAnsi="Songti SC" w:eastAsia="Songti SC" w:cs="Songti SC"/>
              <w:color w:val="000000"/>
              <w:szCs w:val="36"/>
            </w:rPr>
            <w:fldChar w:fldCharType="end"/>
          </w:r>
        </w:p>
        <w:p w14:paraId="25D3FB33">
          <w:pPr>
            <w:pStyle w:val="39"/>
            <w:tabs>
              <w:tab w:val="right" w:leader="dot" w:pos="8121"/>
            </w:tabs>
          </w:pPr>
          <w:r>
            <w:rPr>
              <w:rFonts w:hint="eastAsia" w:ascii="Songti SC" w:hAnsi="Songti SC" w:eastAsia="Songti SC" w:cs="Songti SC"/>
              <w:color w:val="000000"/>
              <w:szCs w:val="36"/>
            </w:rPr>
            <w:fldChar w:fldCharType="begin"/>
          </w:r>
          <w:r>
            <w:rPr>
              <w:rFonts w:hint="eastAsia" w:ascii="Songti SC" w:hAnsi="Songti SC" w:eastAsia="Songti SC" w:cs="Songti SC"/>
              <w:szCs w:val="36"/>
            </w:rPr>
            <w:instrText xml:space="preserve"> HYPERLINK \l _Toc244345478 </w:instrText>
          </w:r>
          <w:r>
            <w:rPr>
              <w:rFonts w:hint="eastAsia" w:ascii="Songti SC" w:hAnsi="Songti SC" w:eastAsia="Songti SC" w:cs="Songti SC"/>
              <w:szCs w:val="36"/>
            </w:rPr>
            <w:fldChar w:fldCharType="separate"/>
          </w:r>
          <w:r>
            <w:rPr>
              <w:rFonts w:hint="eastAsia"/>
            </w:rPr>
            <w:t xml:space="preserve">第12章 </w:t>
          </w:r>
          <w:r>
            <w:rPr>
              <w:rFonts w:hint="eastAsia" w:ascii="Songti SC" w:hAnsi="Songti SC" w:eastAsia="Songti SC" w:cs="Songti SC"/>
            </w:rPr>
            <w:t>社会与经济效益</w:t>
          </w:r>
          <w:r>
            <w:tab/>
          </w:r>
          <w:r>
            <w:fldChar w:fldCharType="begin"/>
          </w:r>
          <w:r>
            <w:instrText xml:space="preserve"> PAGEREF _Toc244345478 \h </w:instrText>
          </w:r>
          <w:r>
            <w:fldChar w:fldCharType="separate"/>
          </w:r>
          <w:r>
            <w:t>169</w:t>
          </w:r>
          <w:r>
            <w:fldChar w:fldCharType="end"/>
          </w:r>
          <w:r>
            <w:rPr>
              <w:rFonts w:hint="eastAsia" w:ascii="Songti SC" w:hAnsi="Songti SC" w:eastAsia="Songti SC" w:cs="Songti SC"/>
              <w:color w:val="000000"/>
              <w:szCs w:val="36"/>
            </w:rPr>
            <w:fldChar w:fldCharType="end"/>
          </w:r>
        </w:p>
        <w:p w14:paraId="4A47EC9D">
          <w:pPr>
            <w:pStyle w:val="50"/>
            <w:tabs>
              <w:tab w:val="right" w:leader="dot" w:pos="8121"/>
            </w:tabs>
          </w:pPr>
          <w:r>
            <w:rPr>
              <w:rFonts w:hint="eastAsia" w:ascii="Songti SC" w:hAnsi="Songti SC" w:eastAsia="Songti SC" w:cs="Songti SC"/>
              <w:color w:val="000000"/>
              <w:szCs w:val="36"/>
            </w:rPr>
            <w:fldChar w:fldCharType="begin"/>
          </w:r>
          <w:r>
            <w:rPr>
              <w:rFonts w:hint="eastAsia" w:ascii="Songti SC" w:hAnsi="Songti SC" w:eastAsia="Songti SC" w:cs="Songti SC"/>
              <w:szCs w:val="36"/>
            </w:rPr>
            <w:instrText xml:space="preserve"> HYPERLINK \l _Toc725715682 </w:instrText>
          </w:r>
          <w:r>
            <w:rPr>
              <w:rFonts w:hint="eastAsia" w:ascii="Songti SC" w:hAnsi="Songti SC" w:eastAsia="Songti SC" w:cs="Songti SC"/>
              <w:szCs w:val="36"/>
            </w:rPr>
            <w:fldChar w:fldCharType="separate"/>
          </w:r>
          <w:r>
            <w:rPr>
              <w:rFonts w:hint="eastAsia"/>
            </w:rPr>
            <w:t xml:space="preserve">12.1 </w:t>
          </w:r>
          <w:r>
            <w:rPr>
              <w:rFonts w:ascii="Songti SC" w:hAnsi="Songti SC" w:eastAsia="Songti SC" w:cs="Songti SC"/>
            </w:rPr>
            <w:t>社会效益分析</w:t>
          </w:r>
          <w:r>
            <w:tab/>
          </w:r>
          <w:r>
            <w:fldChar w:fldCharType="begin"/>
          </w:r>
          <w:r>
            <w:instrText xml:space="preserve"> PAGEREF _Toc725715682 \h </w:instrText>
          </w:r>
          <w:r>
            <w:fldChar w:fldCharType="separate"/>
          </w:r>
          <w:r>
            <w:t>169</w:t>
          </w:r>
          <w:r>
            <w:fldChar w:fldCharType="end"/>
          </w:r>
          <w:r>
            <w:rPr>
              <w:rFonts w:hint="eastAsia" w:ascii="Songti SC" w:hAnsi="Songti SC" w:eastAsia="Songti SC" w:cs="Songti SC"/>
              <w:color w:val="000000"/>
              <w:szCs w:val="36"/>
            </w:rPr>
            <w:fldChar w:fldCharType="end"/>
          </w:r>
        </w:p>
        <w:p w14:paraId="474B7CF1">
          <w:pPr>
            <w:pStyle w:val="50"/>
            <w:tabs>
              <w:tab w:val="right" w:leader="dot" w:pos="8121"/>
            </w:tabs>
          </w:pPr>
          <w:r>
            <w:rPr>
              <w:rFonts w:hint="eastAsia" w:ascii="Songti SC" w:hAnsi="Songti SC" w:eastAsia="Songti SC" w:cs="Songti SC"/>
              <w:color w:val="000000"/>
              <w:szCs w:val="36"/>
            </w:rPr>
            <w:fldChar w:fldCharType="begin"/>
          </w:r>
          <w:r>
            <w:rPr>
              <w:rFonts w:hint="eastAsia" w:ascii="Songti SC" w:hAnsi="Songti SC" w:eastAsia="Songti SC" w:cs="Songti SC"/>
              <w:szCs w:val="36"/>
            </w:rPr>
            <w:instrText xml:space="preserve"> HYPERLINK \l _Toc1543836061 </w:instrText>
          </w:r>
          <w:r>
            <w:rPr>
              <w:rFonts w:hint="eastAsia" w:ascii="Songti SC" w:hAnsi="Songti SC" w:eastAsia="Songti SC" w:cs="Songti SC"/>
              <w:szCs w:val="36"/>
            </w:rPr>
            <w:fldChar w:fldCharType="separate"/>
          </w:r>
          <w:r>
            <w:rPr>
              <w:rFonts w:hint="eastAsia"/>
            </w:rPr>
            <w:t xml:space="preserve">12.2 </w:t>
          </w:r>
          <w:r>
            <w:rPr>
              <w:rFonts w:ascii="Songti SC" w:hAnsi="Songti SC" w:eastAsia="Songti SC" w:cs="Songti SC"/>
            </w:rPr>
            <w:t>经济效益分析</w:t>
          </w:r>
          <w:r>
            <w:tab/>
          </w:r>
          <w:r>
            <w:fldChar w:fldCharType="begin"/>
          </w:r>
          <w:r>
            <w:instrText xml:space="preserve"> PAGEREF _Toc1543836061 \h </w:instrText>
          </w:r>
          <w:r>
            <w:fldChar w:fldCharType="separate"/>
          </w:r>
          <w:r>
            <w:t>169</w:t>
          </w:r>
          <w:r>
            <w:fldChar w:fldCharType="end"/>
          </w:r>
          <w:r>
            <w:rPr>
              <w:rFonts w:hint="eastAsia" w:ascii="Songti SC" w:hAnsi="Songti SC" w:eastAsia="Songti SC" w:cs="Songti SC"/>
              <w:color w:val="000000"/>
              <w:szCs w:val="36"/>
            </w:rPr>
            <w:fldChar w:fldCharType="end"/>
          </w:r>
        </w:p>
        <w:p w14:paraId="2CFACD06">
          <w:pPr>
            <w:pStyle w:val="39"/>
            <w:tabs>
              <w:tab w:val="right" w:leader="dot" w:pos="8121"/>
            </w:tabs>
          </w:pPr>
          <w:r>
            <w:rPr>
              <w:rFonts w:hint="eastAsia" w:ascii="Songti SC" w:hAnsi="Songti SC" w:eastAsia="Songti SC" w:cs="Songti SC"/>
              <w:color w:val="000000"/>
              <w:szCs w:val="36"/>
            </w:rPr>
            <w:fldChar w:fldCharType="begin"/>
          </w:r>
          <w:r>
            <w:rPr>
              <w:rFonts w:hint="eastAsia" w:ascii="Songti SC" w:hAnsi="Songti SC" w:eastAsia="Songti SC" w:cs="Songti SC"/>
              <w:szCs w:val="36"/>
            </w:rPr>
            <w:instrText xml:space="preserve"> HYPERLINK \l _Toc1355254173 </w:instrText>
          </w:r>
          <w:r>
            <w:rPr>
              <w:rFonts w:hint="eastAsia" w:ascii="Songti SC" w:hAnsi="Songti SC" w:eastAsia="Songti SC" w:cs="Songti SC"/>
              <w:szCs w:val="36"/>
            </w:rPr>
            <w:fldChar w:fldCharType="separate"/>
          </w:r>
          <w:r>
            <w:rPr>
              <w:rFonts w:hint="eastAsia"/>
            </w:rPr>
            <w:t xml:space="preserve">第13章 </w:t>
          </w:r>
          <w:r>
            <w:rPr>
              <w:rFonts w:hint="eastAsia" w:ascii="Songti SC" w:hAnsi="Songti SC" w:eastAsia="Songti SC" w:cs="Songti SC"/>
            </w:rPr>
            <w:t>项目风险与风险管理</w:t>
          </w:r>
          <w:r>
            <w:tab/>
          </w:r>
          <w:r>
            <w:fldChar w:fldCharType="begin"/>
          </w:r>
          <w:r>
            <w:instrText xml:space="preserve"> PAGEREF _Toc1355254173 \h </w:instrText>
          </w:r>
          <w:r>
            <w:fldChar w:fldCharType="separate"/>
          </w:r>
          <w:r>
            <w:t>170</w:t>
          </w:r>
          <w:r>
            <w:fldChar w:fldCharType="end"/>
          </w:r>
          <w:r>
            <w:rPr>
              <w:rFonts w:hint="eastAsia" w:ascii="Songti SC" w:hAnsi="Songti SC" w:eastAsia="Songti SC" w:cs="Songti SC"/>
              <w:color w:val="000000"/>
              <w:szCs w:val="36"/>
            </w:rPr>
            <w:fldChar w:fldCharType="end"/>
          </w:r>
        </w:p>
        <w:p w14:paraId="0039AD4F">
          <w:pPr>
            <w:pStyle w:val="50"/>
            <w:tabs>
              <w:tab w:val="right" w:leader="dot" w:pos="8121"/>
            </w:tabs>
          </w:pPr>
          <w:r>
            <w:rPr>
              <w:rFonts w:hint="eastAsia" w:ascii="Songti SC" w:hAnsi="Songti SC" w:eastAsia="Songti SC" w:cs="Songti SC"/>
              <w:color w:val="000000"/>
              <w:szCs w:val="36"/>
            </w:rPr>
            <w:fldChar w:fldCharType="begin"/>
          </w:r>
          <w:r>
            <w:rPr>
              <w:rFonts w:hint="eastAsia" w:ascii="Songti SC" w:hAnsi="Songti SC" w:eastAsia="Songti SC" w:cs="Songti SC"/>
              <w:szCs w:val="36"/>
            </w:rPr>
            <w:instrText xml:space="preserve"> HYPERLINK \l _Toc1545325529 </w:instrText>
          </w:r>
          <w:r>
            <w:rPr>
              <w:rFonts w:hint="eastAsia" w:ascii="Songti SC" w:hAnsi="Songti SC" w:eastAsia="Songti SC" w:cs="Songti SC"/>
              <w:szCs w:val="36"/>
            </w:rPr>
            <w:fldChar w:fldCharType="separate"/>
          </w:r>
          <w:r>
            <w:rPr>
              <w:rFonts w:hint="eastAsia"/>
            </w:rPr>
            <w:t xml:space="preserve">13.1 </w:t>
          </w:r>
          <w:r>
            <w:rPr>
              <w:rFonts w:hint="eastAsia" w:ascii="Songti SC" w:hAnsi="Songti SC" w:eastAsia="Songti SC" w:cs="Songti SC"/>
            </w:rPr>
            <w:t>风险分析</w:t>
          </w:r>
          <w:r>
            <w:tab/>
          </w:r>
          <w:r>
            <w:fldChar w:fldCharType="begin"/>
          </w:r>
          <w:r>
            <w:instrText xml:space="preserve"> PAGEREF _Toc1545325529 \h </w:instrText>
          </w:r>
          <w:r>
            <w:fldChar w:fldCharType="separate"/>
          </w:r>
          <w:r>
            <w:t>170</w:t>
          </w:r>
          <w:r>
            <w:fldChar w:fldCharType="end"/>
          </w:r>
          <w:r>
            <w:rPr>
              <w:rFonts w:hint="eastAsia" w:ascii="Songti SC" w:hAnsi="Songti SC" w:eastAsia="Songti SC" w:cs="Songti SC"/>
              <w:color w:val="000000"/>
              <w:szCs w:val="36"/>
            </w:rPr>
            <w:fldChar w:fldCharType="end"/>
          </w:r>
        </w:p>
        <w:p w14:paraId="0ECB1146">
          <w:pPr>
            <w:pStyle w:val="29"/>
            <w:tabs>
              <w:tab w:val="right" w:leader="dot" w:pos="8121"/>
            </w:tabs>
          </w:pPr>
          <w:r>
            <w:rPr>
              <w:rFonts w:hint="eastAsia" w:ascii="Songti SC" w:hAnsi="Songti SC" w:eastAsia="Songti SC" w:cs="Songti SC"/>
              <w:color w:val="000000"/>
              <w:szCs w:val="36"/>
            </w:rPr>
            <w:fldChar w:fldCharType="begin"/>
          </w:r>
          <w:r>
            <w:rPr>
              <w:rFonts w:hint="eastAsia" w:ascii="Songti SC" w:hAnsi="Songti SC" w:eastAsia="Songti SC" w:cs="Songti SC"/>
              <w:szCs w:val="36"/>
            </w:rPr>
            <w:instrText xml:space="preserve"> HYPERLINK \l _Toc618939085 </w:instrText>
          </w:r>
          <w:r>
            <w:rPr>
              <w:rFonts w:hint="eastAsia" w:ascii="Songti SC" w:hAnsi="Songti SC" w:eastAsia="Songti SC" w:cs="Songti SC"/>
              <w:szCs w:val="36"/>
            </w:rPr>
            <w:fldChar w:fldCharType="separate"/>
          </w:r>
          <w:r>
            <w:rPr>
              <w:rFonts w:hint="eastAsia"/>
            </w:rPr>
            <w:t xml:space="preserve">13.1.1 </w:t>
          </w:r>
          <w:r>
            <w:rPr>
              <w:rFonts w:hint="eastAsia" w:ascii="Songti SC" w:hAnsi="Songti SC" w:eastAsia="Songti SC" w:cs="Songti SC"/>
            </w:rPr>
            <w:t>技术风险</w:t>
          </w:r>
          <w:r>
            <w:tab/>
          </w:r>
          <w:r>
            <w:fldChar w:fldCharType="begin"/>
          </w:r>
          <w:r>
            <w:instrText xml:space="preserve"> PAGEREF _Toc618939085 \h </w:instrText>
          </w:r>
          <w:r>
            <w:fldChar w:fldCharType="separate"/>
          </w:r>
          <w:r>
            <w:t>170</w:t>
          </w:r>
          <w:r>
            <w:fldChar w:fldCharType="end"/>
          </w:r>
          <w:r>
            <w:rPr>
              <w:rFonts w:hint="eastAsia" w:ascii="Songti SC" w:hAnsi="Songti SC" w:eastAsia="Songti SC" w:cs="Songti SC"/>
              <w:color w:val="000000"/>
              <w:szCs w:val="36"/>
            </w:rPr>
            <w:fldChar w:fldCharType="end"/>
          </w:r>
        </w:p>
        <w:p w14:paraId="466B5774">
          <w:pPr>
            <w:pStyle w:val="29"/>
            <w:tabs>
              <w:tab w:val="right" w:leader="dot" w:pos="8121"/>
            </w:tabs>
          </w:pPr>
          <w:r>
            <w:rPr>
              <w:rFonts w:hint="eastAsia" w:ascii="Songti SC" w:hAnsi="Songti SC" w:eastAsia="Songti SC" w:cs="Songti SC"/>
              <w:color w:val="000000"/>
              <w:szCs w:val="36"/>
            </w:rPr>
            <w:fldChar w:fldCharType="begin"/>
          </w:r>
          <w:r>
            <w:rPr>
              <w:rFonts w:hint="eastAsia" w:ascii="Songti SC" w:hAnsi="Songti SC" w:eastAsia="Songti SC" w:cs="Songti SC"/>
              <w:szCs w:val="36"/>
            </w:rPr>
            <w:instrText xml:space="preserve"> HYPERLINK \l _Toc98415527 </w:instrText>
          </w:r>
          <w:r>
            <w:rPr>
              <w:rFonts w:hint="eastAsia" w:ascii="Songti SC" w:hAnsi="Songti SC" w:eastAsia="Songti SC" w:cs="Songti SC"/>
              <w:szCs w:val="36"/>
            </w:rPr>
            <w:fldChar w:fldCharType="separate"/>
          </w:r>
          <w:r>
            <w:rPr>
              <w:rFonts w:hint="eastAsia"/>
            </w:rPr>
            <w:t xml:space="preserve">13.1.2 </w:t>
          </w:r>
          <w:r>
            <w:rPr>
              <w:rFonts w:hint="eastAsia" w:ascii="Songti SC" w:hAnsi="Songti SC" w:eastAsia="Songti SC" w:cs="Songti SC"/>
            </w:rPr>
            <w:t>管理风险</w:t>
          </w:r>
          <w:r>
            <w:tab/>
          </w:r>
          <w:r>
            <w:fldChar w:fldCharType="begin"/>
          </w:r>
          <w:r>
            <w:instrText xml:space="preserve"> PAGEREF _Toc98415527 \h </w:instrText>
          </w:r>
          <w:r>
            <w:fldChar w:fldCharType="separate"/>
          </w:r>
          <w:r>
            <w:t>170</w:t>
          </w:r>
          <w:r>
            <w:fldChar w:fldCharType="end"/>
          </w:r>
          <w:r>
            <w:rPr>
              <w:rFonts w:hint="eastAsia" w:ascii="Songti SC" w:hAnsi="Songti SC" w:eastAsia="Songti SC" w:cs="Songti SC"/>
              <w:color w:val="000000"/>
              <w:szCs w:val="36"/>
            </w:rPr>
            <w:fldChar w:fldCharType="end"/>
          </w:r>
        </w:p>
        <w:p w14:paraId="4795BBEC">
          <w:pPr>
            <w:pStyle w:val="29"/>
            <w:tabs>
              <w:tab w:val="right" w:leader="dot" w:pos="8121"/>
            </w:tabs>
          </w:pPr>
          <w:r>
            <w:rPr>
              <w:rFonts w:hint="eastAsia" w:ascii="Songti SC" w:hAnsi="Songti SC" w:eastAsia="Songti SC" w:cs="Songti SC"/>
              <w:color w:val="000000"/>
              <w:szCs w:val="36"/>
            </w:rPr>
            <w:fldChar w:fldCharType="begin"/>
          </w:r>
          <w:r>
            <w:rPr>
              <w:rFonts w:hint="eastAsia" w:ascii="Songti SC" w:hAnsi="Songti SC" w:eastAsia="Songti SC" w:cs="Songti SC"/>
              <w:szCs w:val="36"/>
            </w:rPr>
            <w:instrText xml:space="preserve"> HYPERLINK \l _Toc507354099 </w:instrText>
          </w:r>
          <w:r>
            <w:rPr>
              <w:rFonts w:hint="eastAsia" w:ascii="Songti SC" w:hAnsi="Songti SC" w:eastAsia="Songti SC" w:cs="Songti SC"/>
              <w:szCs w:val="36"/>
            </w:rPr>
            <w:fldChar w:fldCharType="separate"/>
          </w:r>
          <w:r>
            <w:rPr>
              <w:rFonts w:hint="eastAsia"/>
            </w:rPr>
            <w:t xml:space="preserve">13.1.3 </w:t>
          </w:r>
          <w:r>
            <w:rPr>
              <w:rFonts w:hint="eastAsia" w:ascii="Songti SC" w:hAnsi="Songti SC" w:eastAsia="Songti SC" w:cs="Songti SC"/>
            </w:rPr>
            <w:t>安全风险</w:t>
          </w:r>
          <w:r>
            <w:tab/>
          </w:r>
          <w:r>
            <w:fldChar w:fldCharType="begin"/>
          </w:r>
          <w:r>
            <w:instrText xml:space="preserve"> PAGEREF _Toc507354099 \h </w:instrText>
          </w:r>
          <w:r>
            <w:fldChar w:fldCharType="separate"/>
          </w:r>
          <w:r>
            <w:t>171</w:t>
          </w:r>
          <w:r>
            <w:fldChar w:fldCharType="end"/>
          </w:r>
          <w:r>
            <w:rPr>
              <w:rFonts w:hint="eastAsia" w:ascii="Songti SC" w:hAnsi="Songti SC" w:eastAsia="Songti SC" w:cs="Songti SC"/>
              <w:color w:val="000000"/>
              <w:szCs w:val="36"/>
            </w:rPr>
            <w:fldChar w:fldCharType="end"/>
          </w:r>
        </w:p>
        <w:p w14:paraId="7D51D4D1">
          <w:pPr>
            <w:pStyle w:val="50"/>
            <w:tabs>
              <w:tab w:val="right" w:leader="dot" w:pos="8121"/>
            </w:tabs>
          </w:pPr>
          <w:r>
            <w:rPr>
              <w:rFonts w:hint="eastAsia" w:ascii="Songti SC" w:hAnsi="Songti SC" w:eastAsia="Songti SC" w:cs="Songti SC"/>
              <w:color w:val="000000"/>
              <w:szCs w:val="36"/>
            </w:rPr>
            <w:fldChar w:fldCharType="begin"/>
          </w:r>
          <w:r>
            <w:rPr>
              <w:rFonts w:hint="eastAsia" w:ascii="Songti SC" w:hAnsi="Songti SC" w:eastAsia="Songti SC" w:cs="Songti SC"/>
              <w:szCs w:val="36"/>
            </w:rPr>
            <w:instrText xml:space="preserve"> HYPERLINK \l _Toc1590263303 </w:instrText>
          </w:r>
          <w:r>
            <w:rPr>
              <w:rFonts w:hint="eastAsia" w:ascii="Songti SC" w:hAnsi="Songti SC" w:eastAsia="Songti SC" w:cs="Songti SC"/>
              <w:szCs w:val="36"/>
            </w:rPr>
            <w:fldChar w:fldCharType="separate"/>
          </w:r>
          <w:r>
            <w:rPr>
              <w:rFonts w:hint="eastAsia"/>
            </w:rPr>
            <w:t xml:space="preserve">13.2 </w:t>
          </w:r>
          <w:r>
            <w:rPr>
              <w:rFonts w:hint="eastAsia" w:ascii="Songti SC" w:hAnsi="Songti SC" w:eastAsia="Songti SC" w:cs="Songti SC"/>
            </w:rPr>
            <w:t>风险的控制与防范</w:t>
          </w:r>
          <w:r>
            <w:tab/>
          </w:r>
          <w:r>
            <w:fldChar w:fldCharType="begin"/>
          </w:r>
          <w:r>
            <w:instrText xml:space="preserve"> PAGEREF _Toc1590263303 \h </w:instrText>
          </w:r>
          <w:r>
            <w:fldChar w:fldCharType="separate"/>
          </w:r>
          <w:r>
            <w:t>171</w:t>
          </w:r>
          <w:r>
            <w:fldChar w:fldCharType="end"/>
          </w:r>
          <w:r>
            <w:rPr>
              <w:rFonts w:hint="eastAsia" w:ascii="Songti SC" w:hAnsi="Songti SC" w:eastAsia="Songti SC" w:cs="Songti SC"/>
              <w:color w:val="000000"/>
              <w:szCs w:val="36"/>
            </w:rPr>
            <w:fldChar w:fldCharType="end"/>
          </w:r>
        </w:p>
        <w:p w14:paraId="71615CF9">
          <w:pPr>
            <w:pStyle w:val="29"/>
            <w:tabs>
              <w:tab w:val="right" w:leader="dot" w:pos="8121"/>
            </w:tabs>
          </w:pPr>
          <w:r>
            <w:rPr>
              <w:rFonts w:hint="eastAsia" w:ascii="Songti SC" w:hAnsi="Songti SC" w:eastAsia="Songti SC" w:cs="Songti SC"/>
              <w:color w:val="000000"/>
              <w:szCs w:val="36"/>
            </w:rPr>
            <w:fldChar w:fldCharType="begin"/>
          </w:r>
          <w:r>
            <w:rPr>
              <w:rFonts w:hint="eastAsia" w:ascii="Songti SC" w:hAnsi="Songti SC" w:eastAsia="Songti SC" w:cs="Songti SC"/>
              <w:szCs w:val="36"/>
            </w:rPr>
            <w:instrText xml:space="preserve"> HYPERLINK \l _Toc2121346606 </w:instrText>
          </w:r>
          <w:r>
            <w:rPr>
              <w:rFonts w:hint="eastAsia" w:ascii="Songti SC" w:hAnsi="Songti SC" w:eastAsia="Songti SC" w:cs="Songti SC"/>
              <w:szCs w:val="36"/>
            </w:rPr>
            <w:fldChar w:fldCharType="separate"/>
          </w:r>
          <w:r>
            <w:rPr>
              <w:rFonts w:hint="eastAsia"/>
            </w:rPr>
            <w:t xml:space="preserve">13.2.1 </w:t>
          </w:r>
          <w:r>
            <w:rPr>
              <w:rFonts w:hint="eastAsia" w:ascii="Songti SC" w:hAnsi="Songti SC" w:eastAsia="Songti SC" w:cs="Songti SC"/>
            </w:rPr>
            <w:t>技术风险应对</w:t>
          </w:r>
          <w:r>
            <w:tab/>
          </w:r>
          <w:r>
            <w:fldChar w:fldCharType="begin"/>
          </w:r>
          <w:r>
            <w:instrText xml:space="preserve"> PAGEREF _Toc2121346606 \h </w:instrText>
          </w:r>
          <w:r>
            <w:fldChar w:fldCharType="separate"/>
          </w:r>
          <w:r>
            <w:t>171</w:t>
          </w:r>
          <w:r>
            <w:fldChar w:fldCharType="end"/>
          </w:r>
          <w:r>
            <w:rPr>
              <w:rFonts w:hint="eastAsia" w:ascii="Songti SC" w:hAnsi="Songti SC" w:eastAsia="Songti SC" w:cs="Songti SC"/>
              <w:color w:val="000000"/>
              <w:szCs w:val="36"/>
            </w:rPr>
            <w:fldChar w:fldCharType="end"/>
          </w:r>
        </w:p>
        <w:p w14:paraId="70321A89">
          <w:pPr>
            <w:pStyle w:val="29"/>
            <w:tabs>
              <w:tab w:val="right" w:leader="dot" w:pos="8121"/>
            </w:tabs>
          </w:pPr>
          <w:r>
            <w:rPr>
              <w:rFonts w:hint="eastAsia" w:ascii="Songti SC" w:hAnsi="Songti SC" w:eastAsia="Songti SC" w:cs="Songti SC"/>
              <w:color w:val="000000"/>
              <w:szCs w:val="36"/>
            </w:rPr>
            <w:fldChar w:fldCharType="begin"/>
          </w:r>
          <w:r>
            <w:rPr>
              <w:rFonts w:hint="eastAsia" w:ascii="Songti SC" w:hAnsi="Songti SC" w:eastAsia="Songti SC" w:cs="Songti SC"/>
              <w:szCs w:val="36"/>
            </w:rPr>
            <w:instrText xml:space="preserve"> HYPERLINK \l _Toc948899548 </w:instrText>
          </w:r>
          <w:r>
            <w:rPr>
              <w:rFonts w:hint="eastAsia" w:ascii="Songti SC" w:hAnsi="Songti SC" w:eastAsia="Songti SC" w:cs="Songti SC"/>
              <w:szCs w:val="36"/>
            </w:rPr>
            <w:fldChar w:fldCharType="separate"/>
          </w:r>
          <w:r>
            <w:rPr>
              <w:rFonts w:hint="eastAsia"/>
            </w:rPr>
            <w:t xml:space="preserve">13.2.2 </w:t>
          </w:r>
          <w:r>
            <w:rPr>
              <w:rFonts w:hint="eastAsia" w:ascii="Songti SC" w:hAnsi="Songti SC" w:eastAsia="Songti SC" w:cs="Songti SC"/>
            </w:rPr>
            <w:t>管理风险应对</w:t>
          </w:r>
          <w:r>
            <w:tab/>
          </w:r>
          <w:r>
            <w:fldChar w:fldCharType="begin"/>
          </w:r>
          <w:r>
            <w:instrText xml:space="preserve"> PAGEREF _Toc948899548 \h </w:instrText>
          </w:r>
          <w:r>
            <w:fldChar w:fldCharType="separate"/>
          </w:r>
          <w:r>
            <w:t>172</w:t>
          </w:r>
          <w:r>
            <w:fldChar w:fldCharType="end"/>
          </w:r>
          <w:r>
            <w:rPr>
              <w:rFonts w:hint="eastAsia" w:ascii="Songti SC" w:hAnsi="Songti SC" w:eastAsia="Songti SC" w:cs="Songti SC"/>
              <w:color w:val="000000"/>
              <w:szCs w:val="36"/>
            </w:rPr>
            <w:fldChar w:fldCharType="end"/>
          </w:r>
        </w:p>
        <w:p w14:paraId="6A7781C4">
          <w:pPr>
            <w:pStyle w:val="29"/>
            <w:tabs>
              <w:tab w:val="right" w:leader="dot" w:pos="8121"/>
            </w:tabs>
          </w:pPr>
          <w:r>
            <w:rPr>
              <w:rFonts w:hint="eastAsia" w:ascii="Songti SC" w:hAnsi="Songti SC" w:eastAsia="Songti SC" w:cs="Songti SC"/>
              <w:color w:val="000000"/>
              <w:szCs w:val="36"/>
            </w:rPr>
            <w:fldChar w:fldCharType="begin"/>
          </w:r>
          <w:r>
            <w:rPr>
              <w:rFonts w:hint="eastAsia" w:ascii="Songti SC" w:hAnsi="Songti SC" w:eastAsia="Songti SC" w:cs="Songti SC"/>
              <w:szCs w:val="36"/>
            </w:rPr>
            <w:instrText xml:space="preserve"> HYPERLINK \l _Toc941140614 </w:instrText>
          </w:r>
          <w:r>
            <w:rPr>
              <w:rFonts w:hint="eastAsia" w:ascii="Songti SC" w:hAnsi="Songti SC" w:eastAsia="Songti SC" w:cs="Songti SC"/>
              <w:szCs w:val="36"/>
            </w:rPr>
            <w:fldChar w:fldCharType="separate"/>
          </w:r>
          <w:r>
            <w:rPr>
              <w:rFonts w:hint="eastAsia"/>
            </w:rPr>
            <w:t xml:space="preserve">13.2.3 </w:t>
          </w:r>
          <w:r>
            <w:rPr>
              <w:rFonts w:hint="eastAsia" w:ascii="Songti SC" w:hAnsi="Songti SC" w:eastAsia="Songti SC" w:cs="Songti SC"/>
            </w:rPr>
            <w:t>安全风险应对</w:t>
          </w:r>
          <w:r>
            <w:tab/>
          </w:r>
          <w:r>
            <w:fldChar w:fldCharType="begin"/>
          </w:r>
          <w:r>
            <w:instrText xml:space="preserve"> PAGEREF _Toc941140614 \h </w:instrText>
          </w:r>
          <w:r>
            <w:fldChar w:fldCharType="separate"/>
          </w:r>
          <w:r>
            <w:t>172</w:t>
          </w:r>
          <w:r>
            <w:fldChar w:fldCharType="end"/>
          </w:r>
          <w:r>
            <w:rPr>
              <w:rFonts w:hint="eastAsia" w:ascii="Songti SC" w:hAnsi="Songti SC" w:eastAsia="Songti SC" w:cs="Songti SC"/>
              <w:color w:val="000000"/>
              <w:szCs w:val="36"/>
            </w:rPr>
            <w:fldChar w:fldCharType="end"/>
          </w:r>
        </w:p>
        <w:p w14:paraId="710ECFDE">
          <w:pPr>
            <w:pStyle w:val="39"/>
            <w:tabs>
              <w:tab w:val="right" w:leader="dot" w:pos="8121"/>
            </w:tabs>
          </w:pPr>
          <w:r>
            <w:rPr>
              <w:rFonts w:hint="eastAsia" w:ascii="Songti SC" w:hAnsi="Songti SC" w:eastAsia="Songti SC" w:cs="Songti SC"/>
              <w:color w:val="000000"/>
              <w:szCs w:val="36"/>
            </w:rPr>
            <w:fldChar w:fldCharType="begin"/>
          </w:r>
          <w:r>
            <w:rPr>
              <w:rFonts w:hint="eastAsia" w:ascii="Songti SC" w:hAnsi="Songti SC" w:eastAsia="Songti SC" w:cs="Songti SC"/>
              <w:szCs w:val="36"/>
            </w:rPr>
            <w:instrText xml:space="preserve"> HYPERLINK \l _Toc1533239343 </w:instrText>
          </w:r>
          <w:r>
            <w:rPr>
              <w:rFonts w:hint="eastAsia" w:ascii="Songti SC" w:hAnsi="Songti SC" w:eastAsia="Songti SC" w:cs="Songti SC"/>
              <w:szCs w:val="36"/>
            </w:rPr>
            <w:fldChar w:fldCharType="separate"/>
          </w:r>
          <w:r>
            <w:rPr>
              <w:rFonts w:hint="eastAsia"/>
            </w:rPr>
            <w:t xml:space="preserve">第14章 </w:t>
          </w:r>
          <w:r>
            <w:rPr>
              <w:rFonts w:hint="eastAsia" w:ascii="Songti SC" w:hAnsi="Songti SC" w:eastAsia="Songti SC" w:cs="Songti SC"/>
            </w:rPr>
            <w:t>结论与建议</w:t>
          </w:r>
          <w:r>
            <w:tab/>
          </w:r>
          <w:r>
            <w:fldChar w:fldCharType="begin"/>
          </w:r>
          <w:r>
            <w:instrText xml:space="preserve"> PAGEREF _Toc1533239343 \h </w:instrText>
          </w:r>
          <w:r>
            <w:fldChar w:fldCharType="separate"/>
          </w:r>
          <w:r>
            <w:t>173</w:t>
          </w:r>
          <w:r>
            <w:fldChar w:fldCharType="end"/>
          </w:r>
          <w:r>
            <w:rPr>
              <w:rFonts w:hint="eastAsia" w:ascii="Songti SC" w:hAnsi="Songti SC" w:eastAsia="Songti SC" w:cs="Songti SC"/>
              <w:color w:val="000000"/>
              <w:szCs w:val="36"/>
            </w:rPr>
            <w:fldChar w:fldCharType="end"/>
          </w:r>
        </w:p>
        <w:p w14:paraId="18E8A921">
          <w:pPr>
            <w:pStyle w:val="50"/>
            <w:tabs>
              <w:tab w:val="right" w:leader="dot" w:pos="8121"/>
            </w:tabs>
          </w:pPr>
          <w:r>
            <w:rPr>
              <w:rFonts w:hint="eastAsia" w:ascii="Songti SC" w:hAnsi="Songti SC" w:eastAsia="Songti SC" w:cs="Songti SC"/>
              <w:color w:val="000000"/>
              <w:szCs w:val="36"/>
            </w:rPr>
            <w:fldChar w:fldCharType="begin"/>
          </w:r>
          <w:r>
            <w:rPr>
              <w:rFonts w:hint="eastAsia" w:ascii="Songti SC" w:hAnsi="Songti SC" w:eastAsia="Songti SC" w:cs="Songti SC"/>
              <w:szCs w:val="36"/>
            </w:rPr>
            <w:instrText xml:space="preserve"> HYPERLINK \l _Toc1497357448 </w:instrText>
          </w:r>
          <w:r>
            <w:rPr>
              <w:rFonts w:hint="eastAsia" w:ascii="Songti SC" w:hAnsi="Songti SC" w:eastAsia="Songti SC" w:cs="Songti SC"/>
              <w:szCs w:val="36"/>
            </w:rPr>
            <w:fldChar w:fldCharType="separate"/>
          </w:r>
          <w:r>
            <w:rPr>
              <w:rFonts w:hint="eastAsia"/>
            </w:rPr>
            <w:t xml:space="preserve">14.1 </w:t>
          </w:r>
          <w:r>
            <w:rPr>
              <w:rFonts w:hint="eastAsia" w:ascii="Songti SC" w:hAnsi="Songti SC" w:eastAsia="Songti SC" w:cs="Songti SC"/>
            </w:rPr>
            <w:t>结论</w:t>
          </w:r>
          <w:r>
            <w:tab/>
          </w:r>
          <w:r>
            <w:fldChar w:fldCharType="begin"/>
          </w:r>
          <w:r>
            <w:instrText xml:space="preserve"> PAGEREF _Toc1497357448 \h </w:instrText>
          </w:r>
          <w:r>
            <w:fldChar w:fldCharType="separate"/>
          </w:r>
          <w:r>
            <w:t>173</w:t>
          </w:r>
          <w:r>
            <w:fldChar w:fldCharType="end"/>
          </w:r>
          <w:r>
            <w:rPr>
              <w:rFonts w:hint="eastAsia" w:ascii="Songti SC" w:hAnsi="Songti SC" w:eastAsia="Songti SC" w:cs="Songti SC"/>
              <w:color w:val="000000"/>
              <w:szCs w:val="36"/>
            </w:rPr>
            <w:fldChar w:fldCharType="end"/>
          </w:r>
        </w:p>
        <w:p w14:paraId="0D766813">
          <w:pPr>
            <w:pStyle w:val="50"/>
            <w:tabs>
              <w:tab w:val="right" w:leader="dot" w:pos="8121"/>
            </w:tabs>
          </w:pPr>
          <w:r>
            <w:rPr>
              <w:rFonts w:hint="eastAsia" w:ascii="Songti SC" w:hAnsi="Songti SC" w:eastAsia="Songti SC" w:cs="Songti SC"/>
              <w:color w:val="000000"/>
              <w:szCs w:val="36"/>
            </w:rPr>
            <w:fldChar w:fldCharType="begin"/>
          </w:r>
          <w:r>
            <w:rPr>
              <w:rFonts w:hint="eastAsia" w:ascii="Songti SC" w:hAnsi="Songti SC" w:eastAsia="Songti SC" w:cs="Songti SC"/>
              <w:szCs w:val="36"/>
            </w:rPr>
            <w:instrText xml:space="preserve"> HYPERLINK \l _Toc1873252990 </w:instrText>
          </w:r>
          <w:r>
            <w:rPr>
              <w:rFonts w:hint="eastAsia" w:ascii="Songti SC" w:hAnsi="Songti SC" w:eastAsia="Songti SC" w:cs="Songti SC"/>
              <w:szCs w:val="36"/>
            </w:rPr>
            <w:fldChar w:fldCharType="separate"/>
          </w:r>
          <w:r>
            <w:rPr>
              <w:rFonts w:hint="eastAsia"/>
            </w:rPr>
            <w:t xml:space="preserve">14.2 </w:t>
          </w:r>
          <w:r>
            <w:rPr>
              <w:rFonts w:hint="eastAsia" w:ascii="Songti SC" w:hAnsi="Songti SC" w:eastAsia="Songti SC" w:cs="Songti SC"/>
            </w:rPr>
            <w:t>建议</w:t>
          </w:r>
          <w:r>
            <w:tab/>
          </w:r>
          <w:r>
            <w:fldChar w:fldCharType="begin"/>
          </w:r>
          <w:r>
            <w:instrText xml:space="preserve"> PAGEREF _Toc1873252990 \h </w:instrText>
          </w:r>
          <w:r>
            <w:fldChar w:fldCharType="separate"/>
          </w:r>
          <w:r>
            <w:t>173</w:t>
          </w:r>
          <w:r>
            <w:fldChar w:fldCharType="end"/>
          </w:r>
          <w:r>
            <w:rPr>
              <w:rFonts w:hint="eastAsia" w:ascii="Songti SC" w:hAnsi="Songti SC" w:eastAsia="Songti SC" w:cs="Songti SC"/>
              <w:color w:val="000000"/>
              <w:szCs w:val="36"/>
            </w:rPr>
            <w:fldChar w:fldCharType="end"/>
          </w:r>
        </w:p>
        <w:p w14:paraId="27BB3ECE">
          <w:pPr>
            <w:ind w:firstLine="480"/>
            <w:rPr>
              <w:rFonts w:hint="eastAsia"/>
              <w:color w:val="000000"/>
              <w:szCs w:val="36"/>
            </w:rPr>
          </w:pPr>
          <w:r>
            <w:rPr>
              <w:rFonts w:hint="eastAsia" w:ascii="Songti SC" w:hAnsi="Songti SC" w:eastAsia="Songti SC" w:cs="Songti SC"/>
              <w:color w:val="000000"/>
              <w:szCs w:val="36"/>
            </w:rPr>
            <w:fldChar w:fldCharType="end"/>
          </w:r>
        </w:p>
      </w:sdtContent>
    </w:sdt>
    <w:p w14:paraId="556526FF">
      <w:pPr>
        <w:ind w:firstLine="480"/>
        <w:rPr>
          <w:rFonts w:hint="eastAsia"/>
          <w:color w:val="000000"/>
          <w:szCs w:val="36"/>
        </w:rPr>
        <w:sectPr>
          <w:headerReference r:id="rId11" w:type="default"/>
          <w:footerReference r:id="rId12" w:type="default"/>
          <w:pgSz w:w="11906" w:h="16838"/>
          <w:pgMar w:top="1440" w:right="1800" w:bottom="1440" w:left="1985" w:header="851" w:footer="992" w:gutter="0"/>
          <w:pgNumType w:fmt="upperRoman" w:start="1"/>
          <w:cols w:space="425" w:num="1"/>
          <w:docGrid w:type="lines" w:linePitch="312" w:charSpace="0"/>
        </w:sectPr>
      </w:pPr>
    </w:p>
    <w:p w14:paraId="2495ED63">
      <w:pPr>
        <w:pStyle w:val="2"/>
        <w:rPr>
          <w:rFonts w:hint="eastAsia"/>
          <w:color w:val="000000"/>
        </w:rPr>
      </w:pPr>
      <w:bookmarkStart w:id="2" w:name="_Toc66881442"/>
      <w:bookmarkStart w:id="3" w:name="_Toc259694372"/>
      <w:bookmarkStart w:id="4" w:name="_Toc477533804"/>
      <w:bookmarkStart w:id="5" w:name="_Toc201273920"/>
      <w:bookmarkStart w:id="6" w:name="_Toc271804365"/>
      <w:bookmarkStart w:id="7" w:name="_Toc186149105"/>
      <w:bookmarkStart w:id="8" w:name="_Toc252369773"/>
      <w:bookmarkStart w:id="9" w:name="_Toc26548"/>
      <w:bookmarkStart w:id="10" w:name="_Toc259782068"/>
      <w:r>
        <w:rPr>
          <w:rFonts w:hint="eastAsia" w:ascii="Songti SC" w:hAnsi="Songti SC" w:eastAsia="Songti SC" w:cs="Songti SC"/>
          <w:color w:val="000000"/>
        </w:rPr>
        <w:t>项目概述</w:t>
      </w:r>
      <w:bookmarkEnd w:id="2"/>
      <w:bookmarkEnd w:id="3"/>
      <w:bookmarkEnd w:id="4"/>
      <w:bookmarkEnd w:id="5"/>
      <w:bookmarkEnd w:id="6"/>
      <w:bookmarkEnd w:id="7"/>
      <w:bookmarkEnd w:id="8"/>
      <w:bookmarkEnd w:id="9"/>
      <w:bookmarkEnd w:id="10"/>
    </w:p>
    <w:p w14:paraId="26C0C642">
      <w:pPr>
        <w:pStyle w:val="3"/>
        <w:rPr>
          <w:rFonts w:hint="eastAsia"/>
          <w:color w:val="000000"/>
        </w:rPr>
      </w:pPr>
      <w:bookmarkStart w:id="11" w:name="_Toc167"/>
      <w:bookmarkStart w:id="12" w:name="_Toc66881443"/>
      <w:bookmarkStart w:id="13" w:name="_Toc524029415"/>
      <w:bookmarkStart w:id="14" w:name="_Toc259694373"/>
      <w:bookmarkStart w:id="15" w:name="_Toc271804366"/>
      <w:bookmarkStart w:id="16" w:name="_Toc252369774"/>
      <w:bookmarkStart w:id="17" w:name="_Toc764254989"/>
      <w:bookmarkStart w:id="18" w:name="_Toc1871817703"/>
      <w:bookmarkStart w:id="19" w:name="_Toc259782069"/>
      <w:r>
        <w:rPr>
          <w:rFonts w:hint="eastAsia" w:ascii="Songti SC" w:hAnsi="Songti SC" w:eastAsia="Songti SC" w:cs="Songti SC"/>
          <w:color w:val="000000"/>
        </w:rPr>
        <w:t>项目名称</w:t>
      </w:r>
      <w:bookmarkEnd w:id="11"/>
      <w:bookmarkEnd w:id="12"/>
      <w:bookmarkEnd w:id="13"/>
      <w:bookmarkEnd w:id="14"/>
      <w:bookmarkEnd w:id="15"/>
      <w:bookmarkEnd w:id="16"/>
      <w:bookmarkEnd w:id="17"/>
      <w:bookmarkEnd w:id="18"/>
      <w:bookmarkEnd w:id="19"/>
    </w:p>
    <w:p w14:paraId="4C829CE8">
      <w:pPr>
        <w:ind w:firstLine="480"/>
        <w:rPr>
          <w:rFonts w:hint="eastAsia"/>
          <w:color w:val="000000"/>
        </w:rPr>
      </w:pPr>
      <w:r>
        <w:rPr>
          <w:rFonts w:hint="eastAsia" w:ascii="Songti SC" w:hAnsi="Songti SC" w:eastAsia="Songti SC" w:cs="Songti SC"/>
          <w:color w:val="000000"/>
        </w:rPr>
        <w:t>食堂消费系统升级改造项目</w:t>
      </w:r>
    </w:p>
    <w:p w14:paraId="49CA3C55">
      <w:pPr>
        <w:pStyle w:val="3"/>
        <w:rPr>
          <w:rFonts w:hint="eastAsia"/>
          <w:color w:val="000000"/>
          <w:lang w:eastAsia="zh-CN"/>
        </w:rPr>
      </w:pPr>
      <w:bookmarkStart w:id="20" w:name="_Toc1152189418"/>
      <w:bookmarkStart w:id="21" w:name="_Toc259694374"/>
      <w:bookmarkStart w:id="22" w:name="_Toc252369775"/>
      <w:bookmarkStart w:id="23" w:name="_Toc271804367"/>
      <w:bookmarkStart w:id="24" w:name="_Toc733907416"/>
      <w:bookmarkStart w:id="25" w:name="_Toc26119"/>
      <w:bookmarkStart w:id="26" w:name="_Toc259782070"/>
      <w:bookmarkStart w:id="27" w:name="_Toc66881444"/>
      <w:bookmarkStart w:id="28" w:name="_Toc531941558"/>
      <w:r>
        <w:rPr>
          <w:rFonts w:hint="eastAsia" w:ascii="Songti SC" w:hAnsi="Songti SC" w:eastAsia="Songti SC" w:cs="Songti SC"/>
          <w:color w:val="000000"/>
          <w:lang w:eastAsia="zh-CN"/>
        </w:rPr>
        <w:t>项目建设单位及负责人</w:t>
      </w:r>
      <w:bookmarkEnd w:id="20"/>
      <w:bookmarkEnd w:id="21"/>
      <w:bookmarkEnd w:id="22"/>
      <w:bookmarkEnd w:id="23"/>
      <w:bookmarkEnd w:id="24"/>
      <w:bookmarkEnd w:id="25"/>
      <w:bookmarkEnd w:id="26"/>
      <w:bookmarkEnd w:id="27"/>
      <w:bookmarkEnd w:id="28"/>
    </w:p>
    <w:p w14:paraId="6E7970BA">
      <w:pPr>
        <w:ind w:firstLine="480"/>
        <w:rPr>
          <w:rFonts w:hint="eastAsia"/>
          <w:color w:val="000000"/>
        </w:rPr>
      </w:pPr>
      <w:bookmarkStart w:id="29" w:name="_Toc252369776"/>
      <w:bookmarkStart w:id="30" w:name="_Toc271804368"/>
      <w:bookmarkStart w:id="31" w:name="_Toc259694375"/>
      <w:bookmarkStart w:id="32" w:name="_Toc259782071"/>
      <w:r>
        <w:rPr>
          <w:rFonts w:hint="eastAsia" w:ascii="Songti SC" w:hAnsi="Songti SC" w:eastAsia="Songti SC" w:cs="Songti SC"/>
          <w:color w:val="000000"/>
        </w:rPr>
        <w:t>项目建设单位：北京市大兴区机关事务管理服务中心</w:t>
      </w:r>
    </w:p>
    <w:p w14:paraId="43E68655">
      <w:pPr>
        <w:ind w:firstLine="480"/>
        <w:rPr>
          <w:rFonts w:hint="eastAsia"/>
          <w:color w:val="000000"/>
        </w:rPr>
      </w:pPr>
      <w:r>
        <w:rPr>
          <w:rFonts w:hint="eastAsia" w:ascii="Songti SC" w:hAnsi="Songti SC" w:eastAsia="Songti SC" w:cs="Songti SC"/>
          <w:color w:val="000000"/>
        </w:rPr>
        <w:t>项目负责人：张璐</w:t>
      </w:r>
    </w:p>
    <w:p w14:paraId="7DBC40F8">
      <w:pPr>
        <w:ind w:firstLine="480"/>
        <w:rPr>
          <w:rFonts w:hint="eastAsia"/>
          <w:color w:val="000000"/>
        </w:rPr>
      </w:pPr>
      <w:r>
        <w:rPr>
          <w:rFonts w:hint="eastAsia" w:ascii="Songti SC" w:hAnsi="Songti SC" w:eastAsia="Songti SC" w:cs="Songti SC"/>
          <w:color w:val="000000"/>
        </w:rPr>
        <w:t>项目联系人：靳君</w:t>
      </w:r>
    </w:p>
    <w:bookmarkEnd w:id="29"/>
    <w:bookmarkEnd w:id="30"/>
    <w:bookmarkEnd w:id="31"/>
    <w:bookmarkEnd w:id="32"/>
    <w:p w14:paraId="3A155EFC">
      <w:pPr>
        <w:pStyle w:val="3"/>
        <w:rPr>
          <w:rFonts w:hint="eastAsia"/>
          <w:color w:val="000000"/>
          <w:lang w:eastAsia="zh-CN"/>
        </w:rPr>
      </w:pPr>
      <w:bookmarkStart w:id="33" w:name="_Toc271804370"/>
      <w:bookmarkStart w:id="34" w:name="_Toc987503327"/>
      <w:bookmarkStart w:id="35" w:name="_Toc1783355991"/>
      <w:bookmarkStart w:id="36" w:name="_Toc66881446"/>
      <w:bookmarkStart w:id="37" w:name="_Toc4122"/>
      <w:bookmarkStart w:id="38" w:name="_Toc259782073"/>
      <w:bookmarkStart w:id="39" w:name="_Toc252369781"/>
      <w:bookmarkStart w:id="40" w:name="_Toc367342845"/>
      <w:bookmarkStart w:id="41" w:name="_Toc259694380"/>
      <w:bookmarkStart w:id="42" w:name="_Toc271804369"/>
      <w:bookmarkStart w:id="43" w:name="_Toc252369777"/>
      <w:bookmarkStart w:id="44" w:name="_Toc259694376"/>
      <w:bookmarkStart w:id="45" w:name="_Toc259782072"/>
      <w:r>
        <w:rPr>
          <w:rFonts w:hint="eastAsia" w:ascii="Songti SC" w:hAnsi="Songti SC" w:eastAsia="Songti SC" w:cs="Songti SC"/>
          <w:color w:val="000000"/>
          <w:lang w:eastAsia="zh-CN"/>
        </w:rPr>
        <w:t>项目建设目标、内容、规模、周期</w:t>
      </w:r>
      <w:bookmarkEnd w:id="33"/>
      <w:bookmarkEnd w:id="34"/>
      <w:bookmarkEnd w:id="35"/>
      <w:bookmarkEnd w:id="36"/>
      <w:bookmarkEnd w:id="37"/>
      <w:bookmarkEnd w:id="38"/>
      <w:bookmarkEnd w:id="39"/>
      <w:bookmarkEnd w:id="40"/>
      <w:bookmarkEnd w:id="41"/>
    </w:p>
    <w:p w14:paraId="60E9AACF">
      <w:pPr>
        <w:pStyle w:val="4"/>
        <w:rPr>
          <w:rFonts w:hint="eastAsia"/>
          <w:color w:val="000000"/>
        </w:rPr>
      </w:pPr>
      <w:bookmarkStart w:id="46" w:name="_Toc2063194437"/>
      <w:bookmarkStart w:id="47" w:name="_Toc19756"/>
      <w:bookmarkStart w:id="48" w:name="_Toc434879558"/>
      <w:bookmarkStart w:id="49" w:name="_Toc1214792873"/>
      <w:bookmarkStart w:id="50" w:name="_Toc259694381"/>
      <w:bookmarkStart w:id="51" w:name="_Toc252369782"/>
      <w:r>
        <w:rPr>
          <w:rFonts w:hint="eastAsia" w:ascii="Songti SC" w:hAnsi="Songti SC" w:eastAsia="Songti SC" w:cs="Songti SC"/>
          <w:color w:val="000000"/>
        </w:rPr>
        <w:t>建设目标</w:t>
      </w:r>
      <w:bookmarkEnd w:id="46"/>
      <w:bookmarkEnd w:id="47"/>
      <w:bookmarkEnd w:id="48"/>
      <w:bookmarkEnd w:id="49"/>
      <w:bookmarkEnd w:id="50"/>
      <w:bookmarkEnd w:id="51"/>
    </w:p>
    <w:p w14:paraId="7400E02B">
      <w:pPr>
        <w:pStyle w:val="5"/>
        <w:rPr>
          <w:rFonts w:hint="eastAsia"/>
          <w:color w:val="000000" w:themeColor="text1"/>
          <w14:textFill>
            <w14:solidFill>
              <w14:schemeClr w14:val="tx1"/>
            </w14:solidFill>
          </w14:textFill>
        </w:rPr>
      </w:pPr>
      <w:r>
        <w:rPr>
          <w:color w:val="000000" w:themeColor="text1"/>
          <w14:textFill>
            <w14:solidFill>
              <w14:schemeClr w14:val="tx1"/>
            </w14:solidFill>
          </w14:textFill>
        </w:rPr>
        <w:t>业务目标</w:t>
      </w:r>
    </w:p>
    <w:p w14:paraId="7F4AA90D">
      <w:pPr>
        <w:ind w:firstLine="480"/>
        <w:rPr>
          <w:rFonts w:hint="eastAsia" w:ascii="Songti SC" w:hAnsi="Songti SC" w:eastAsia="Songti SC" w:cs="Songti SC"/>
          <w:color w:val="000000"/>
        </w:rPr>
      </w:pPr>
      <w:r>
        <w:rPr>
          <w:rFonts w:hint="eastAsia" w:ascii="Songti SC" w:hAnsi="Songti SC" w:eastAsia="Songti SC" w:cs="Songti SC"/>
          <w:color w:val="000000"/>
        </w:rPr>
        <w:t>北京市大兴区机关事务管理服务中心拟组织实施17处集中办公区食堂消费系统升级改造，保障人员就餐、账户充值、消费结算和日常管理持续运行。按本轮现状资料，现有系统由区政数局本地政务机房虚拟机承载，尚未纳入目标政务云，原机房拟停止服务。本期拟迁入政务云，并按后续建设方案承接原有业务，开展基础软件适配、历史数据迁移、接口和终端接入以及安全合规建设。</w:t>
      </w:r>
      <w:bookmarkStart w:id="889" w:name="_GoBack"/>
      <w:bookmarkEnd w:id="889"/>
    </w:p>
    <w:p w14:paraId="6E446077">
      <w:pPr>
        <w:ind w:firstLine="480"/>
        <w:rPr>
          <w:rFonts w:hint="eastAsia"/>
          <w:color w:val="000000"/>
        </w:rPr>
      </w:pPr>
      <w:r>
        <w:rPr>
          <w:rFonts w:hint="eastAsia" w:ascii="Songti SC" w:hAnsi="Songti SC" w:eastAsia="Songti SC" w:cs="Songti SC"/>
          <w:color w:val="000000"/>
        </w:rPr>
        <w:t>本项目维持大兴区17处集中办公区食堂消费系统原有业务范围和服务群体不变，围绕业务平台替代升级、目标运行环境兼容适配和安全合规建设形成三项建设目标：</w:t>
      </w:r>
    </w:p>
    <w:p w14:paraId="5035A21A">
      <w:pPr>
        <w:ind w:firstLine="480"/>
        <w:rPr>
          <w:rFonts w:hint="eastAsia"/>
          <w:color w:val="000000"/>
        </w:rPr>
      </w:pPr>
      <w:r>
        <w:rPr>
          <w:rFonts w:hint="eastAsia" w:ascii="Songti SC" w:hAnsi="Songti SC" w:eastAsia="Songti SC" w:cs="Songti SC"/>
          <w:color w:val="000000"/>
        </w:rPr>
        <w:t>一是完成目标运行环境兼容适配。围绕建设单位统筹确定的政务云环境，完成国产服务器操作系统、GBase 8s V8.8、金蝶中间件及相关应用服务的部署连通与兼容核验，保障平台稳定运行。</w:t>
      </w:r>
    </w:p>
    <w:p w14:paraId="34989670">
      <w:pPr>
        <w:ind w:firstLine="480"/>
        <w:rPr>
          <w:rFonts w:hint="eastAsia"/>
          <w:color w:val="000000"/>
        </w:rPr>
      </w:pPr>
      <w:r>
        <w:rPr>
          <w:rFonts w:hint="eastAsia" w:ascii="Songti SC" w:hAnsi="Songti SC" w:eastAsia="Songti SC" w:cs="Songti SC"/>
          <w:color w:val="000000"/>
        </w:rPr>
        <w:t>二是完成业务平台替代升级。基于成熟PHP产品承接现有人员、账户、充值、消费、结算和报表等业务，继续采用B/S为主的访问方式和前后端分离的分层架构，并完成外部接口、既有终端和浏览器兼容适配，保障业务连续运行；</w:t>
      </w:r>
    </w:p>
    <w:p w14:paraId="5CD01C1B">
      <w:pPr>
        <w:ind w:firstLine="480"/>
        <w:rPr>
          <w:rFonts w:hint="eastAsia"/>
          <w:color w:val="000000"/>
        </w:rPr>
      </w:pPr>
      <w:r>
        <w:rPr>
          <w:rFonts w:hint="eastAsia" w:ascii="Songti SC" w:hAnsi="Songti SC" w:eastAsia="Songti SC" w:cs="Songti SC"/>
          <w:color w:val="000000"/>
        </w:rPr>
        <w:t>三是完成安全合规测评落地，同步开展等保测评与商密评估，对照标准完成差距整改、测评复核、资料归档，实现系统稳、业务续、数据全、合规达标。</w:t>
      </w:r>
    </w:p>
    <w:p w14:paraId="36D31459">
      <w:pPr>
        <w:pStyle w:val="5"/>
        <w:rPr>
          <w:rFonts w:hint="eastAsia"/>
          <w:color w:val="000000"/>
        </w:rPr>
      </w:pPr>
      <w:r>
        <w:rPr>
          <w:rFonts w:hint="eastAsia" w:ascii="Songti SC" w:hAnsi="Songti SC" w:eastAsia="Songti SC" w:cs="Songti SC"/>
          <w:color w:val="000000"/>
        </w:rPr>
        <w:t>技术目标</w:t>
      </w:r>
    </w:p>
    <w:p w14:paraId="5AC05A52">
      <w:pPr>
        <w:ind w:firstLine="480"/>
        <w:rPr>
          <w:rFonts w:hint="eastAsia"/>
          <w:color w:val="000000"/>
          <w:lang w:bidi="ar"/>
        </w:rPr>
      </w:pPr>
      <w:r>
        <w:rPr>
          <w:rFonts w:hint="eastAsia" w:ascii="Songti SC" w:hAnsi="Songti SC" w:eastAsia="Songti SC" w:cs="Songti SC"/>
          <w:color w:val="000000"/>
          <w:lang w:bidi="ar"/>
        </w:rPr>
        <w:t>本项目技术目标如下：</w:t>
      </w:r>
    </w:p>
    <w:p w14:paraId="2055DA47">
      <w:pPr>
        <w:ind w:firstLine="480"/>
        <w:rPr>
          <w:rFonts w:hint="eastAsia"/>
          <w:color w:val="000000"/>
          <w:lang w:bidi="ar"/>
        </w:rPr>
      </w:pPr>
      <w:r>
        <w:rPr>
          <w:rFonts w:ascii="Songti SC" w:hAnsi="Songti SC" w:eastAsia="Songti SC" w:cs="Songti SC"/>
          <w:color w:val="000000"/>
        </w:rPr>
        <w:t>1.基础软件兼容适配</w:t>
      </w:r>
    </w:p>
    <w:p w14:paraId="18A38B25">
      <w:pPr>
        <w:ind w:firstLine="480"/>
        <w:rPr>
          <w:rFonts w:hint="eastAsia"/>
          <w:color w:val="000000"/>
          <w:lang w:bidi="ar"/>
        </w:rPr>
      </w:pPr>
      <w:r>
        <w:rPr>
          <w:rFonts w:ascii="Songti SC" w:hAnsi="Songti SC" w:eastAsia="Songti SC" w:cs="Songti SC"/>
          <w:color w:val="000000"/>
        </w:rPr>
        <w:t>完成服务器操作系统、数据库和应用中间件适配。操作系统侧重点验证服务部署、目录权限、定时任务、日志路径、运维脚本、监控告警和服务启停；数据库侧重点验证连接驱动、SQL语法、事务处理、分页、主键自增、日期时间、字符集、索引、长文本字段和常用函数兼容性；中间件侧重点验证应用发布、会话管理、接口调用、访问控制、日志输出、运行监控和故障切换。</w:t>
      </w:r>
    </w:p>
    <w:p w14:paraId="551DCA81">
      <w:pPr>
        <w:ind w:firstLine="480"/>
        <w:rPr>
          <w:rFonts w:hint="eastAsia"/>
          <w:color w:val="000000"/>
          <w:lang w:bidi="ar"/>
        </w:rPr>
      </w:pPr>
      <w:r>
        <w:rPr>
          <w:rFonts w:hint="eastAsia" w:ascii="Songti SC" w:hAnsi="Songti SC" w:eastAsia="Songti SC" w:cs="Songti SC"/>
          <w:color w:val="000000"/>
          <w:lang w:bidi="ar"/>
        </w:rPr>
        <w:t>2.业务平台替代升级</w:t>
      </w:r>
    </w:p>
    <w:p w14:paraId="72EE9C50">
      <w:pPr>
        <w:ind w:firstLine="480"/>
        <w:rPr>
          <w:rFonts w:hint="eastAsia"/>
          <w:color w:val="000000"/>
          <w:lang w:bidi="ar"/>
        </w:rPr>
      </w:pPr>
      <w:r>
        <w:rPr>
          <w:rFonts w:ascii="Songti SC" w:hAnsi="Songti SC" w:eastAsia="Songti SC" w:cs="Songti SC"/>
          <w:color w:val="000000"/>
        </w:rPr>
        <w:t>目标系统采用成熟PHP产品，继续保持B/S为主的访问方式，程序架构采用前后端分离的分层架构；后端采用PHP，PC端采用JavaScript/Vue，移动端采用uniapp。消费终端、工商银行及区大数据平台通过HTTP/HTTPS和API等既有边界接入，实施阶段完成接口映射、联调和安全验证。</w:t>
      </w:r>
    </w:p>
    <w:p w14:paraId="46EFA704">
      <w:pPr>
        <w:ind w:firstLine="480"/>
        <w:rPr>
          <w:rFonts w:hint="eastAsia"/>
          <w:color w:val="000000"/>
        </w:rPr>
      </w:pPr>
      <w:r>
        <w:rPr>
          <w:rFonts w:ascii="Songti SC" w:hAnsi="Songti SC" w:eastAsia="Songti SC" w:cs="Songti SC"/>
          <w:color w:val="000000"/>
        </w:rPr>
        <w:t>3.等保商密</w:t>
      </w:r>
      <w:r>
        <w:rPr>
          <w:rFonts w:hint="eastAsia" w:ascii="Songti SC" w:hAnsi="Songti SC" w:eastAsia="Songti SC" w:cs="Songti SC"/>
          <w:color w:val="000000"/>
        </w:rPr>
        <w:t>合规实施</w:t>
      </w:r>
    </w:p>
    <w:p w14:paraId="72E72B54">
      <w:pPr>
        <w:ind w:firstLine="480"/>
        <w:rPr>
          <w:rFonts w:hint="eastAsia"/>
          <w:color w:val="000000"/>
          <w:lang w:bidi="ar"/>
        </w:rPr>
      </w:pPr>
      <w:r>
        <w:rPr>
          <w:rFonts w:ascii="Songti SC" w:hAnsi="Songti SC" w:eastAsia="Songti SC" w:cs="Songti SC"/>
          <w:color w:val="000000"/>
        </w:rPr>
        <w:t>建设单位按照网络安全等级保护和商用密码应用安全性评估要求，组织方案审查、材料准备、差距整改、测评评估和结果复核；承建单位负责落实合同范围内的技术措施及整改，测评机构独立出具评价结果，建设单位据此组织验收和资料归档。</w:t>
      </w:r>
    </w:p>
    <w:p w14:paraId="29761E6B">
      <w:pPr>
        <w:pStyle w:val="4"/>
        <w:rPr>
          <w:rFonts w:hint="eastAsia"/>
          <w:color w:val="000000"/>
        </w:rPr>
      </w:pPr>
      <w:bookmarkStart w:id="52" w:name="_Toc252369784"/>
      <w:bookmarkStart w:id="53" w:name="_Toc896784482"/>
      <w:bookmarkStart w:id="54" w:name="_Toc690454550"/>
      <w:bookmarkStart w:id="55" w:name="_Toc23447"/>
      <w:bookmarkStart w:id="56" w:name="_Toc259694383"/>
      <w:bookmarkStart w:id="57" w:name="_Toc1133880565"/>
      <w:r>
        <w:rPr>
          <w:rFonts w:hint="eastAsia" w:ascii="Songti SC" w:hAnsi="Songti SC" w:eastAsia="Songti SC" w:cs="Songti SC"/>
          <w:color w:val="000000"/>
        </w:rPr>
        <w:t>建设内容</w:t>
      </w:r>
      <w:bookmarkEnd w:id="52"/>
      <w:bookmarkEnd w:id="53"/>
      <w:bookmarkEnd w:id="54"/>
      <w:bookmarkEnd w:id="55"/>
      <w:bookmarkEnd w:id="56"/>
      <w:bookmarkEnd w:id="57"/>
    </w:p>
    <w:p w14:paraId="3379ADBD">
      <w:pPr>
        <w:ind w:firstLine="480"/>
        <w:rPr>
          <w:rFonts w:hint="eastAsia"/>
          <w:color w:val="000000"/>
        </w:rPr>
      </w:pPr>
      <w:r>
        <w:rPr>
          <w:rFonts w:hint="eastAsia" w:ascii="Songti SC" w:hAnsi="Songti SC" w:eastAsia="Songti SC" w:cs="Songti SC"/>
          <w:color w:val="000000"/>
        </w:rPr>
        <w:t>本项目为大兴区17处集中办公区食堂消费系统升级改造工程，以成熟PHP产品替代现有.NET系统，完成业务平台升级、政务云与国产基础软件兼容适配以及安全合规建设。项目同步实施SQL Server 2014历史数据向GBase 8s V8.8迁移、外部接口联调及55台消费终端更新与接入适配、IPv4/IPv6双栈适配、上线切换与培训，继续承载人员管理、账户充值、刷卡/扫码/刷脸就餐、数据统计、餐厅营收结算、银行充值对接和日常运维管理等既有业务。</w:t>
      </w:r>
    </w:p>
    <w:p w14:paraId="5E0AEE58">
      <w:pPr>
        <w:pStyle w:val="5"/>
        <w:rPr>
          <w:rFonts w:hint="eastAsia"/>
          <w:color w:val="000000"/>
        </w:rPr>
      </w:pPr>
      <w:r>
        <w:rPr>
          <w:rFonts w:ascii="Songti SC" w:hAnsi="Songti SC" w:eastAsia="Songti SC" w:cs="Songti SC"/>
          <w:color w:val="000000"/>
        </w:rPr>
        <w:t>基础软件兼容适配部署</w:t>
      </w:r>
    </w:p>
    <w:p w14:paraId="64669922">
      <w:pPr>
        <w:ind w:firstLine="480"/>
        <w:rPr>
          <w:rFonts w:hint="eastAsia"/>
          <w:color w:val="000000"/>
        </w:rPr>
      </w:pPr>
      <w:r>
        <w:rPr>
          <w:rFonts w:ascii="Songti SC" w:hAnsi="Songti SC" w:eastAsia="Songti SC" w:cs="Songti SC"/>
          <w:color w:val="000000"/>
        </w:rPr>
        <w:t>一是服务器操作系统适配。围绕目标国产服务器操作系统完成PHP应用服务部署、系统用户权限、文件目录权限、日志路径、定时任务、服务启停、监控告警和运维脚本适配，保障平台服务稳定运行。</w:t>
      </w:r>
    </w:p>
    <w:p w14:paraId="4F0D8E29">
      <w:pPr>
        <w:ind w:firstLine="480"/>
        <w:rPr>
          <w:rFonts w:hint="eastAsia"/>
          <w:color w:val="000000"/>
        </w:rPr>
      </w:pPr>
      <w:r>
        <w:rPr>
          <w:rFonts w:ascii="Songti SC" w:hAnsi="Songti SC" w:eastAsia="Songti SC" w:cs="Songti SC"/>
          <w:color w:val="000000"/>
        </w:rPr>
        <w:t>二是数据库迁移与产品适配。原系统历史业务数据由SQL Server 2014迁移至GBase 8s V8.8，通过记录数、金额字段、账户余额、交易流水和关联关系校验确认数据一致性；同时对成熟PHP产品的数据访问层开展GBase连接驱动、SQL语法、事务、分页、主键、日期时间、字符集、索引和长文本字段等兼容适配。</w:t>
      </w:r>
    </w:p>
    <w:p w14:paraId="56138872">
      <w:pPr>
        <w:ind w:firstLine="480"/>
        <w:rPr>
          <w:rFonts w:hint="eastAsia"/>
          <w:color w:val="000000"/>
        </w:rPr>
      </w:pPr>
      <w:r>
        <w:rPr>
          <w:rFonts w:ascii="Songti SC" w:hAnsi="Songti SC" w:eastAsia="Songti SC" w:cs="Songti SC"/>
          <w:color w:val="000000"/>
        </w:rPr>
        <w:t>三是中间件兼容适配。结合金蝶中间件和目标政务云环境，对应用访问链路、会话管理、接口调用、访问控制、日志输出、运行监控、故障排查和启停脚本进行兼容验证，具体部署方式以环境联调结果为准。</w:t>
      </w:r>
    </w:p>
    <w:p w14:paraId="4666572E">
      <w:pPr>
        <w:pStyle w:val="5"/>
        <w:rPr>
          <w:rFonts w:hint="eastAsia"/>
          <w:color w:val="000000"/>
        </w:rPr>
      </w:pPr>
      <w:r>
        <w:rPr>
          <w:rFonts w:ascii="Songti SC" w:hAnsi="Songti SC" w:eastAsia="Songti SC" w:cs="Songti SC"/>
          <w:color w:val="000000"/>
        </w:rPr>
        <w:t>业务平台替代升级与兼容适配</w:t>
      </w:r>
    </w:p>
    <w:p w14:paraId="5F2B4A6A">
      <w:pPr>
        <w:ind w:firstLine="480"/>
        <w:rPr>
          <w:rFonts w:hint="eastAsia"/>
          <w:color w:val="000000"/>
        </w:rPr>
      </w:pPr>
      <w:r>
        <w:rPr>
          <w:rFonts w:ascii="Songti SC" w:hAnsi="Songti SC" w:eastAsia="Songti SC" w:cs="Songti SC"/>
          <w:color w:val="000000"/>
        </w:rPr>
        <w:t>本部分基于成熟PHP产品承接现有系统业务功能，完成目标国产基础软件环境部署、运行参数配置、接口链路联调、终端交易联调、浏览器兼容测试、业务功能回归测试和上线切换验证。现有.NET系统不作为目标产品继续改造，实施重点是业务、数据、接口和终端的平稳迁移。</w:t>
      </w:r>
    </w:p>
    <w:p w14:paraId="1AD2A205">
      <w:pPr>
        <w:ind w:firstLine="480"/>
        <w:rPr>
          <w:rFonts w:hint="eastAsia"/>
          <w:color w:val="000000"/>
        </w:rPr>
      </w:pPr>
      <w:r>
        <w:rPr>
          <w:rFonts w:ascii="Songti SC" w:hAnsi="Songti SC" w:eastAsia="Songti SC" w:cs="Songti SC"/>
          <w:color w:val="000000"/>
        </w:rPr>
        <w:t>一是目标产品与运行环境适配，完成PHP服务部署、PC端和移动端资源发布、接口路由、文件目录、日志目录、定时任务、配置参数、服务启停和异常日志适配。</w:t>
      </w:r>
    </w:p>
    <w:p w14:paraId="1D9E67AB">
      <w:pPr>
        <w:ind w:firstLine="480"/>
        <w:rPr>
          <w:rFonts w:hint="eastAsia"/>
          <w:color w:val="000000" w:themeColor="text1"/>
          <w14:textFill>
            <w14:solidFill>
              <w14:schemeClr w14:val="tx1"/>
            </w14:solidFill>
          </w14:textFill>
        </w:rPr>
      </w:pPr>
      <w:r>
        <w:rPr>
          <w:rFonts w:ascii="Songti SC" w:hAnsi="Songti SC" w:eastAsia="Songti SC" w:cs="Songti SC"/>
          <w:color w:val="000000"/>
        </w:rPr>
        <w:t>二是业务功能承接与联调，围绕人员管理、账户充值、刷卡/扫码/刷脸消费、报表统计、餐厅经营结算和日常运维管理开展功能核验。</w:t>
      </w:r>
    </w:p>
    <w:p w14:paraId="60FBDA65">
      <w:pPr>
        <w:ind w:firstLine="480"/>
        <w:rPr>
          <w:rFonts w:hint="eastAsia"/>
          <w:color w:val="000000"/>
        </w:rPr>
      </w:pPr>
      <w:r>
        <w:rPr>
          <w:rFonts w:ascii="Songti SC" w:hAnsi="Songti SC" w:eastAsia="Songti SC" w:cs="Songti SC"/>
          <w:color w:val="000000"/>
        </w:rPr>
        <w:t>三是接口与终端联调，保持既有工商银行充值接口、</w:t>
      </w:r>
      <w:r>
        <w:rPr>
          <w:rFonts w:hint="eastAsia" w:ascii="Songti SC" w:hAnsi="Songti SC" w:eastAsia="Songti SC" w:cs="Songti SC"/>
          <w:color w:val="000000"/>
          <w:lang w:eastAsia="zh-CN"/>
        </w:rPr>
        <w:t>大数据交互平台</w:t>
      </w:r>
      <w:r>
        <w:rPr>
          <w:rFonts w:ascii="Songti SC" w:hAnsi="Songti SC" w:eastAsia="Songti SC" w:cs="Songti SC"/>
          <w:color w:val="000000"/>
        </w:rPr>
        <w:t>和消费终端接口边界，完成订单状态同步、余额更新、异常日志、对账查询和消费机交易链路验证。</w:t>
      </w:r>
    </w:p>
    <w:p w14:paraId="798FBD87">
      <w:pPr>
        <w:ind w:firstLine="480"/>
        <w:rPr>
          <w:rFonts w:hint="eastAsia"/>
          <w:color w:val="000000"/>
        </w:rPr>
      </w:pPr>
      <w:r>
        <w:rPr>
          <w:rFonts w:ascii="Songti SC" w:hAnsi="Songti SC" w:eastAsia="Songti SC" w:cs="Songti SC"/>
          <w:color w:val="000000"/>
        </w:rPr>
        <w:t>本方案所称“</w:t>
      </w:r>
      <w:r>
        <w:rPr>
          <w:rFonts w:hint="eastAsia" w:ascii="Songti SC" w:hAnsi="Songti SC" w:eastAsia="Songti SC" w:cs="Songti SC"/>
          <w:color w:val="000000"/>
          <w:lang w:eastAsia="zh-CN"/>
        </w:rPr>
        <w:t>大数据交互平台</w:t>
      </w:r>
      <w:r>
        <w:rPr>
          <w:rFonts w:ascii="Songti SC" w:hAnsi="Songti SC" w:eastAsia="Songti SC" w:cs="Songti SC"/>
          <w:color w:val="000000"/>
        </w:rPr>
        <w:t>”，是指大兴区用于政务数据归集、共享交换和管理支撑的区级大数据平台。</w:t>
      </w:r>
    </w:p>
    <w:p w14:paraId="38F63546">
      <w:pPr>
        <w:pStyle w:val="5"/>
        <w:rPr>
          <w:rFonts w:hint="eastAsia"/>
          <w:color w:val="000000"/>
        </w:rPr>
      </w:pPr>
      <w:r>
        <w:rPr>
          <w:rFonts w:ascii="Songti SC" w:hAnsi="Songti SC" w:eastAsia="Songti SC" w:cs="Songti SC"/>
          <w:color w:val="000000"/>
        </w:rPr>
        <w:t>等保商密合规核验实施</w:t>
      </w:r>
    </w:p>
    <w:p w14:paraId="58669D70">
      <w:pPr>
        <w:ind w:firstLine="480"/>
        <w:rPr>
          <w:rFonts w:hint="eastAsia"/>
          <w:color w:val="000000"/>
        </w:rPr>
      </w:pPr>
      <w:r>
        <w:rPr>
          <w:rFonts w:ascii="Songti SC" w:hAnsi="Songti SC" w:eastAsia="Songti SC" w:cs="Songti SC"/>
          <w:color w:val="000000"/>
        </w:rPr>
        <w:t>本部分围绕网络安全与密码应用合规要求开展验证，并与历史数据承接及一致性校验工作衔接。主要工作包括：</w:t>
      </w:r>
    </w:p>
    <w:p w14:paraId="73B2B7D0">
      <w:pPr>
        <w:ind w:firstLine="480"/>
        <w:rPr>
          <w:rFonts w:hint="eastAsia"/>
          <w:color w:val="000000"/>
        </w:rPr>
      </w:pPr>
      <w:r>
        <w:rPr>
          <w:rFonts w:ascii="Songti SC" w:hAnsi="Songti SC" w:eastAsia="Songti SC" w:cs="Songti SC"/>
          <w:color w:val="000000"/>
        </w:rPr>
        <w:t>一是食堂消费系统已完成网络安全等级保护第三级定级专家评审，专家一致认为定级合理并同意通过评审；建设单位后续按程序组织定级备案、差距分析、整改加固、测评和整改验证，督促承建单位提交相应技术支撑材料。</w:t>
      </w:r>
    </w:p>
    <w:p w14:paraId="2A429682">
      <w:pPr>
        <w:ind w:firstLine="480"/>
        <w:rPr>
          <w:rFonts w:hint="eastAsia"/>
          <w:color w:val="000000"/>
        </w:rPr>
      </w:pPr>
      <w:r>
        <w:rPr>
          <w:rFonts w:ascii="Songti SC" w:hAnsi="Songti SC" w:eastAsia="Songti SC" w:cs="Songti SC"/>
          <w:color w:val="000000"/>
        </w:rPr>
        <w:t>二是建设单位组织商用密码应用安全性评估，督促承建单位围绕身份鉴别、通信安全、设备和计算安全、应用和数据安全、密钥管理及制度流程准备材料、落实整改，由测评机构开展验证并形成评价结果。</w:t>
      </w:r>
    </w:p>
    <w:p w14:paraId="5794BB16">
      <w:pPr>
        <w:ind w:firstLine="480"/>
        <w:rPr>
          <w:rFonts w:hint="eastAsia"/>
          <w:color w:val="000000"/>
        </w:rPr>
      </w:pPr>
      <w:r>
        <w:rPr>
          <w:rFonts w:ascii="Songti SC" w:hAnsi="Songti SC" w:eastAsia="Songti SC" w:cs="Songti SC"/>
          <w:color w:val="000000"/>
        </w:rPr>
        <w:t>三是将网络安全、密码应用、目标国产基础软件兼容适配和平台联调结果纳入上线验收，确保系统符合安全合规和业务连续运行要求。</w:t>
      </w:r>
    </w:p>
    <w:p w14:paraId="7FDA2E3A">
      <w:pPr>
        <w:pStyle w:val="4"/>
        <w:rPr>
          <w:rFonts w:hint="eastAsia"/>
          <w:color w:val="000000"/>
        </w:rPr>
      </w:pPr>
      <w:bookmarkStart w:id="58" w:name="_Toc360772477"/>
      <w:bookmarkStart w:id="59" w:name="_Toc1216554328"/>
      <w:bookmarkStart w:id="60" w:name="_Toc11587"/>
      <w:bookmarkStart w:id="61" w:name="_Toc1615477109"/>
      <w:r>
        <w:rPr>
          <w:rFonts w:hint="eastAsia" w:ascii="Songti SC" w:hAnsi="Songti SC" w:eastAsia="Songti SC" w:cs="Songti SC"/>
          <w:color w:val="000000"/>
        </w:rPr>
        <w:t>建设规模</w:t>
      </w:r>
      <w:bookmarkEnd w:id="58"/>
      <w:bookmarkEnd w:id="59"/>
      <w:bookmarkEnd w:id="60"/>
      <w:bookmarkEnd w:id="61"/>
    </w:p>
    <w:p w14:paraId="702C7535">
      <w:pPr>
        <w:ind w:firstLine="480"/>
        <w:rPr>
          <w:rFonts w:hint="eastAsia"/>
          <w:color w:val="000000"/>
        </w:rPr>
      </w:pPr>
      <w:bookmarkStart w:id="62" w:name="_Toc259694384"/>
      <w:bookmarkStart w:id="63" w:name="_Toc252369786"/>
      <w:r>
        <w:rPr>
          <w:rFonts w:hint="eastAsia" w:ascii="Songti SC" w:hAnsi="Songti SC" w:eastAsia="Songti SC" w:cs="Songti SC"/>
          <w:color w:val="000000"/>
        </w:rPr>
        <w:t>本项目</w:t>
      </w:r>
      <w:r>
        <w:rPr>
          <w:rFonts w:ascii="Songti SC" w:hAnsi="Songti SC" w:eastAsia="Songti SC" w:cs="Songti SC"/>
          <w:color w:val="000000"/>
        </w:rPr>
        <w:t>覆盖大兴区17个集中办公区，服务各办公区就餐人员</w:t>
      </w:r>
      <w:r>
        <w:rPr>
          <w:rFonts w:hint="eastAsia" w:ascii="Songti SC" w:hAnsi="Songti SC" w:eastAsia="Songti SC" w:cs="Songti SC"/>
          <w:color w:val="000000"/>
        </w:rPr>
        <w:t>及相关工作人员</w:t>
      </w:r>
      <w:r>
        <w:rPr>
          <w:rFonts w:ascii="Songti SC" w:hAnsi="Songti SC" w:eastAsia="Songti SC" w:cs="Songti SC"/>
          <w:color w:val="000000"/>
        </w:rPr>
        <w:t>，</w:t>
      </w:r>
      <w:r>
        <w:rPr>
          <w:rFonts w:hint="eastAsia" w:ascii="Songti SC" w:hAnsi="Songti SC" w:eastAsia="Songti SC" w:cs="Songti SC"/>
          <w:color w:val="000000"/>
        </w:rPr>
        <w:t>承载支撑</w:t>
      </w:r>
      <w:r>
        <w:rPr>
          <w:rFonts w:ascii="Songti SC" w:hAnsi="Songti SC" w:eastAsia="Songti SC" w:cs="Songti SC"/>
          <w:color w:val="000000"/>
        </w:rPr>
        <w:t>食堂消费全流程业务。</w:t>
      </w:r>
    </w:p>
    <w:p w14:paraId="7499621E">
      <w:pPr>
        <w:pStyle w:val="4"/>
        <w:rPr>
          <w:rFonts w:hint="eastAsia"/>
          <w:color w:val="000000"/>
        </w:rPr>
      </w:pPr>
      <w:bookmarkStart w:id="64" w:name="_Toc1156685458"/>
      <w:bookmarkStart w:id="65" w:name="_Toc2297"/>
      <w:bookmarkStart w:id="66" w:name="_Toc688021942"/>
      <w:bookmarkStart w:id="67" w:name="_Toc436787609"/>
      <w:r>
        <w:rPr>
          <w:rFonts w:hint="eastAsia" w:ascii="Songti SC" w:hAnsi="Songti SC" w:eastAsia="Songti SC" w:cs="Songti SC"/>
          <w:color w:val="000000"/>
        </w:rPr>
        <w:t>建设周期</w:t>
      </w:r>
      <w:bookmarkEnd w:id="62"/>
      <w:bookmarkEnd w:id="63"/>
      <w:bookmarkEnd w:id="64"/>
      <w:bookmarkEnd w:id="65"/>
      <w:bookmarkEnd w:id="66"/>
      <w:bookmarkEnd w:id="67"/>
    </w:p>
    <w:p w14:paraId="3B562072">
      <w:pPr>
        <w:ind w:firstLine="480"/>
        <w:rPr>
          <w:rFonts w:hint="eastAsia"/>
          <w:color w:val="000000"/>
        </w:rPr>
      </w:pPr>
      <w:r>
        <w:rPr>
          <w:rFonts w:hint="eastAsia" w:ascii="Songti SC" w:hAnsi="Songti SC" w:eastAsia="Songti SC" w:cs="Songti SC"/>
          <w:color w:val="000000"/>
        </w:rPr>
        <w:t>本项目建设周期约为45天。</w:t>
      </w:r>
    </w:p>
    <w:p w14:paraId="72277F84">
      <w:pPr>
        <w:pStyle w:val="3"/>
        <w:rPr>
          <w:rFonts w:hint="eastAsia"/>
          <w:color w:val="000000"/>
        </w:rPr>
      </w:pPr>
      <w:bookmarkStart w:id="68" w:name="_Toc1532823746"/>
      <w:bookmarkStart w:id="69" w:name="_Toc990239017"/>
      <w:bookmarkStart w:id="70" w:name="_Toc1390519962"/>
      <w:bookmarkStart w:id="71" w:name="_Toc26259"/>
      <w:bookmarkStart w:id="72" w:name="_Toc259694385"/>
      <w:bookmarkStart w:id="73" w:name="_Toc252369787"/>
      <w:r>
        <w:rPr>
          <w:rFonts w:hint="eastAsia" w:ascii="Songti SC" w:hAnsi="Songti SC" w:eastAsia="Songti SC" w:cs="Songti SC"/>
          <w:color w:val="000000"/>
        </w:rPr>
        <w:t>建设地点</w:t>
      </w:r>
      <w:bookmarkEnd w:id="68"/>
      <w:bookmarkEnd w:id="69"/>
      <w:bookmarkEnd w:id="70"/>
      <w:bookmarkEnd w:id="71"/>
      <w:bookmarkEnd w:id="72"/>
      <w:bookmarkEnd w:id="73"/>
    </w:p>
    <w:p w14:paraId="7053DD71">
      <w:pPr>
        <w:ind w:firstLine="480"/>
        <w:rPr>
          <w:rFonts w:hint="eastAsia"/>
          <w:color w:val="000000"/>
        </w:rPr>
      </w:pPr>
      <w:r>
        <w:rPr>
          <w:rFonts w:hint="eastAsia" w:ascii="Songti SC" w:hAnsi="Songti SC" w:eastAsia="Songti SC" w:cs="Songti SC"/>
          <w:color w:val="000000"/>
        </w:rPr>
        <w:t>本项目的建设地点为：</w:t>
      </w:r>
    </w:p>
    <w:p w14:paraId="5C6326DE">
      <w:pPr>
        <w:ind w:firstLine="480"/>
        <w:rPr>
          <w:rFonts w:hint="eastAsia"/>
          <w:color w:val="000000"/>
        </w:rPr>
      </w:pPr>
      <w:r>
        <w:rPr>
          <w:rFonts w:hint="eastAsia" w:ascii="Songti SC" w:hAnsi="Songti SC" w:eastAsia="Songti SC" w:cs="Songti SC"/>
          <w:color w:val="000000"/>
        </w:rPr>
        <w:t>1.软件系统部署在建设单位统筹确定的政务云环境。</w:t>
      </w:r>
    </w:p>
    <w:p w14:paraId="62D7055D">
      <w:pPr>
        <w:ind w:firstLine="480"/>
        <w:rPr>
          <w:rFonts w:hint="eastAsia"/>
          <w:color w:val="000000"/>
        </w:rPr>
      </w:pPr>
      <w:r>
        <w:rPr>
          <w:rFonts w:hint="eastAsia" w:ascii="Songti SC" w:hAnsi="Songti SC" w:eastAsia="Songti SC" w:cs="Songti SC"/>
          <w:color w:val="000000"/>
        </w:rPr>
        <w:t>2.消费设备：覆盖17个集中办公区，包含台式双面收银机、壁挂式收银机、卧式收银机、智能称重收银机等设备的升级适配，用于支撑现场刷卡、扫码、刷脸消费及日常运营管理。</w:t>
      </w:r>
    </w:p>
    <w:p w14:paraId="6DF59E25">
      <w:pPr>
        <w:ind w:firstLine="480"/>
        <w:rPr>
          <w:rFonts w:hint="eastAsia"/>
          <w:color w:val="000000"/>
        </w:rPr>
      </w:pPr>
      <w:r>
        <w:rPr>
          <w:rFonts w:hint="eastAsia" w:ascii="Songti SC" w:hAnsi="Songti SC" w:eastAsia="Songti SC" w:cs="Songti SC"/>
          <w:color w:val="000000"/>
        </w:rPr>
        <w:t>设备安装在17个集中办公区，其中区政府5台、城指中心4台、桐城办公区13台、清城办公区6台、第六办公区3台、第七办公区4台、市场局3台、住建委3台、统计局2台、交通局2台、信访办1台、经信局1台、统战办公区2台、生态环境局2台、民政局2台、区政协1台，第八办公区1台，总计55台。</w:t>
      </w:r>
    </w:p>
    <w:p w14:paraId="02C0D7B9">
      <w:pPr>
        <w:pStyle w:val="3"/>
        <w:rPr>
          <w:rFonts w:hint="eastAsia"/>
          <w:color w:val="000000"/>
          <w:lang w:eastAsia="zh-CN"/>
        </w:rPr>
      </w:pPr>
      <w:bookmarkStart w:id="74" w:name="_Toc66881447"/>
      <w:bookmarkStart w:id="75" w:name="_Toc4801"/>
      <w:bookmarkStart w:id="76" w:name="_Toc252369788"/>
      <w:bookmarkStart w:id="77" w:name="_Toc2096378116"/>
      <w:bookmarkStart w:id="78" w:name="_Toc1551954680"/>
      <w:bookmarkStart w:id="79" w:name="_Toc259782074"/>
      <w:bookmarkStart w:id="80" w:name="_Toc954869610"/>
      <w:bookmarkStart w:id="81" w:name="_Toc271804371"/>
      <w:bookmarkStart w:id="82" w:name="_Toc259694386"/>
      <w:r>
        <w:rPr>
          <w:rFonts w:hint="eastAsia" w:ascii="Songti SC" w:hAnsi="Songti SC" w:eastAsia="Songti SC" w:cs="Songti SC"/>
          <w:color w:val="000000"/>
          <w:lang w:eastAsia="zh-CN"/>
        </w:rPr>
        <w:t>总投资及资金来源</w:t>
      </w:r>
      <w:bookmarkEnd w:id="74"/>
      <w:bookmarkEnd w:id="75"/>
      <w:bookmarkEnd w:id="76"/>
      <w:bookmarkEnd w:id="77"/>
      <w:bookmarkEnd w:id="78"/>
      <w:bookmarkEnd w:id="79"/>
      <w:bookmarkEnd w:id="80"/>
      <w:bookmarkEnd w:id="81"/>
      <w:bookmarkEnd w:id="82"/>
    </w:p>
    <w:p w14:paraId="3B208570">
      <w:pPr>
        <w:ind w:firstLine="480"/>
        <w:rPr>
          <w:rFonts w:hint="eastAsia"/>
          <w:color w:val="000000"/>
        </w:rPr>
      </w:pPr>
      <w:r>
        <w:rPr>
          <w:rFonts w:hint="eastAsia" w:ascii="Songti SC" w:hAnsi="Songti SC" w:eastAsia="Songti SC" w:cs="Songti SC"/>
          <w:color w:val="000000"/>
        </w:rPr>
        <w:t>本项目投资概算为106.13万元，其中工程费87.13万元，工程建设其他费19万元，项目拟申请区级财政资金解决。</w:t>
      </w:r>
    </w:p>
    <w:p w14:paraId="69ABDA20">
      <w:pPr>
        <w:ind w:firstLine="480"/>
        <w:rPr>
          <w:rFonts w:hint="eastAsia"/>
          <w:color w:val="000000"/>
        </w:rPr>
      </w:pPr>
      <w:r>
        <w:rPr>
          <w:rFonts w:hint="eastAsia" w:ascii="Songti SC" w:hAnsi="Songti SC" w:eastAsia="Songti SC" w:cs="Songti SC"/>
          <w:color w:val="000000"/>
        </w:rPr>
        <w:t>本项目投资概算见下表：</w:t>
      </w:r>
    </w:p>
    <w:p w14:paraId="00DBF690">
      <w:pPr>
        <w:pStyle w:val="14"/>
        <w:keepNext/>
        <w:spacing w:line="360" w:lineRule="auto"/>
        <w:rPr>
          <w:rFonts w:hint="eastAsia" w:cs="宋体"/>
          <w:color w:val="000000"/>
          <w:szCs w:val="21"/>
        </w:rPr>
      </w:pPr>
      <w:r>
        <w:rPr>
          <w:rFonts w:ascii="Songti SC" w:hAnsi="Songti SC" w:eastAsia="Songti SC" w:cs="Songti SC"/>
          <w:color w:val="000000"/>
          <w:szCs w:val="21"/>
        </w:rPr>
        <w:t>表</w:t>
      </w:r>
      <w:r>
        <w:rPr>
          <w:rFonts w:ascii="Songti SC" w:hAnsi="Songti SC" w:eastAsia="Songti SC" w:cs="Songti SC"/>
          <w:color w:val="000000"/>
          <w:szCs w:val="21"/>
        </w:rPr>
        <w:fldChar w:fldCharType="begin"/>
      </w:r>
      <w:r>
        <w:rPr>
          <w:rFonts w:ascii="Songti SC" w:hAnsi="Songti SC" w:eastAsia="Songti SC" w:cs="Songti SC"/>
          <w:color w:val="000000"/>
          <w:szCs w:val="21"/>
        </w:rPr>
        <w:instrText xml:space="preserve"> STYLEREF 1 \s </w:instrText>
      </w:r>
      <w:r>
        <w:rPr>
          <w:rFonts w:hint="eastAsia" w:ascii="Songti SC" w:hAnsi="Songti SC" w:eastAsia="Songti SC" w:cs="Songti SC"/>
          <w:color w:val="000000"/>
          <w:szCs w:val="21"/>
        </w:rPr>
        <w:fldChar w:fldCharType="separate"/>
      </w:r>
      <w:r>
        <w:rPr>
          <w:rFonts w:hint="eastAsia" w:ascii="Songti SC" w:hAnsi="Songti SC" w:eastAsia="Songti SC" w:cs="Songti SC"/>
          <w:color w:val="000000"/>
          <w:szCs w:val="21"/>
        </w:rPr>
        <w:t>1</w:t>
      </w:r>
      <w:r>
        <w:rPr>
          <w:rFonts w:ascii="Songti SC" w:hAnsi="Songti SC" w:eastAsia="Songti SC" w:cs="Songti SC"/>
          <w:color w:val="000000"/>
          <w:szCs w:val="21"/>
        </w:rPr>
        <w:fldChar w:fldCharType="end"/>
      </w:r>
      <w:r>
        <w:rPr>
          <w:rFonts w:ascii="Songti SC" w:hAnsi="Songti SC" w:eastAsia="Songti SC" w:cs="Songti SC"/>
          <w:color w:val="000000"/>
          <w:szCs w:val="21"/>
        </w:rPr>
        <w:t>.</w:t>
      </w:r>
      <w:r>
        <w:rPr>
          <w:rFonts w:ascii="Songti SC" w:hAnsi="Songti SC" w:eastAsia="Songti SC" w:cs="Songti SC"/>
          <w:color w:val="000000"/>
          <w:szCs w:val="21"/>
        </w:rPr>
        <w:fldChar w:fldCharType="begin"/>
      </w:r>
      <w:r>
        <w:rPr>
          <w:rFonts w:ascii="Songti SC" w:hAnsi="Songti SC" w:eastAsia="Songti SC" w:cs="Songti SC"/>
          <w:color w:val="000000"/>
          <w:szCs w:val="21"/>
        </w:rPr>
        <w:instrText xml:space="preserve"> SEQ 表 \* ARABIC \s 1 </w:instrText>
      </w:r>
      <w:r>
        <w:rPr>
          <w:rFonts w:hint="eastAsia" w:ascii="Songti SC" w:hAnsi="Songti SC" w:eastAsia="Songti SC" w:cs="Songti SC"/>
          <w:color w:val="000000"/>
          <w:szCs w:val="21"/>
        </w:rPr>
        <w:fldChar w:fldCharType="separate"/>
      </w:r>
      <w:r>
        <w:rPr>
          <w:rFonts w:ascii="Songti SC" w:hAnsi="Songti SC" w:eastAsia="Songti SC" w:cs="Songti SC"/>
          <w:color w:val="000000"/>
          <w:szCs w:val="21"/>
        </w:rPr>
        <w:t>1</w:t>
      </w:r>
      <w:r>
        <w:rPr>
          <w:rFonts w:ascii="Songti SC" w:hAnsi="Songti SC" w:eastAsia="Songti SC" w:cs="Songti SC"/>
          <w:color w:val="000000"/>
          <w:szCs w:val="21"/>
        </w:rPr>
        <w:fldChar w:fldCharType="end"/>
      </w:r>
      <w:r>
        <w:rPr>
          <w:rFonts w:ascii="Songti SC" w:hAnsi="Songti SC" w:eastAsia="Songti SC" w:cs="Songti SC"/>
          <w:color w:val="000000"/>
          <w:szCs w:val="21"/>
        </w:rPr>
        <w:t xml:space="preserve"> 投资概算总表</w:t>
      </w:r>
    </w:p>
    <w:p w14:paraId="118EAC3C">
      <w:pPr>
        <w:spacing w:line="240" w:lineRule="auto"/>
        <w:ind w:firstLine="0" w:firstLineChars="0"/>
        <w:jc w:val="right"/>
        <w:rPr>
          <w:rFonts w:hint="eastAsia"/>
          <w:b/>
          <w:bCs/>
          <w:color w:val="000000"/>
          <w:sz w:val="21"/>
          <w:szCs w:val="21"/>
        </w:rPr>
      </w:pPr>
      <w:r>
        <w:rPr>
          <w:rFonts w:hint="eastAsia" w:ascii="Songti SC" w:hAnsi="Songti SC" w:eastAsia="Songti SC" w:cs="Songti SC"/>
          <w:b/>
          <w:bCs/>
          <w:color w:val="000000"/>
          <w:sz w:val="21"/>
          <w:szCs w:val="21"/>
        </w:rPr>
        <w:t>单位：万元</w:t>
      </w:r>
    </w:p>
    <w:tbl>
      <w:tblPr>
        <w:tblStyle w:val="60"/>
        <w:tblW w:w="5000" w:type="pct"/>
        <w:tblInd w:w="0" w:type="dxa"/>
        <w:tblLayout w:type="autofit"/>
        <w:tblCellMar>
          <w:top w:w="0" w:type="dxa"/>
          <w:left w:w="108" w:type="dxa"/>
          <w:bottom w:w="0" w:type="dxa"/>
          <w:right w:w="108" w:type="dxa"/>
        </w:tblCellMar>
      </w:tblPr>
      <w:tblGrid>
        <w:gridCol w:w="961"/>
        <w:gridCol w:w="2966"/>
        <w:gridCol w:w="1602"/>
        <w:gridCol w:w="1311"/>
        <w:gridCol w:w="1682"/>
      </w:tblGrid>
      <w:tr w14:paraId="35D27955">
        <w:trPr>
          <w:trHeight w:val="580" w:hRule="atLeast"/>
        </w:trPr>
        <w:tc>
          <w:tcPr>
            <w:tcW w:w="564" w:type="pct"/>
            <w:tcBorders>
              <w:top w:val="single" w:color="auto" w:sz="4" w:space="0"/>
              <w:left w:val="single" w:color="auto" w:sz="4" w:space="0"/>
              <w:bottom w:val="single" w:color="auto" w:sz="4" w:space="0"/>
              <w:right w:val="single" w:color="auto" w:sz="4" w:space="0"/>
            </w:tcBorders>
            <w:vAlign w:val="center"/>
          </w:tcPr>
          <w:p w14:paraId="29723CEF">
            <w:pPr>
              <w:widowControl/>
              <w:spacing w:line="240" w:lineRule="auto"/>
              <w:ind w:firstLine="0" w:firstLineChars="0"/>
              <w:jc w:val="center"/>
              <w:rPr>
                <w:rFonts w:hint="eastAsia"/>
                <w:b/>
                <w:bCs/>
                <w:color w:val="000000"/>
                <w:kern w:val="0"/>
                <w:sz w:val="21"/>
                <w:szCs w:val="21"/>
              </w:rPr>
            </w:pPr>
            <w:r>
              <w:rPr>
                <w:rFonts w:ascii="Songti SC" w:hAnsi="Songti SC" w:eastAsia="Songti SC" w:cs="Songti SC"/>
                <w:b/>
                <w:color w:val="000000"/>
                <w:sz w:val="21"/>
                <w:szCs w:val="21"/>
              </w:rPr>
              <w:t>序号</w:t>
            </w:r>
          </w:p>
        </w:tc>
        <w:tc>
          <w:tcPr>
            <w:tcW w:w="1740" w:type="pct"/>
            <w:tcBorders>
              <w:top w:val="single" w:color="auto" w:sz="4" w:space="0"/>
              <w:left w:val="nil"/>
              <w:bottom w:val="single" w:color="auto" w:sz="4" w:space="0"/>
              <w:right w:val="single" w:color="auto" w:sz="4" w:space="0"/>
            </w:tcBorders>
            <w:vAlign w:val="center"/>
          </w:tcPr>
          <w:p w14:paraId="1E987894">
            <w:pPr>
              <w:widowControl/>
              <w:spacing w:line="240" w:lineRule="auto"/>
              <w:ind w:firstLine="0" w:firstLineChars="0"/>
              <w:jc w:val="left"/>
              <w:rPr>
                <w:rFonts w:hint="eastAsia"/>
                <w:b/>
                <w:bCs/>
                <w:color w:val="000000"/>
                <w:kern w:val="0"/>
                <w:sz w:val="21"/>
                <w:szCs w:val="21"/>
              </w:rPr>
            </w:pPr>
            <w:r>
              <w:rPr>
                <w:rFonts w:ascii="Songti SC" w:hAnsi="Songti SC" w:eastAsia="Songti SC" w:cs="Songti SC"/>
                <w:b/>
                <w:color w:val="000000"/>
                <w:sz w:val="21"/>
                <w:szCs w:val="21"/>
              </w:rPr>
              <w:t>建设内容</w:t>
            </w:r>
          </w:p>
        </w:tc>
        <w:tc>
          <w:tcPr>
            <w:tcW w:w="940" w:type="pct"/>
            <w:tcBorders>
              <w:top w:val="single" w:color="auto" w:sz="4" w:space="0"/>
              <w:left w:val="nil"/>
              <w:bottom w:val="single" w:color="auto" w:sz="4" w:space="0"/>
              <w:right w:val="single" w:color="auto" w:sz="4" w:space="0"/>
            </w:tcBorders>
            <w:vAlign w:val="center"/>
          </w:tcPr>
          <w:p w14:paraId="5A567621">
            <w:pPr>
              <w:widowControl/>
              <w:spacing w:line="240" w:lineRule="auto"/>
              <w:ind w:firstLine="0" w:firstLineChars="0"/>
              <w:jc w:val="center"/>
              <w:rPr>
                <w:rFonts w:hint="eastAsia"/>
                <w:b/>
                <w:bCs/>
                <w:color w:val="000000"/>
                <w:kern w:val="0"/>
                <w:sz w:val="21"/>
                <w:szCs w:val="21"/>
              </w:rPr>
            </w:pPr>
            <w:r>
              <w:rPr>
                <w:rFonts w:hint="eastAsia" w:ascii="Songti SC" w:hAnsi="Songti SC" w:eastAsia="Songti SC" w:cs="Songti SC"/>
                <w:b/>
                <w:bCs/>
                <w:color w:val="000000"/>
                <w:sz w:val="21"/>
                <w:szCs w:val="21"/>
              </w:rPr>
              <w:t>投资费用</w:t>
            </w:r>
          </w:p>
        </w:tc>
        <w:tc>
          <w:tcPr>
            <w:tcW w:w="769" w:type="pct"/>
            <w:tcBorders>
              <w:top w:val="single" w:color="auto" w:sz="4" w:space="0"/>
              <w:left w:val="nil"/>
              <w:bottom w:val="single" w:color="auto" w:sz="4" w:space="0"/>
              <w:right w:val="single" w:color="auto" w:sz="4" w:space="0"/>
            </w:tcBorders>
            <w:vAlign w:val="center"/>
          </w:tcPr>
          <w:p w14:paraId="41FEC690">
            <w:pPr>
              <w:widowControl/>
              <w:spacing w:line="240" w:lineRule="auto"/>
              <w:ind w:firstLine="0" w:firstLineChars="0"/>
              <w:jc w:val="center"/>
              <w:rPr>
                <w:rFonts w:hint="eastAsia"/>
                <w:b/>
                <w:bCs/>
                <w:color w:val="000000"/>
                <w:kern w:val="0"/>
                <w:sz w:val="21"/>
                <w:szCs w:val="21"/>
              </w:rPr>
            </w:pPr>
            <w:r>
              <w:rPr>
                <w:rFonts w:ascii="Songti SC" w:hAnsi="Songti SC" w:eastAsia="Songti SC" w:cs="Songti SC"/>
                <w:b/>
                <w:color w:val="000000"/>
                <w:sz w:val="21"/>
                <w:szCs w:val="21"/>
              </w:rPr>
              <w:t>所占比例</w:t>
            </w:r>
          </w:p>
        </w:tc>
        <w:tc>
          <w:tcPr>
            <w:tcW w:w="987" w:type="pct"/>
            <w:tcBorders>
              <w:top w:val="single" w:color="auto" w:sz="4" w:space="0"/>
              <w:left w:val="nil"/>
              <w:bottom w:val="single" w:color="auto" w:sz="4" w:space="0"/>
              <w:right w:val="single" w:color="auto" w:sz="4" w:space="0"/>
            </w:tcBorders>
            <w:vAlign w:val="center"/>
          </w:tcPr>
          <w:p w14:paraId="66145A20">
            <w:pPr>
              <w:widowControl/>
              <w:spacing w:line="240" w:lineRule="auto"/>
              <w:ind w:firstLine="0" w:firstLineChars="0"/>
              <w:jc w:val="left"/>
              <w:rPr>
                <w:rFonts w:hint="eastAsia"/>
                <w:b/>
                <w:bCs/>
                <w:color w:val="000000"/>
                <w:kern w:val="0"/>
                <w:sz w:val="21"/>
                <w:szCs w:val="21"/>
              </w:rPr>
            </w:pPr>
            <w:r>
              <w:rPr>
                <w:rFonts w:ascii="Songti SC" w:hAnsi="Songti SC" w:eastAsia="Songti SC" w:cs="Songti SC"/>
                <w:b/>
                <w:color w:val="000000"/>
                <w:sz w:val="21"/>
                <w:szCs w:val="21"/>
              </w:rPr>
              <w:t>备注</w:t>
            </w:r>
          </w:p>
        </w:tc>
      </w:tr>
      <w:tr w14:paraId="69E488AE">
        <w:trPr>
          <w:trHeight w:val="360" w:hRule="atLeast"/>
        </w:trPr>
        <w:tc>
          <w:tcPr>
            <w:tcW w:w="564" w:type="pct"/>
            <w:tcBorders>
              <w:top w:val="nil"/>
              <w:left w:val="single" w:color="auto" w:sz="4" w:space="0"/>
              <w:bottom w:val="single" w:color="auto" w:sz="4" w:space="0"/>
              <w:right w:val="single" w:color="auto" w:sz="4" w:space="0"/>
            </w:tcBorders>
            <w:vAlign w:val="center"/>
          </w:tcPr>
          <w:p w14:paraId="66858772">
            <w:pPr>
              <w:widowControl/>
              <w:spacing w:line="240" w:lineRule="auto"/>
              <w:ind w:firstLine="0" w:firstLineChars="0"/>
              <w:jc w:val="center"/>
              <w:rPr>
                <w:rFonts w:hint="eastAsia"/>
                <w:b/>
                <w:bCs/>
                <w:color w:val="000000"/>
                <w:kern w:val="0"/>
                <w:sz w:val="21"/>
                <w:szCs w:val="21"/>
              </w:rPr>
            </w:pPr>
            <w:r>
              <w:rPr>
                <w:rFonts w:ascii="Songti SC" w:hAnsi="Songti SC" w:eastAsia="Songti SC" w:cs="Songti SC"/>
                <w:b/>
                <w:bCs/>
                <w:color w:val="000000"/>
                <w:sz w:val="21"/>
                <w:szCs w:val="21"/>
              </w:rPr>
              <w:t>一</w:t>
            </w:r>
          </w:p>
        </w:tc>
        <w:tc>
          <w:tcPr>
            <w:tcW w:w="1740" w:type="pct"/>
            <w:tcBorders>
              <w:top w:val="nil"/>
              <w:left w:val="nil"/>
              <w:bottom w:val="single" w:color="auto" w:sz="4" w:space="0"/>
              <w:right w:val="single" w:color="auto" w:sz="4" w:space="0"/>
            </w:tcBorders>
            <w:vAlign w:val="center"/>
          </w:tcPr>
          <w:p w14:paraId="2BAA0AE4">
            <w:pPr>
              <w:widowControl/>
              <w:spacing w:line="240" w:lineRule="auto"/>
              <w:ind w:firstLine="0" w:firstLineChars="0"/>
              <w:jc w:val="left"/>
              <w:rPr>
                <w:rFonts w:hint="eastAsia"/>
                <w:b/>
                <w:bCs/>
                <w:color w:val="000000"/>
                <w:kern w:val="0"/>
                <w:sz w:val="21"/>
                <w:szCs w:val="21"/>
              </w:rPr>
            </w:pPr>
            <w:r>
              <w:rPr>
                <w:rFonts w:ascii="Songti SC" w:hAnsi="Songti SC" w:eastAsia="Songti SC" w:cs="Songti SC"/>
                <w:b/>
                <w:bCs/>
                <w:color w:val="000000"/>
                <w:sz w:val="21"/>
                <w:szCs w:val="21"/>
              </w:rPr>
              <w:t>工程费</w:t>
            </w:r>
          </w:p>
        </w:tc>
        <w:tc>
          <w:tcPr>
            <w:tcW w:w="940" w:type="pct"/>
            <w:tcBorders>
              <w:top w:val="nil"/>
              <w:left w:val="nil"/>
              <w:bottom w:val="single" w:color="auto" w:sz="4" w:space="0"/>
              <w:right w:val="single" w:color="auto" w:sz="4" w:space="0"/>
            </w:tcBorders>
          </w:tcPr>
          <w:p w14:paraId="35708493">
            <w:pPr>
              <w:widowControl/>
              <w:spacing w:line="240" w:lineRule="auto"/>
              <w:ind w:firstLine="0" w:firstLineChars="0"/>
              <w:jc w:val="center"/>
              <w:rPr>
                <w:rFonts w:hint="eastAsia"/>
                <w:b/>
                <w:bCs/>
                <w:color w:val="000000"/>
                <w:kern w:val="0"/>
                <w:sz w:val="21"/>
                <w:szCs w:val="21"/>
              </w:rPr>
            </w:pPr>
            <w:r>
              <w:rPr>
                <w:rFonts w:hint="eastAsia" w:ascii="Songti SC" w:hAnsi="Songti SC" w:eastAsia="Songti SC" w:cs="Songti SC"/>
                <w:color w:val="000000"/>
                <w:sz w:val="21"/>
                <w:szCs w:val="21"/>
              </w:rPr>
              <w:t>87.13</w:t>
            </w:r>
          </w:p>
        </w:tc>
        <w:tc>
          <w:tcPr>
            <w:tcW w:w="769" w:type="pct"/>
            <w:tcBorders>
              <w:top w:val="nil"/>
              <w:left w:val="nil"/>
              <w:bottom w:val="single" w:color="auto" w:sz="4" w:space="0"/>
              <w:right w:val="single" w:color="auto" w:sz="4" w:space="0"/>
            </w:tcBorders>
          </w:tcPr>
          <w:p w14:paraId="389ADAA3">
            <w:pPr>
              <w:widowControl/>
              <w:spacing w:line="240" w:lineRule="auto"/>
              <w:ind w:firstLine="0" w:firstLineChars="0"/>
              <w:jc w:val="center"/>
              <w:rPr>
                <w:rFonts w:hint="eastAsia"/>
                <w:b/>
                <w:bCs/>
                <w:color w:val="000000"/>
                <w:kern w:val="0"/>
                <w:sz w:val="21"/>
                <w:szCs w:val="21"/>
              </w:rPr>
            </w:pPr>
            <w:r>
              <w:rPr>
                <w:rFonts w:hint="eastAsia" w:ascii="Songti SC" w:hAnsi="Songti SC" w:eastAsia="Songti SC" w:cs="Songti SC"/>
                <w:color w:val="000000"/>
                <w:sz w:val="21"/>
                <w:szCs w:val="21"/>
              </w:rPr>
              <w:t>82.1%</w:t>
            </w:r>
          </w:p>
        </w:tc>
        <w:tc>
          <w:tcPr>
            <w:tcW w:w="987" w:type="pct"/>
            <w:tcBorders>
              <w:top w:val="nil"/>
              <w:left w:val="nil"/>
              <w:bottom w:val="single" w:color="auto" w:sz="4" w:space="0"/>
              <w:right w:val="single" w:color="auto" w:sz="4" w:space="0"/>
            </w:tcBorders>
            <w:vAlign w:val="center"/>
          </w:tcPr>
          <w:p w14:paraId="27C273E3">
            <w:pPr>
              <w:widowControl/>
              <w:spacing w:line="240" w:lineRule="auto"/>
              <w:ind w:firstLine="0" w:firstLineChars="0"/>
              <w:jc w:val="left"/>
              <w:rPr>
                <w:rFonts w:hint="eastAsia"/>
                <w:b/>
                <w:bCs/>
                <w:color w:val="000000"/>
                <w:kern w:val="0"/>
                <w:sz w:val="21"/>
                <w:szCs w:val="21"/>
              </w:rPr>
            </w:pPr>
          </w:p>
        </w:tc>
      </w:tr>
      <w:tr w14:paraId="4F256FBF">
        <w:trPr>
          <w:trHeight w:val="360" w:hRule="atLeast"/>
        </w:trPr>
        <w:tc>
          <w:tcPr>
            <w:tcW w:w="564" w:type="pct"/>
            <w:tcBorders>
              <w:top w:val="nil"/>
              <w:left w:val="single" w:color="auto" w:sz="4" w:space="0"/>
              <w:bottom w:val="single" w:color="auto" w:sz="4" w:space="0"/>
              <w:right w:val="single" w:color="auto" w:sz="4" w:space="0"/>
            </w:tcBorders>
            <w:vAlign w:val="center"/>
          </w:tcPr>
          <w:p w14:paraId="42F19D8C">
            <w:pPr>
              <w:widowControl/>
              <w:spacing w:line="240" w:lineRule="auto"/>
              <w:ind w:firstLine="0" w:firstLineChars="0"/>
              <w:jc w:val="center"/>
              <w:rPr>
                <w:rFonts w:hint="eastAsia"/>
                <w:color w:val="000000"/>
                <w:kern w:val="0"/>
                <w:sz w:val="21"/>
                <w:szCs w:val="21"/>
              </w:rPr>
            </w:pPr>
            <w:r>
              <w:rPr>
                <w:rFonts w:ascii="Songti SC" w:hAnsi="Songti SC" w:eastAsia="Songti SC" w:cs="Songti SC"/>
                <w:color w:val="000000"/>
                <w:sz w:val="21"/>
                <w:szCs w:val="21"/>
              </w:rPr>
              <w:t>1</w:t>
            </w:r>
          </w:p>
        </w:tc>
        <w:tc>
          <w:tcPr>
            <w:tcW w:w="1740" w:type="pct"/>
            <w:tcBorders>
              <w:top w:val="nil"/>
              <w:left w:val="nil"/>
              <w:bottom w:val="single" w:color="auto" w:sz="4" w:space="0"/>
              <w:right w:val="single" w:color="auto" w:sz="4" w:space="0"/>
            </w:tcBorders>
            <w:vAlign w:val="center"/>
          </w:tcPr>
          <w:p w14:paraId="4A35E69D">
            <w:pPr>
              <w:widowControl/>
              <w:spacing w:line="240" w:lineRule="auto"/>
              <w:ind w:firstLine="0" w:firstLineChars="0"/>
              <w:jc w:val="left"/>
              <w:rPr>
                <w:rFonts w:hint="eastAsia"/>
                <w:color w:val="000000"/>
                <w:kern w:val="0"/>
                <w:sz w:val="21"/>
                <w:szCs w:val="21"/>
              </w:rPr>
            </w:pPr>
            <w:r>
              <w:rPr>
                <w:rFonts w:ascii="Songti SC" w:hAnsi="Songti SC" w:eastAsia="Songti SC" w:cs="Songti SC"/>
                <w:color w:val="000000"/>
                <w:sz w:val="21"/>
                <w:szCs w:val="21"/>
              </w:rPr>
              <w:t>系统适配升级</w:t>
            </w:r>
          </w:p>
        </w:tc>
        <w:tc>
          <w:tcPr>
            <w:tcW w:w="940" w:type="pct"/>
            <w:tcBorders>
              <w:top w:val="nil"/>
              <w:left w:val="nil"/>
              <w:bottom w:val="single" w:color="auto" w:sz="4" w:space="0"/>
              <w:right w:val="single" w:color="auto" w:sz="4" w:space="0"/>
            </w:tcBorders>
            <w:noWrap/>
          </w:tcPr>
          <w:p w14:paraId="10DCFE50">
            <w:pPr>
              <w:widowControl/>
              <w:spacing w:line="240" w:lineRule="auto"/>
              <w:ind w:firstLine="0" w:firstLineChars="0"/>
              <w:jc w:val="center"/>
              <w:rPr>
                <w:rFonts w:hint="eastAsia"/>
                <w:color w:val="000000"/>
                <w:kern w:val="0"/>
                <w:sz w:val="21"/>
                <w:szCs w:val="21"/>
              </w:rPr>
            </w:pPr>
            <w:r>
              <w:rPr>
                <w:rFonts w:hint="eastAsia" w:ascii="Songti SC" w:hAnsi="Songti SC" w:eastAsia="Songti SC" w:cs="Songti SC"/>
                <w:color w:val="000000"/>
                <w:sz w:val="21"/>
                <w:szCs w:val="21"/>
              </w:rPr>
              <w:t>67.63</w:t>
            </w:r>
          </w:p>
        </w:tc>
        <w:tc>
          <w:tcPr>
            <w:tcW w:w="769" w:type="pct"/>
            <w:tcBorders>
              <w:top w:val="nil"/>
              <w:left w:val="nil"/>
              <w:bottom w:val="single" w:color="auto" w:sz="4" w:space="0"/>
              <w:right w:val="single" w:color="auto" w:sz="4" w:space="0"/>
            </w:tcBorders>
          </w:tcPr>
          <w:p w14:paraId="0914FE69">
            <w:pPr>
              <w:widowControl/>
              <w:spacing w:line="240" w:lineRule="auto"/>
              <w:ind w:firstLine="0" w:firstLineChars="0"/>
              <w:jc w:val="center"/>
              <w:rPr>
                <w:rFonts w:hint="eastAsia"/>
                <w:color w:val="000000"/>
                <w:kern w:val="0"/>
                <w:sz w:val="21"/>
                <w:szCs w:val="21"/>
              </w:rPr>
            </w:pPr>
            <w:r>
              <w:rPr>
                <w:rFonts w:hint="eastAsia" w:ascii="Songti SC" w:hAnsi="Songti SC" w:eastAsia="Songti SC" w:cs="Songti SC"/>
                <w:color w:val="000000"/>
                <w:sz w:val="21"/>
                <w:szCs w:val="21"/>
              </w:rPr>
              <w:t>63.72%</w:t>
            </w:r>
          </w:p>
        </w:tc>
        <w:tc>
          <w:tcPr>
            <w:tcW w:w="987" w:type="pct"/>
            <w:tcBorders>
              <w:top w:val="nil"/>
              <w:left w:val="nil"/>
              <w:bottom w:val="single" w:color="auto" w:sz="4" w:space="0"/>
              <w:right w:val="single" w:color="auto" w:sz="4" w:space="0"/>
            </w:tcBorders>
            <w:vAlign w:val="center"/>
          </w:tcPr>
          <w:p w14:paraId="0570B03B">
            <w:pPr>
              <w:widowControl/>
              <w:spacing w:line="240" w:lineRule="auto"/>
              <w:ind w:firstLine="0" w:firstLineChars="0"/>
              <w:jc w:val="left"/>
              <w:rPr>
                <w:rFonts w:hint="eastAsia"/>
                <w:color w:val="000000"/>
                <w:kern w:val="0"/>
                <w:sz w:val="21"/>
                <w:szCs w:val="21"/>
              </w:rPr>
            </w:pPr>
          </w:p>
        </w:tc>
      </w:tr>
      <w:tr w14:paraId="4035C487">
        <w:trPr>
          <w:trHeight w:val="360" w:hRule="atLeast"/>
        </w:trPr>
        <w:tc>
          <w:tcPr>
            <w:tcW w:w="564" w:type="pct"/>
            <w:tcBorders>
              <w:top w:val="nil"/>
              <w:left w:val="single" w:color="auto" w:sz="4" w:space="0"/>
              <w:bottom w:val="single" w:color="auto" w:sz="4" w:space="0"/>
              <w:right w:val="single" w:color="auto" w:sz="4" w:space="0"/>
            </w:tcBorders>
            <w:vAlign w:val="center"/>
          </w:tcPr>
          <w:p w14:paraId="5ADE57C2">
            <w:pPr>
              <w:widowControl/>
              <w:spacing w:line="240" w:lineRule="auto"/>
              <w:ind w:firstLine="0" w:firstLineChars="0"/>
              <w:jc w:val="center"/>
              <w:rPr>
                <w:rFonts w:hint="eastAsia"/>
                <w:b/>
                <w:bCs/>
                <w:color w:val="000000"/>
                <w:kern w:val="0"/>
                <w:sz w:val="21"/>
                <w:szCs w:val="21"/>
              </w:rPr>
            </w:pPr>
            <w:r>
              <w:rPr>
                <w:rFonts w:ascii="Songti SC" w:hAnsi="Songti SC" w:eastAsia="Songti SC" w:cs="Songti SC"/>
                <w:color w:val="000000"/>
                <w:sz w:val="21"/>
                <w:szCs w:val="21"/>
              </w:rPr>
              <w:t>1</w:t>
            </w:r>
          </w:p>
        </w:tc>
        <w:tc>
          <w:tcPr>
            <w:tcW w:w="1740" w:type="pct"/>
            <w:tcBorders>
              <w:top w:val="nil"/>
              <w:left w:val="nil"/>
              <w:bottom w:val="single" w:color="auto" w:sz="4" w:space="0"/>
              <w:right w:val="single" w:color="auto" w:sz="4" w:space="0"/>
            </w:tcBorders>
            <w:vAlign w:val="center"/>
          </w:tcPr>
          <w:p w14:paraId="1ED9897E">
            <w:pPr>
              <w:widowControl/>
              <w:spacing w:line="240" w:lineRule="auto"/>
              <w:ind w:firstLine="0" w:firstLineChars="0"/>
              <w:jc w:val="left"/>
              <w:rPr>
                <w:rFonts w:hint="eastAsia"/>
                <w:b/>
                <w:bCs/>
                <w:color w:val="000000"/>
                <w:kern w:val="0"/>
                <w:sz w:val="21"/>
                <w:szCs w:val="21"/>
              </w:rPr>
            </w:pPr>
            <w:r>
              <w:rPr>
                <w:rFonts w:ascii="Songti SC" w:hAnsi="Songti SC" w:eastAsia="Songti SC" w:cs="Songti SC"/>
                <w:color w:val="000000"/>
                <w:sz w:val="21"/>
                <w:szCs w:val="21"/>
              </w:rPr>
              <w:t>基础软件购置</w:t>
            </w:r>
          </w:p>
        </w:tc>
        <w:tc>
          <w:tcPr>
            <w:tcW w:w="940" w:type="pct"/>
            <w:tcBorders>
              <w:top w:val="nil"/>
              <w:left w:val="nil"/>
              <w:bottom w:val="single" w:color="auto" w:sz="4" w:space="0"/>
              <w:right w:val="single" w:color="auto" w:sz="4" w:space="0"/>
            </w:tcBorders>
            <w:noWrap/>
          </w:tcPr>
          <w:p w14:paraId="1A7C5C5A">
            <w:pPr>
              <w:widowControl/>
              <w:spacing w:line="240" w:lineRule="auto"/>
              <w:ind w:firstLine="0" w:firstLineChars="0"/>
              <w:jc w:val="center"/>
              <w:rPr>
                <w:rFonts w:hint="eastAsia"/>
                <w:b/>
                <w:bCs/>
                <w:color w:val="000000"/>
                <w:kern w:val="0"/>
                <w:sz w:val="21"/>
                <w:szCs w:val="21"/>
              </w:rPr>
            </w:pPr>
            <w:r>
              <w:rPr>
                <w:rFonts w:hint="eastAsia" w:ascii="Songti SC" w:hAnsi="Songti SC" w:eastAsia="Songti SC" w:cs="Songti SC"/>
                <w:color w:val="000000"/>
                <w:sz w:val="21"/>
                <w:szCs w:val="21"/>
              </w:rPr>
              <w:t>19.5</w:t>
            </w:r>
          </w:p>
        </w:tc>
        <w:tc>
          <w:tcPr>
            <w:tcW w:w="769" w:type="pct"/>
            <w:tcBorders>
              <w:top w:val="nil"/>
              <w:left w:val="nil"/>
              <w:bottom w:val="single" w:color="auto" w:sz="4" w:space="0"/>
              <w:right w:val="single" w:color="auto" w:sz="4" w:space="0"/>
            </w:tcBorders>
          </w:tcPr>
          <w:p w14:paraId="2FEF974D">
            <w:pPr>
              <w:widowControl/>
              <w:spacing w:line="240" w:lineRule="auto"/>
              <w:ind w:firstLine="0" w:firstLineChars="0"/>
              <w:jc w:val="center"/>
              <w:rPr>
                <w:rFonts w:hint="eastAsia"/>
                <w:b/>
                <w:bCs/>
                <w:color w:val="000000"/>
                <w:kern w:val="0"/>
                <w:sz w:val="21"/>
                <w:szCs w:val="21"/>
              </w:rPr>
            </w:pPr>
            <w:r>
              <w:rPr>
                <w:rFonts w:hint="eastAsia" w:ascii="Songti SC" w:hAnsi="Songti SC" w:eastAsia="Songti SC" w:cs="Songti SC"/>
                <w:color w:val="000000"/>
                <w:sz w:val="21"/>
                <w:szCs w:val="21"/>
              </w:rPr>
              <w:t>18.37%</w:t>
            </w:r>
          </w:p>
        </w:tc>
        <w:tc>
          <w:tcPr>
            <w:tcW w:w="987" w:type="pct"/>
            <w:tcBorders>
              <w:top w:val="nil"/>
              <w:left w:val="nil"/>
              <w:bottom w:val="single" w:color="auto" w:sz="4" w:space="0"/>
              <w:right w:val="single" w:color="auto" w:sz="4" w:space="0"/>
            </w:tcBorders>
            <w:vAlign w:val="center"/>
          </w:tcPr>
          <w:p w14:paraId="158C3E11">
            <w:pPr>
              <w:widowControl/>
              <w:spacing w:line="240" w:lineRule="auto"/>
              <w:ind w:firstLine="0" w:firstLineChars="0"/>
              <w:jc w:val="left"/>
              <w:rPr>
                <w:rFonts w:hint="eastAsia"/>
                <w:color w:val="000000"/>
                <w:kern w:val="0"/>
                <w:sz w:val="21"/>
                <w:szCs w:val="21"/>
              </w:rPr>
            </w:pPr>
          </w:p>
        </w:tc>
      </w:tr>
      <w:tr w14:paraId="2F36C350">
        <w:trPr>
          <w:trHeight w:val="381" w:hRule="atLeast"/>
        </w:trPr>
        <w:tc>
          <w:tcPr>
            <w:tcW w:w="564" w:type="pct"/>
            <w:tcBorders>
              <w:top w:val="nil"/>
              <w:left w:val="single" w:color="auto" w:sz="4" w:space="0"/>
              <w:bottom w:val="single" w:color="auto" w:sz="4" w:space="0"/>
              <w:right w:val="single" w:color="auto" w:sz="4" w:space="0"/>
            </w:tcBorders>
            <w:vAlign w:val="center"/>
          </w:tcPr>
          <w:p w14:paraId="69C14B47">
            <w:pPr>
              <w:widowControl/>
              <w:spacing w:line="240" w:lineRule="auto"/>
              <w:ind w:firstLine="0" w:firstLineChars="0"/>
              <w:jc w:val="center"/>
              <w:rPr>
                <w:rFonts w:hint="eastAsia"/>
                <w:b/>
                <w:bCs/>
                <w:color w:val="000000"/>
                <w:kern w:val="0"/>
                <w:sz w:val="21"/>
                <w:szCs w:val="21"/>
              </w:rPr>
            </w:pPr>
            <w:r>
              <w:rPr>
                <w:rFonts w:ascii="Songti SC" w:hAnsi="Songti SC" w:eastAsia="Songti SC" w:cs="Songti SC"/>
                <w:b/>
                <w:color w:val="000000"/>
                <w:sz w:val="21"/>
                <w:szCs w:val="21"/>
              </w:rPr>
              <w:t>二</w:t>
            </w:r>
          </w:p>
        </w:tc>
        <w:tc>
          <w:tcPr>
            <w:tcW w:w="1740" w:type="pct"/>
            <w:tcBorders>
              <w:top w:val="nil"/>
              <w:left w:val="nil"/>
              <w:bottom w:val="single" w:color="auto" w:sz="4" w:space="0"/>
              <w:right w:val="single" w:color="auto" w:sz="4" w:space="0"/>
            </w:tcBorders>
            <w:vAlign w:val="center"/>
          </w:tcPr>
          <w:p w14:paraId="3771D3A3">
            <w:pPr>
              <w:widowControl/>
              <w:spacing w:line="240" w:lineRule="auto"/>
              <w:ind w:firstLine="0" w:firstLineChars="0"/>
              <w:jc w:val="left"/>
              <w:rPr>
                <w:rFonts w:hint="eastAsia"/>
                <w:b/>
                <w:bCs/>
                <w:color w:val="000000"/>
                <w:kern w:val="0"/>
                <w:sz w:val="21"/>
                <w:szCs w:val="21"/>
              </w:rPr>
            </w:pPr>
            <w:r>
              <w:rPr>
                <w:rFonts w:ascii="Songti SC" w:hAnsi="Songti SC" w:eastAsia="Songti SC" w:cs="Songti SC"/>
                <w:b/>
                <w:color w:val="000000"/>
                <w:sz w:val="21"/>
                <w:szCs w:val="21"/>
              </w:rPr>
              <w:t>工程建设其它费</w:t>
            </w:r>
          </w:p>
        </w:tc>
        <w:tc>
          <w:tcPr>
            <w:tcW w:w="940" w:type="pct"/>
            <w:tcBorders>
              <w:top w:val="nil"/>
              <w:left w:val="nil"/>
              <w:bottom w:val="single" w:color="auto" w:sz="4" w:space="0"/>
              <w:right w:val="single" w:color="auto" w:sz="4" w:space="0"/>
            </w:tcBorders>
          </w:tcPr>
          <w:p w14:paraId="24D0DCD3">
            <w:pPr>
              <w:widowControl/>
              <w:spacing w:line="240" w:lineRule="auto"/>
              <w:ind w:firstLine="0" w:firstLineChars="0"/>
              <w:jc w:val="center"/>
              <w:rPr>
                <w:rFonts w:hint="eastAsia"/>
                <w:b/>
                <w:bCs/>
                <w:color w:val="000000"/>
                <w:kern w:val="0"/>
                <w:sz w:val="21"/>
                <w:szCs w:val="21"/>
              </w:rPr>
            </w:pPr>
            <w:r>
              <w:rPr>
                <w:rFonts w:hint="eastAsia" w:ascii="Songti SC" w:hAnsi="Songti SC" w:eastAsia="Songti SC" w:cs="Songti SC"/>
                <w:color w:val="000000"/>
                <w:sz w:val="21"/>
                <w:szCs w:val="21"/>
              </w:rPr>
              <w:t xml:space="preserve">19 </w:t>
            </w:r>
          </w:p>
        </w:tc>
        <w:tc>
          <w:tcPr>
            <w:tcW w:w="769" w:type="pct"/>
            <w:tcBorders>
              <w:top w:val="nil"/>
              <w:left w:val="nil"/>
              <w:bottom w:val="single" w:color="auto" w:sz="4" w:space="0"/>
              <w:right w:val="single" w:color="auto" w:sz="4" w:space="0"/>
            </w:tcBorders>
          </w:tcPr>
          <w:p w14:paraId="7BB43E80">
            <w:pPr>
              <w:widowControl/>
              <w:spacing w:line="240" w:lineRule="auto"/>
              <w:ind w:firstLine="0" w:firstLineChars="0"/>
              <w:jc w:val="center"/>
              <w:rPr>
                <w:rFonts w:hint="eastAsia"/>
                <w:b/>
                <w:bCs/>
                <w:color w:val="000000"/>
                <w:kern w:val="0"/>
                <w:sz w:val="21"/>
                <w:szCs w:val="21"/>
              </w:rPr>
            </w:pPr>
            <w:r>
              <w:rPr>
                <w:rFonts w:hint="eastAsia" w:ascii="Songti SC" w:hAnsi="Songti SC" w:eastAsia="Songti SC" w:cs="Songti SC"/>
                <w:color w:val="000000"/>
                <w:sz w:val="21"/>
                <w:szCs w:val="21"/>
              </w:rPr>
              <w:t>17.9%</w:t>
            </w:r>
          </w:p>
        </w:tc>
        <w:tc>
          <w:tcPr>
            <w:tcW w:w="987" w:type="pct"/>
            <w:tcBorders>
              <w:top w:val="nil"/>
              <w:left w:val="nil"/>
              <w:bottom w:val="single" w:color="auto" w:sz="4" w:space="0"/>
              <w:right w:val="single" w:color="auto" w:sz="4" w:space="0"/>
            </w:tcBorders>
            <w:vAlign w:val="center"/>
          </w:tcPr>
          <w:p w14:paraId="4CCEA903">
            <w:pPr>
              <w:widowControl/>
              <w:spacing w:line="240" w:lineRule="auto"/>
              <w:ind w:firstLine="0" w:firstLineChars="0"/>
              <w:jc w:val="left"/>
              <w:rPr>
                <w:rFonts w:hint="eastAsia"/>
                <w:color w:val="000000"/>
                <w:kern w:val="0"/>
                <w:sz w:val="21"/>
                <w:szCs w:val="21"/>
              </w:rPr>
            </w:pPr>
          </w:p>
        </w:tc>
      </w:tr>
      <w:tr w14:paraId="5C2FEC52">
        <w:trPr>
          <w:trHeight w:val="360" w:hRule="atLeast"/>
        </w:trPr>
        <w:tc>
          <w:tcPr>
            <w:tcW w:w="564" w:type="pct"/>
            <w:tcBorders>
              <w:top w:val="nil"/>
              <w:left w:val="single" w:color="auto" w:sz="4" w:space="0"/>
              <w:bottom w:val="single" w:color="auto" w:sz="4" w:space="0"/>
              <w:right w:val="single" w:color="auto" w:sz="4" w:space="0"/>
            </w:tcBorders>
            <w:vAlign w:val="center"/>
          </w:tcPr>
          <w:p w14:paraId="62EFAB21">
            <w:pPr>
              <w:widowControl/>
              <w:spacing w:line="240" w:lineRule="auto"/>
              <w:ind w:firstLine="0" w:firstLineChars="0"/>
              <w:jc w:val="center"/>
              <w:rPr>
                <w:rFonts w:hint="eastAsia"/>
                <w:color w:val="000000"/>
                <w:kern w:val="0"/>
                <w:sz w:val="21"/>
                <w:szCs w:val="21"/>
              </w:rPr>
            </w:pPr>
            <w:r>
              <w:rPr>
                <w:rFonts w:ascii="Songti SC" w:hAnsi="Songti SC" w:eastAsia="Songti SC" w:cs="Songti SC"/>
                <w:color w:val="000000"/>
                <w:sz w:val="21"/>
                <w:szCs w:val="21"/>
              </w:rPr>
              <w:t>1</w:t>
            </w:r>
          </w:p>
        </w:tc>
        <w:tc>
          <w:tcPr>
            <w:tcW w:w="1740" w:type="pct"/>
            <w:tcBorders>
              <w:top w:val="nil"/>
              <w:left w:val="nil"/>
              <w:bottom w:val="single" w:color="auto" w:sz="4" w:space="0"/>
              <w:right w:val="single" w:color="auto" w:sz="4" w:space="0"/>
            </w:tcBorders>
            <w:vAlign w:val="center"/>
          </w:tcPr>
          <w:p w14:paraId="1F84ED61">
            <w:pPr>
              <w:widowControl/>
              <w:spacing w:line="240" w:lineRule="auto"/>
              <w:ind w:firstLine="0" w:firstLineChars="0"/>
              <w:jc w:val="left"/>
              <w:rPr>
                <w:rFonts w:hint="eastAsia"/>
                <w:color w:val="000000"/>
                <w:kern w:val="0"/>
                <w:sz w:val="21"/>
                <w:szCs w:val="21"/>
              </w:rPr>
            </w:pPr>
            <w:r>
              <w:rPr>
                <w:rFonts w:ascii="Songti SC" w:hAnsi="Songti SC" w:eastAsia="Songti SC" w:cs="Songti SC"/>
                <w:color w:val="000000"/>
                <w:sz w:val="21"/>
                <w:szCs w:val="21"/>
              </w:rPr>
              <w:t>信息安全等保测评费</w:t>
            </w:r>
          </w:p>
        </w:tc>
        <w:tc>
          <w:tcPr>
            <w:tcW w:w="940" w:type="pct"/>
            <w:tcBorders>
              <w:top w:val="nil"/>
              <w:left w:val="nil"/>
              <w:bottom w:val="single" w:color="auto" w:sz="4" w:space="0"/>
              <w:right w:val="single" w:color="auto" w:sz="4" w:space="0"/>
            </w:tcBorders>
          </w:tcPr>
          <w:p w14:paraId="4993544A">
            <w:pPr>
              <w:widowControl/>
              <w:spacing w:line="240" w:lineRule="auto"/>
              <w:ind w:firstLine="0" w:firstLineChars="0"/>
              <w:jc w:val="center"/>
              <w:rPr>
                <w:rFonts w:hint="eastAsia"/>
                <w:color w:val="000000"/>
                <w:kern w:val="0"/>
                <w:sz w:val="21"/>
                <w:szCs w:val="21"/>
              </w:rPr>
            </w:pPr>
            <w:r>
              <w:rPr>
                <w:rFonts w:hint="eastAsia" w:ascii="Songti SC" w:hAnsi="Songti SC" w:eastAsia="Songti SC" w:cs="Songti SC"/>
                <w:color w:val="000000"/>
                <w:sz w:val="21"/>
                <w:szCs w:val="21"/>
              </w:rPr>
              <w:t>8</w:t>
            </w:r>
          </w:p>
        </w:tc>
        <w:tc>
          <w:tcPr>
            <w:tcW w:w="769" w:type="pct"/>
            <w:tcBorders>
              <w:top w:val="nil"/>
              <w:left w:val="nil"/>
              <w:bottom w:val="single" w:color="auto" w:sz="4" w:space="0"/>
              <w:right w:val="single" w:color="auto" w:sz="4" w:space="0"/>
            </w:tcBorders>
          </w:tcPr>
          <w:p w14:paraId="3415819C">
            <w:pPr>
              <w:widowControl/>
              <w:spacing w:line="240" w:lineRule="auto"/>
              <w:ind w:firstLine="0" w:firstLineChars="0"/>
              <w:jc w:val="center"/>
              <w:rPr>
                <w:rFonts w:hint="eastAsia"/>
                <w:b/>
                <w:bCs/>
                <w:color w:val="000000"/>
                <w:kern w:val="0"/>
                <w:sz w:val="21"/>
                <w:szCs w:val="21"/>
              </w:rPr>
            </w:pPr>
            <w:r>
              <w:rPr>
                <w:rFonts w:hint="eastAsia" w:ascii="Songti SC" w:hAnsi="Songti SC" w:eastAsia="Songti SC" w:cs="Songti SC"/>
                <w:color w:val="000000"/>
                <w:sz w:val="21"/>
                <w:szCs w:val="21"/>
              </w:rPr>
              <w:t>7.54%</w:t>
            </w:r>
          </w:p>
        </w:tc>
        <w:tc>
          <w:tcPr>
            <w:tcW w:w="987" w:type="pct"/>
            <w:tcBorders>
              <w:top w:val="nil"/>
              <w:left w:val="nil"/>
              <w:bottom w:val="single" w:color="auto" w:sz="4" w:space="0"/>
              <w:right w:val="single" w:color="auto" w:sz="4" w:space="0"/>
            </w:tcBorders>
            <w:vAlign w:val="center"/>
          </w:tcPr>
          <w:p w14:paraId="381A18A3">
            <w:pPr>
              <w:widowControl/>
              <w:spacing w:line="240" w:lineRule="auto"/>
              <w:ind w:firstLine="0" w:firstLineChars="0"/>
              <w:jc w:val="left"/>
              <w:rPr>
                <w:rFonts w:hint="eastAsia"/>
                <w:color w:val="000000"/>
                <w:kern w:val="0"/>
                <w:sz w:val="21"/>
                <w:szCs w:val="21"/>
              </w:rPr>
            </w:pPr>
          </w:p>
        </w:tc>
      </w:tr>
      <w:tr w14:paraId="23C0AA00">
        <w:trPr>
          <w:trHeight w:val="360" w:hRule="atLeast"/>
        </w:trPr>
        <w:tc>
          <w:tcPr>
            <w:tcW w:w="564" w:type="pct"/>
            <w:tcBorders>
              <w:top w:val="nil"/>
              <w:left w:val="single" w:color="auto" w:sz="4" w:space="0"/>
              <w:bottom w:val="single" w:color="auto" w:sz="4" w:space="0"/>
              <w:right w:val="single" w:color="auto" w:sz="4" w:space="0"/>
            </w:tcBorders>
            <w:vAlign w:val="center"/>
          </w:tcPr>
          <w:p w14:paraId="3589EE17">
            <w:pPr>
              <w:widowControl/>
              <w:spacing w:line="240" w:lineRule="auto"/>
              <w:ind w:firstLine="0" w:firstLineChars="0"/>
              <w:jc w:val="center"/>
              <w:rPr>
                <w:rFonts w:hint="eastAsia"/>
                <w:color w:val="000000"/>
                <w:kern w:val="0"/>
                <w:sz w:val="21"/>
                <w:szCs w:val="21"/>
              </w:rPr>
            </w:pPr>
            <w:r>
              <w:rPr>
                <w:rFonts w:ascii="Songti SC" w:hAnsi="Songti SC" w:eastAsia="Songti SC" w:cs="Songti SC"/>
                <w:color w:val="000000"/>
                <w:sz w:val="21"/>
                <w:szCs w:val="21"/>
              </w:rPr>
              <w:t>2</w:t>
            </w:r>
          </w:p>
        </w:tc>
        <w:tc>
          <w:tcPr>
            <w:tcW w:w="1740" w:type="pct"/>
            <w:tcBorders>
              <w:top w:val="nil"/>
              <w:left w:val="nil"/>
              <w:bottom w:val="single" w:color="auto" w:sz="4" w:space="0"/>
              <w:right w:val="single" w:color="auto" w:sz="4" w:space="0"/>
            </w:tcBorders>
            <w:vAlign w:val="center"/>
          </w:tcPr>
          <w:p w14:paraId="077FBC34">
            <w:pPr>
              <w:widowControl/>
              <w:spacing w:line="240" w:lineRule="auto"/>
              <w:ind w:firstLine="0" w:firstLineChars="0"/>
              <w:jc w:val="left"/>
              <w:rPr>
                <w:rFonts w:hint="eastAsia"/>
                <w:color w:val="000000"/>
                <w:kern w:val="0"/>
                <w:sz w:val="21"/>
                <w:szCs w:val="21"/>
              </w:rPr>
            </w:pPr>
            <w:r>
              <w:rPr>
                <w:rFonts w:ascii="Songti SC" w:hAnsi="Songti SC" w:eastAsia="Songti SC" w:cs="Songti SC"/>
                <w:color w:val="000000"/>
                <w:sz w:val="21"/>
                <w:szCs w:val="21"/>
              </w:rPr>
              <w:t>商用密码评估服务费</w:t>
            </w:r>
          </w:p>
        </w:tc>
        <w:tc>
          <w:tcPr>
            <w:tcW w:w="940" w:type="pct"/>
            <w:tcBorders>
              <w:top w:val="nil"/>
              <w:left w:val="nil"/>
              <w:bottom w:val="single" w:color="auto" w:sz="4" w:space="0"/>
              <w:right w:val="single" w:color="auto" w:sz="4" w:space="0"/>
            </w:tcBorders>
          </w:tcPr>
          <w:p w14:paraId="4A63D42F">
            <w:pPr>
              <w:widowControl/>
              <w:spacing w:line="240" w:lineRule="auto"/>
              <w:ind w:firstLine="0" w:firstLineChars="0"/>
              <w:jc w:val="center"/>
              <w:rPr>
                <w:rFonts w:hint="eastAsia"/>
                <w:color w:val="000000"/>
                <w:kern w:val="0"/>
                <w:sz w:val="21"/>
                <w:szCs w:val="21"/>
              </w:rPr>
            </w:pPr>
            <w:r>
              <w:rPr>
                <w:rFonts w:hint="eastAsia" w:ascii="Songti SC" w:hAnsi="Songti SC" w:eastAsia="Songti SC" w:cs="Songti SC"/>
                <w:color w:val="000000"/>
                <w:sz w:val="21"/>
                <w:szCs w:val="21"/>
              </w:rPr>
              <w:t>11</w:t>
            </w:r>
          </w:p>
        </w:tc>
        <w:tc>
          <w:tcPr>
            <w:tcW w:w="769" w:type="pct"/>
            <w:tcBorders>
              <w:top w:val="nil"/>
              <w:left w:val="nil"/>
              <w:bottom w:val="single" w:color="auto" w:sz="4" w:space="0"/>
              <w:right w:val="single" w:color="auto" w:sz="4" w:space="0"/>
            </w:tcBorders>
          </w:tcPr>
          <w:p w14:paraId="72CFD8E0">
            <w:pPr>
              <w:widowControl/>
              <w:spacing w:line="240" w:lineRule="auto"/>
              <w:ind w:firstLine="0" w:firstLineChars="0"/>
              <w:jc w:val="center"/>
              <w:rPr>
                <w:rFonts w:hint="eastAsia"/>
                <w:b/>
                <w:bCs/>
                <w:color w:val="000000"/>
                <w:sz w:val="21"/>
                <w:szCs w:val="21"/>
              </w:rPr>
            </w:pPr>
            <w:r>
              <w:rPr>
                <w:rFonts w:hint="eastAsia" w:ascii="Songti SC" w:hAnsi="Songti SC" w:eastAsia="Songti SC" w:cs="Songti SC"/>
                <w:color w:val="000000"/>
                <w:sz w:val="21"/>
                <w:szCs w:val="21"/>
              </w:rPr>
              <w:t>10.36%</w:t>
            </w:r>
          </w:p>
        </w:tc>
        <w:tc>
          <w:tcPr>
            <w:tcW w:w="987" w:type="pct"/>
            <w:tcBorders>
              <w:top w:val="nil"/>
              <w:left w:val="nil"/>
              <w:bottom w:val="single" w:color="auto" w:sz="4" w:space="0"/>
              <w:right w:val="single" w:color="auto" w:sz="4" w:space="0"/>
            </w:tcBorders>
            <w:vAlign w:val="center"/>
          </w:tcPr>
          <w:p w14:paraId="2AC0065B">
            <w:pPr>
              <w:widowControl/>
              <w:spacing w:line="240" w:lineRule="auto"/>
              <w:ind w:firstLine="0" w:firstLineChars="0"/>
              <w:jc w:val="left"/>
              <w:rPr>
                <w:rFonts w:hint="eastAsia"/>
                <w:color w:val="000000"/>
                <w:kern w:val="0"/>
                <w:sz w:val="21"/>
                <w:szCs w:val="21"/>
              </w:rPr>
            </w:pPr>
          </w:p>
        </w:tc>
      </w:tr>
      <w:tr w14:paraId="010396DB">
        <w:trPr>
          <w:trHeight w:val="360" w:hRule="atLeast"/>
        </w:trPr>
        <w:tc>
          <w:tcPr>
            <w:tcW w:w="564" w:type="pct"/>
            <w:tcBorders>
              <w:top w:val="nil"/>
              <w:left w:val="single" w:color="auto" w:sz="4" w:space="0"/>
              <w:bottom w:val="single" w:color="auto" w:sz="4" w:space="0"/>
              <w:right w:val="single" w:color="auto" w:sz="4" w:space="0"/>
            </w:tcBorders>
            <w:vAlign w:val="center"/>
          </w:tcPr>
          <w:p w14:paraId="31468CC8">
            <w:pPr>
              <w:widowControl/>
              <w:spacing w:line="240" w:lineRule="auto"/>
              <w:ind w:firstLine="0" w:firstLineChars="0"/>
              <w:jc w:val="center"/>
              <w:rPr>
                <w:rFonts w:hint="eastAsia"/>
                <w:b/>
                <w:bCs/>
                <w:color w:val="000000"/>
                <w:kern w:val="0"/>
                <w:sz w:val="21"/>
                <w:szCs w:val="21"/>
              </w:rPr>
            </w:pPr>
          </w:p>
        </w:tc>
        <w:tc>
          <w:tcPr>
            <w:tcW w:w="1740" w:type="pct"/>
            <w:tcBorders>
              <w:top w:val="nil"/>
              <w:left w:val="nil"/>
              <w:bottom w:val="single" w:color="auto" w:sz="4" w:space="0"/>
              <w:right w:val="single" w:color="auto" w:sz="4" w:space="0"/>
            </w:tcBorders>
            <w:vAlign w:val="center"/>
          </w:tcPr>
          <w:p w14:paraId="7A9392C5">
            <w:pPr>
              <w:widowControl/>
              <w:spacing w:line="240" w:lineRule="auto"/>
              <w:ind w:firstLine="0" w:firstLineChars="0"/>
              <w:jc w:val="left"/>
              <w:rPr>
                <w:rFonts w:hint="eastAsia"/>
                <w:b/>
                <w:bCs/>
                <w:color w:val="000000"/>
                <w:kern w:val="0"/>
                <w:sz w:val="21"/>
                <w:szCs w:val="21"/>
              </w:rPr>
            </w:pPr>
            <w:r>
              <w:rPr>
                <w:rFonts w:ascii="Songti SC" w:hAnsi="Songti SC" w:eastAsia="Songti SC" w:cs="Songti SC"/>
                <w:color w:val="000000"/>
                <w:sz w:val="21"/>
                <w:szCs w:val="21"/>
              </w:rPr>
              <w:t>总投资</w:t>
            </w:r>
          </w:p>
        </w:tc>
        <w:tc>
          <w:tcPr>
            <w:tcW w:w="940" w:type="pct"/>
            <w:tcBorders>
              <w:top w:val="nil"/>
              <w:left w:val="nil"/>
              <w:bottom w:val="single" w:color="auto" w:sz="4" w:space="0"/>
              <w:right w:val="single" w:color="auto" w:sz="4" w:space="0"/>
            </w:tcBorders>
          </w:tcPr>
          <w:p w14:paraId="0A727FAA">
            <w:pPr>
              <w:widowControl/>
              <w:spacing w:line="240" w:lineRule="auto"/>
              <w:ind w:firstLine="0" w:firstLineChars="0"/>
              <w:jc w:val="center"/>
              <w:rPr>
                <w:rFonts w:hint="eastAsia"/>
                <w:b/>
                <w:bCs/>
                <w:color w:val="000000"/>
                <w:kern w:val="0"/>
                <w:sz w:val="21"/>
                <w:szCs w:val="21"/>
              </w:rPr>
            </w:pPr>
            <w:r>
              <w:rPr>
                <w:rFonts w:hint="eastAsia" w:ascii="Songti SC" w:hAnsi="Songti SC" w:eastAsia="Songti SC" w:cs="Songti SC"/>
                <w:color w:val="000000"/>
                <w:sz w:val="21"/>
                <w:szCs w:val="21"/>
              </w:rPr>
              <w:t xml:space="preserve">106.13 </w:t>
            </w:r>
          </w:p>
        </w:tc>
        <w:tc>
          <w:tcPr>
            <w:tcW w:w="769" w:type="pct"/>
            <w:tcBorders>
              <w:top w:val="nil"/>
              <w:left w:val="nil"/>
              <w:bottom w:val="single" w:color="auto" w:sz="4" w:space="0"/>
              <w:right w:val="single" w:color="auto" w:sz="4" w:space="0"/>
            </w:tcBorders>
          </w:tcPr>
          <w:p w14:paraId="6598460B">
            <w:pPr>
              <w:widowControl/>
              <w:spacing w:line="240" w:lineRule="auto"/>
              <w:ind w:firstLine="0" w:firstLineChars="0"/>
              <w:jc w:val="center"/>
              <w:rPr>
                <w:rFonts w:hint="eastAsia"/>
                <w:b/>
                <w:bCs/>
                <w:color w:val="000000"/>
                <w:kern w:val="0"/>
                <w:sz w:val="21"/>
                <w:szCs w:val="21"/>
              </w:rPr>
            </w:pPr>
            <w:r>
              <w:rPr>
                <w:rFonts w:hint="eastAsia" w:ascii="Songti SC" w:hAnsi="Songti SC" w:eastAsia="Songti SC" w:cs="Songti SC"/>
                <w:color w:val="000000"/>
                <w:sz w:val="21"/>
                <w:szCs w:val="21"/>
              </w:rPr>
              <w:t>100%</w:t>
            </w:r>
          </w:p>
        </w:tc>
        <w:tc>
          <w:tcPr>
            <w:tcW w:w="987" w:type="pct"/>
            <w:tcBorders>
              <w:top w:val="nil"/>
              <w:left w:val="nil"/>
              <w:bottom w:val="single" w:color="auto" w:sz="4" w:space="0"/>
              <w:right w:val="single" w:color="auto" w:sz="4" w:space="0"/>
            </w:tcBorders>
            <w:vAlign w:val="center"/>
          </w:tcPr>
          <w:p w14:paraId="1DC3F10F">
            <w:pPr>
              <w:widowControl/>
              <w:spacing w:line="240" w:lineRule="auto"/>
              <w:ind w:firstLine="0" w:firstLineChars="0"/>
              <w:jc w:val="left"/>
              <w:rPr>
                <w:rFonts w:hint="eastAsia"/>
                <w:color w:val="000000"/>
                <w:kern w:val="0"/>
                <w:sz w:val="21"/>
                <w:szCs w:val="21"/>
              </w:rPr>
            </w:pPr>
            <w:r>
              <w:rPr>
                <w:rFonts w:ascii="Songti SC" w:hAnsi="Songti SC" w:eastAsia="Songti SC" w:cs="Songti SC"/>
                <w:color w:val="000000"/>
                <w:sz w:val="21"/>
                <w:szCs w:val="21"/>
              </w:rPr>
              <w:t>（一）+（二）</w:t>
            </w:r>
          </w:p>
        </w:tc>
      </w:tr>
    </w:tbl>
    <w:p w14:paraId="01BF1133">
      <w:pPr>
        <w:pStyle w:val="3"/>
        <w:rPr>
          <w:rFonts w:hint="eastAsia"/>
          <w:color w:val="000000"/>
        </w:rPr>
      </w:pPr>
      <w:bookmarkStart w:id="83" w:name="_Toc27181"/>
      <w:bookmarkStart w:id="84" w:name="_Toc66881448"/>
      <w:bookmarkStart w:id="85" w:name="_Toc365930298"/>
      <w:bookmarkStart w:id="86" w:name="_Toc62799283"/>
      <w:bookmarkStart w:id="87" w:name="_Toc348241239"/>
      <w:r>
        <w:rPr>
          <w:rFonts w:hint="eastAsia" w:ascii="Songti SC" w:hAnsi="Songti SC" w:eastAsia="Songti SC" w:cs="Songti SC"/>
          <w:color w:val="000000"/>
        </w:rPr>
        <w:t>方案编制依据</w:t>
      </w:r>
      <w:bookmarkEnd w:id="42"/>
      <w:bookmarkEnd w:id="43"/>
      <w:bookmarkEnd w:id="44"/>
      <w:bookmarkEnd w:id="45"/>
      <w:bookmarkEnd w:id="83"/>
      <w:bookmarkEnd w:id="84"/>
      <w:bookmarkEnd w:id="85"/>
      <w:bookmarkEnd w:id="86"/>
      <w:bookmarkEnd w:id="87"/>
    </w:p>
    <w:p w14:paraId="1A038981">
      <w:pPr>
        <w:pStyle w:val="4"/>
        <w:rPr>
          <w:rFonts w:hint="eastAsia"/>
          <w:color w:val="000000"/>
        </w:rPr>
      </w:pPr>
      <w:bookmarkStart w:id="88" w:name="_Toc1053078704"/>
      <w:bookmarkStart w:id="89" w:name="_Toc1944837125"/>
      <w:bookmarkStart w:id="90" w:name="_Toc997565798"/>
      <w:r>
        <w:rPr>
          <w:rFonts w:hint="eastAsia" w:ascii="Songti SC" w:hAnsi="Songti SC" w:eastAsia="Songti SC" w:cs="Songti SC"/>
          <w:color w:val="000000"/>
        </w:rPr>
        <w:t>政策依据</w:t>
      </w:r>
      <w:bookmarkEnd w:id="88"/>
      <w:bookmarkEnd w:id="89"/>
      <w:bookmarkEnd w:id="90"/>
    </w:p>
    <w:p w14:paraId="14BECCC7">
      <w:pPr>
        <w:ind w:firstLine="480"/>
        <w:rPr>
          <w:rFonts w:hint="eastAsia"/>
          <w:color w:val="000000"/>
        </w:rPr>
      </w:pPr>
      <w:r>
        <w:rPr>
          <w:rFonts w:hint="eastAsia" w:ascii="Songti SC" w:hAnsi="Songti SC" w:eastAsia="Songti SC" w:cs="Songti SC"/>
          <w:color w:val="000000"/>
        </w:rPr>
        <w:t>1.《国家政务信息化项目建设管理办法》（国办发〔2019〕57号）</w:t>
      </w:r>
    </w:p>
    <w:p w14:paraId="76C2AE3E">
      <w:pPr>
        <w:adjustRightInd w:val="0"/>
        <w:snapToGrid w:val="0"/>
        <w:ind w:firstLine="480"/>
        <w:jc w:val="left"/>
        <w:rPr>
          <w:rFonts w:hint="eastAsia"/>
          <w:color w:val="000000"/>
        </w:rPr>
      </w:pPr>
      <w:r>
        <w:rPr>
          <w:rFonts w:hint="eastAsia" w:ascii="Songti SC" w:hAnsi="Songti SC" w:eastAsia="Songti SC" w:cs="Songti SC"/>
          <w:color w:val="000000"/>
        </w:rPr>
        <w:t>2.《北京市政府投资信息化项目评审管理办法》（京经信发〔2023〕76号）</w:t>
      </w:r>
    </w:p>
    <w:p w14:paraId="25A36EB5">
      <w:pPr>
        <w:adjustRightInd w:val="0"/>
        <w:snapToGrid w:val="0"/>
        <w:ind w:firstLine="480"/>
        <w:jc w:val="left"/>
        <w:rPr>
          <w:rFonts w:hint="eastAsia"/>
          <w:color w:val="000000"/>
        </w:rPr>
      </w:pPr>
      <w:r>
        <w:rPr>
          <w:rFonts w:hint="eastAsia" w:ascii="Songti SC" w:hAnsi="Songti SC" w:eastAsia="Songti SC" w:cs="Songti SC"/>
          <w:color w:val="000000"/>
        </w:rPr>
        <w:t>3.《大兴区新型智慧城市总体规划（修订版）》；</w:t>
      </w:r>
    </w:p>
    <w:p w14:paraId="09DAE076">
      <w:pPr>
        <w:adjustRightInd w:val="0"/>
        <w:snapToGrid w:val="0"/>
        <w:ind w:firstLine="480"/>
        <w:jc w:val="left"/>
        <w:rPr>
          <w:rFonts w:hint="eastAsia"/>
          <w:color w:val="000000"/>
        </w:rPr>
      </w:pPr>
      <w:r>
        <w:rPr>
          <w:rFonts w:hint="eastAsia" w:ascii="Songti SC" w:hAnsi="Songti SC" w:eastAsia="Songti SC" w:cs="Songti SC"/>
          <w:color w:val="000000"/>
        </w:rPr>
        <w:t>4.《大兴区新型智慧城市建设行动计划（2022-2025年）》（京兴智慧文〔2022〕3号）；</w:t>
      </w:r>
    </w:p>
    <w:p w14:paraId="2CE1C604">
      <w:pPr>
        <w:adjustRightInd w:val="0"/>
        <w:snapToGrid w:val="0"/>
        <w:ind w:firstLine="480"/>
        <w:jc w:val="left"/>
        <w:rPr>
          <w:rFonts w:hint="eastAsia"/>
          <w:color w:val="000000"/>
        </w:rPr>
      </w:pPr>
      <w:r>
        <w:rPr>
          <w:rFonts w:hint="eastAsia" w:ascii="Songti SC" w:hAnsi="Songti SC" w:eastAsia="Songti SC" w:cs="Songti SC"/>
          <w:color w:val="000000"/>
        </w:rPr>
        <w:t>5.</w:t>
      </w:r>
      <w:r>
        <w:rPr>
          <w:rFonts w:ascii="Songti SC" w:hAnsi="Songti SC" w:eastAsia="Songti SC" w:cs="Songti SC"/>
          <w:color w:val="000000"/>
        </w:rPr>
        <w:t>《大兴区政府投资信息化项目评审管理细则（试行）》</w:t>
      </w:r>
      <w:r>
        <w:rPr>
          <w:rFonts w:hint="eastAsia" w:ascii="Songti SC" w:hAnsi="Songti SC" w:eastAsia="Songti SC" w:cs="Songti SC"/>
          <w:color w:val="000000"/>
        </w:rPr>
        <w:t>（</w:t>
      </w:r>
      <w:r>
        <w:rPr>
          <w:rFonts w:ascii="Songti SC" w:hAnsi="Songti SC" w:eastAsia="Songti SC" w:cs="Songti SC"/>
          <w:color w:val="000000"/>
        </w:rPr>
        <w:t>京兴智慧文〔2024〕1号</w:t>
      </w:r>
      <w:r>
        <w:rPr>
          <w:rFonts w:hint="eastAsia" w:ascii="Songti SC" w:hAnsi="Songti SC" w:eastAsia="Songti SC" w:cs="Songti SC"/>
          <w:color w:val="000000"/>
        </w:rPr>
        <w:t>）；</w:t>
      </w:r>
    </w:p>
    <w:p w14:paraId="6C76554D">
      <w:pPr>
        <w:adjustRightInd w:val="0"/>
        <w:snapToGrid w:val="0"/>
        <w:ind w:firstLine="480"/>
        <w:jc w:val="left"/>
        <w:rPr>
          <w:rFonts w:hint="eastAsia"/>
          <w:color w:val="000000"/>
        </w:rPr>
      </w:pPr>
      <w:r>
        <w:rPr>
          <w:rFonts w:hint="eastAsia" w:ascii="Songti SC" w:hAnsi="Songti SC" w:eastAsia="Songti SC" w:cs="Songti SC"/>
          <w:color w:val="000000"/>
        </w:rPr>
        <w:t>6.</w:t>
      </w:r>
      <w:r>
        <w:rPr>
          <w:rFonts w:ascii="Songti SC" w:hAnsi="Songti SC" w:eastAsia="Songti SC" w:cs="Songti SC"/>
          <w:color w:val="000000"/>
        </w:rPr>
        <w:t>《中华人民共和国网络安全法》；</w:t>
      </w:r>
    </w:p>
    <w:p w14:paraId="12B3609D">
      <w:pPr>
        <w:adjustRightInd w:val="0"/>
        <w:snapToGrid w:val="0"/>
        <w:ind w:firstLine="480"/>
        <w:jc w:val="left"/>
        <w:rPr>
          <w:rFonts w:hint="eastAsia"/>
          <w:color w:val="000000"/>
        </w:rPr>
      </w:pPr>
      <w:r>
        <w:rPr>
          <w:rFonts w:hint="eastAsia" w:ascii="Songti SC" w:hAnsi="Songti SC" w:eastAsia="Songti SC" w:cs="Songti SC"/>
          <w:color w:val="000000"/>
        </w:rPr>
        <w:t>7.</w:t>
      </w:r>
      <w:r>
        <w:rPr>
          <w:rFonts w:ascii="Songti SC" w:hAnsi="Songti SC" w:eastAsia="Songti SC" w:cs="Songti SC"/>
          <w:color w:val="000000"/>
        </w:rPr>
        <w:t>《中华人民共和国密码法》；</w:t>
      </w:r>
    </w:p>
    <w:p w14:paraId="068E2168">
      <w:pPr>
        <w:adjustRightInd w:val="0"/>
        <w:snapToGrid w:val="0"/>
        <w:ind w:firstLine="480"/>
        <w:jc w:val="left"/>
        <w:rPr>
          <w:rFonts w:hint="eastAsia"/>
          <w:color w:val="000000"/>
        </w:rPr>
      </w:pPr>
      <w:r>
        <w:rPr>
          <w:rFonts w:hint="eastAsia" w:ascii="Songti SC" w:hAnsi="Songti SC" w:eastAsia="Songti SC" w:cs="Songti SC"/>
          <w:color w:val="000000"/>
        </w:rPr>
        <w:t>8.</w:t>
      </w:r>
      <w:r>
        <w:rPr>
          <w:rFonts w:ascii="Songti SC" w:hAnsi="Songti SC" w:eastAsia="Songti SC" w:cs="Songti SC"/>
          <w:color w:val="000000"/>
        </w:rPr>
        <w:t>《商用密码应用安全性评估管理办法》</w:t>
      </w:r>
      <w:r>
        <w:rPr>
          <w:rFonts w:hint="eastAsia" w:ascii="Songti SC" w:hAnsi="Songti SC" w:eastAsia="Songti SC" w:cs="Songti SC"/>
          <w:color w:val="000000"/>
        </w:rPr>
        <w:t>等。</w:t>
      </w:r>
    </w:p>
    <w:p w14:paraId="15A4595E">
      <w:pPr>
        <w:pStyle w:val="4"/>
        <w:rPr>
          <w:rFonts w:hint="eastAsia"/>
          <w:color w:val="000000"/>
        </w:rPr>
      </w:pPr>
      <w:bookmarkStart w:id="91" w:name="_Toc683534857"/>
      <w:bookmarkStart w:id="92" w:name="_Toc1681043201"/>
      <w:bookmarkStart w:id="93" w:name="_Toc28968888"/>
      <w:r>
        <w:rPr>
          <w:rFonts w:hint="eastAsia" w:ascii="Songti SC" w:hAnsi="Songti SC" w:eastAsia="Songti SC" w:cs="Songti SC"/>
          <w:color w:val="000000"/>
        </w:rPr>
        <w:t>标准规范</w:t>
      </w:r>
      <w:bookmarkEnd w:id="91"/>
      <w:bookmarkEnd w:id="92"/>
      <w:bookmarkEnd w:id="93"/>
    </w:p>
    <w:p w14:paraId="5D0522AB">
      <w:pPr>
        <w:ind w:firstLine="480"/>
        <w:rPr>
          <w:rFonts w:hint="eastAsia"/>
          <w:color w:val="000000"/>
        </w:rPr>
      </w:pPr>
      <w:r>
        <w:rPr>
          <w:rFonts w:hint="eastAsia" w:ascii="Songti SC" w:hAnsi="Songti SC" w:eastAsia="Songti SC" w:cs="Songti SC"/>
          <w:color w:val="000000"/>
        </w:rPr>
        <w:t>1.《计算机软件需求说明编制指南》（GB/T9385-2008）；</w:t>
      </w:r>
    </w:p>
    <w:p w14:paraId="290FEAD1">
      <w:pPr>
        <w:ind w:firstLine="480"/>
        <w:rPr>
          <w:rFonts w:hint="eastAsia"/>
          <w:color w:val="000000"/>
        </w:rPr>
      </w:pPr>
      <w:r>
        <w:rPr>
          <w:rFonts w:hint="eastAsia" w:ascii="Songti SC" w:hAnsi="Songti SC" w:eastAsia="Songti SC" w:cs="Songti SC"/>
          <w:color w:val="000000"/>
        </w:rPr>
        <w:t>2.《计算机软件文档编制规范》（GB/T8567-2006）；</w:t>
      </w:r>
    </w:p>
    <w:p w14:paraId="62B00E98">
      <w:pPr>
        <w:ind w:firstLine="480"/>
        <w:rPr>
          <w:rFonts w:hint="eastAsia"/>
          <w:color w:val="000000"/>
        </w:rPr>
      </w:pPr>
      <w:r>
        <w:rPr>
          <w:rFonts w:hint="eastAsia" w:ascii="Songti SC" w:hAnsi="Songti SC" w:eastAsia="Songti SC" w:cs="Songti SC"/>
          <w:color w:val="000000"/>
        </w:rPr>
        <w:t>3.《中华人民共和国计算机信息系统安全保护条例》（国务院令第147号）；</w:t>
      </w:r>
    </w:p>
    <w:p w14:paraId="172CBFAD">
      <w:pPr>
        <w:ind w:firstLine="480"/>
        <w:rPr>
          <w:rFonts w:hint="eastAsia"/>
          <w:color w:val="000000" w:themeColor="text1"/>
          <w14:textFill>
            <w14:solidFill>
              <w14:schemeClr w14:val="tx1"/>
            </w14:solidFill>
          </w14:textFill>
        </w:rPr>
      </w:pPr>
      <w:r>
        <w:rPr>
          <w:rFonts w:hint="eastAsia" w:ascii="Songti SC" w:hAnsi="Songti SC" w:eastAsia="Songti SC" w:cs="Songti SC"/>
          <w:color w:val="000000"/>
        </w:rPr>
        <w:t>4.《信息系统安全等级保护定级指南》（GB/T22240-2020）；</w:t>
      </w:r>
    </w:p>
    <w:p w14:paraId="2AC21D40">
      <w:pPr>
        <w:ind w:firstLine="480"/>
        <w:rPr>
          <w:rFonts w:hint="eastAsia"/>
          <w:color w:val="000000" w:themeColor="text1"/>
          <w14:textFill>
            <w14:solidFill>
              <w14:schemeClr w14:val="tx1"/>
            </w14:solidFill>
          </w14:textFill>
        </w:rPr>
      </w:pPr>
      <w:r>
        <w:rPr>
          <w:rFonts w:hint="eastAsia" w:ascii="Songti SC" w:hAnsi="Songti SC" w:eastAsia="Songti SC" w:cs="Songti SC"/>
          <w:color w:val="000000"/>
        </w:rPr>
        <w:t>5.《信息安全技术网络安全等级保护安全设计技术要求》GB/T25070-2019；</w:t>
      </w:r>
    </w:p>
    <w:p w14:paraId="73E8EC13">
      <w:pPr>
        <w:ind w:firstLine="480"/>
        <w:rPr>
          <w:rFonts w:hint="eastAsia"/>
          <w:color w:val="000000" w:themeColor="text1"/>
          <w14:textFill>
            <w14:solidFill>
              <w14:schemeClr w14:val="tx1"/>
            </w14:solidFill>
          </w14:textFill>
        </w:rPr>
      </w:pPr>
      <w:r>
        <w:rPr>
          <w:rFonts w:hint="eastAsia" w:ascii="Songti SC" w:hAnsi="Songti SC" w:eastAsia="Songti SC" w:cs="Songti SC"/>
          <w:color w:val="000000"/>
        </w:rPr>
        <w:t>6.《信息技术开放系统互联开放系统安全框架》（GB/T18794）；</w:t>
      </w:r>
    </w:p>
    <w:p w14:paraId="49B58E36">
      <w:pPr>
        <w:ind w:firstLine="480"/>
        <w:rPr>
          <w:rFonts w:hint="eastAsia"/>
          <w:color w:val="000000" w:themeColor="text1"/>
          <w14:textFill>
            <w14:solidFill>
              <w14:schemeClr w14:val="tx1"/>
            </w14:solidFill>
          </w14:textFill>
        </w:rPr>
      </w:pPr>
      <w:r>
        <w:rPr>
          <w:rFonts w:hint="eastAsia" w:ascii="Songti SC" w:hAnsi="Songti SC" w:eastAsia="Songti SC" w:cs="Songti SC"/>
          <w:color w:val="000000"/>
        </w:rPr>
        <w:t>7.《信息技术开放系统互联通用高层安全》（GB/T18237）；</w:t>
      </w:r>
    </w:p>
    <w:p w14:paraId="551D8A74">
      <w:pPr>
        <w:ind w:firstLine="480"/>
        <w:rPr>
          <w:rFonts w:hint="eastAsia"/>
          <w:color w:val="000000" w:themeColor="text1"/>
          <w14:textFill>
            <w14:solidFill>
              <w14:schemeClr w14:val="tx1"/>
            </w14:solidFill>
          </w14:textFill>
        </w:rPr>
      </w:pPr>
      <w:r>
        <w:rPr>
          <w:rFonts w:hint="eastAsia" w:ascii="Songti SC" w:hAnsi="Songti SC" w:eastAsia="Songti SC" w:cs="Songti SC"/>
          <w:color w:val="000000"/>
        </w:rPr>
        <w:t>8.《信息安全技术网络安全等级保护基本要求》（GB/T22239-2019）；</w:t>
      </w:r>
    </w:p>
    <w:p w14:paraId="69556000">
      <w:pPr>
        <w:ind w:firstLine="480"/>
        <w:rPr>
          <w:rFonts w:hint="eastAsia"/>
          <w:color w:val="000000" w:themeColor="text1"/>
          <w14:textFill>
            <w14:solidFill>
              <w14:schemeClr w14:val="tx1"/>
            </w14:solidFill>
          </w14:textFill>
        </w:rPr>
      </w:pPr>
      <w:r>
        <w:rPr>
          <w:rFonts w:hint="eastAsia" w:ascii="Songti SC" w:hAnsi="Songti SC" w:eastAsia="Songti SC" w:cs="Songti SC"/>
          <w:color w:val="000000"/>
        </w:rPr>
        <w:t>9.《信息安全技术网络安全威胁信息格式规范》（GB/T36643-2018）；</w:t>
      </w:r>
    </w:p>
    <w:p w14:paraId="0B50D45E">
      <w:pPr>
        <w:ind w:firstLine="480"/>
        <w:rPr>
          <w:rFonts w:hint="eastAsia"/>
          <w:color w:val="000000" w:themeColor="text1"/>
          <w14:textFill>
            <w14:solidFill>
              <w14:schemeClr w14:val="tx1"/>
            </w14:solidFill>
          </w14:textFill>
        </w:rPr>
      </w:pPr>
      <w:r>
        <w:rPr>
          <w:rFonts w:hint="eastAsia" w:ascii="Songti SC" w:hAnsi="Songti SC" w:eastAsia="Songti SC" w:cs="Songti SC"/>
          <w:color w:val="000000"/>
        </w:rPr>
        <w:t>10.《信息安全技术网络安全等级保护测试评估技术指南》（GB/T36627-2018）；</w:t>
      </w:r>
    </w:p>
    <w:p w14:paraId="36EFD0FF">
      <w:pPr>
        <w:ind w:firstLine="480"/>
        <w:rPr>
          <w:rFonts w:hint="eastAsia"/>
          <w:color w:val="000000" w:themeColor="text1"/>
          <w14:textFill>
            <w14:solidFill>
              <w14:schemeClr w14:val="tx1"/>
            </w14:solidFill>
          </w14:textFill>
        </w:rPr>
      </w:pPr>
      <w:r>
        <w:rPr>
          <w:rFonts w:hint="eastAsia" w:ascii="Songti SC" w:hAnsi="Songti SC" w:eastAsia="Songti SC" w:cs="Songti SC"/>
          <w:color w:val="000000"/>
        </w:rPr>
        <w:t>11.《信息安全技术网络安全监测基本要求与实施指南》（GB/T36635-2018）；</w:t>
      </w:r>
    </w:p>
    <w:p w14:paraId="29319EFB">
      <w:pPr>
        <w:ind w:firstLine="480"/>
        <w:rPr>
          <w:rFonts w:hint="eastAsia"/>
          <w:color w:val="000000" w:themeColor="text1"/>
          <w14:textFill>
            <w14:solidFill>
              <w14:schemeClr w14:val="tx1"/>
            </w14:solidFill>
          </w14:textFill>
        </w:rPr>
      </w:pPr>
      <w:r>
        <w:rPr>
          <w:rFonts w:hint="eastAsia" w:ascii="Songti SC" w:hAnsi="Songti SC" w:eastAsia="Songti SC" w:cs="Songti SC"/>
          <w:color w:val="000000"/>
        </w:rPr>
        <w:t>12.《信息安全技术网络安全等级保护安全管理中心技术要求》（GB/T36958-2018）；</w:t>
      </w:r>
    </w:p>
    <w:p w14:paraId="6FACBC93">
      <w:pPr>
        <w:ind w:firstLine="480"/>
        <w:rPr>
          <w:rFonts w:hint="eastAsia"/>
          <w:color w:val="000000" w:themeColor="text1"/>
          <w14:textFill>
            <w14:solidFill>
              <w14:schemeClr w14:val="tx1"/>
            </w14:solidFill>
          </w14:textFill>
        </w:rPr>
      </w:pPr>
      <w:r>
        <w:rPr>
          <w:rFonts w:hint="eastAsia" w:ascii="Songti SC" w:hAnsi="Songti SC" w:eastAsia="Songti SC" w:cs="Songti SC"/>
          <w:color w:val="000000"/>
        </w:rPr>
        <w:t>13.《信息安全技术网络安全等级保护测评过程指南》（GB/T28449-2018）；</w:t>
      </w:r>
    </w:p>
    <w:p w14:paraId="50CB58D9">
      <w:pPr>
        <w:ind w:firstLine="480"/>
        <w:rPr>
          <w:rFonts w:hint="eastAsia"/>
          <w:color w:val="000000"/>
        </w:rPr>
      </w:pPr>
      <w:r>
        <w:rPr>
          <w:rFonts w:hint="eastAsia" w:ascii="Songti SC" w:hAnsi="Songti SC" w:eastAsia="Songti SC" w:cs="Songti SC"/>
          <w:color w:val="000000"/>
        </w:rPr>
        <w:t>14.《信息安全技术网络安全等级保护定级指南》（GA/T1389-2017）；</w:t>
      </w:r>
    </w:p>
    <w:p w14:paraId="241C6A01">
      <w:pPr>
        <w:ind w:firstLine="480"/>
        <w:rPr>
          <w:rFonts w:hint="eastAsia"/>
          <w:color w:val="000000"/>
        </w:rPr>
      </w:pPr>
      <w:r>
        <w:rPr>
          <w:rFonts w:hint="eastAsia" w:ascii="Songti SC" w:hAnsi="Songti SC" w:eastAsia="Songti SC" w:cs="Songti SC"/>
          <w:color w:val="000000"/>
        </w:rPr>
        <w:t>15.《信息安全技术信息系统安全等级保护基本要求第2部分：云计算安全扩展要求》（GA/T1390.2-2017）；</w:t>
      </w:r>
    </w:p>
    <w:p w14:paraId="711B74CA">
      <w:pPr>
        <w:ind w:firstLine="480"/>
        <w:rPr>
          <w:rFonts w:hint="eastAsia"/>
          <w:color w:val="000000"/>
        </w:rPr>
      </w:pPr>
      <w:r>
        <w:rPr>
          <w:rFonts w:hint="eastAsia" w:ascii="Songti SC" w:hAnsi="Songti SC" w:eastAsia="Songti SC" w:cs="Songti SC"/>
          <w:color w:val="000000"/>
        </w:rPr>
        <w:t>16.《信息安全技术信息系统安全等级保护基本要求第3部分：移动互联安全扩展要求》（GA/T1390.3-2017）等。</w:t>
      </w:r>
    </w:p>
    <w:p w14:paraId="455C4DB6">
      <w:pPr>
        <w:pStyle w:val="3"/>
        <w:rPr>
          <w:rFonts w:hint="eastAsia"/>
          <w:color w:val="000000"/>
        </w:rPr>
      </w:pPr>
      <w:bookmarkStart w:id="94" w:name="_Toc998219275"/>
      <w:bookmarkStart w:id="95" w:name="_Toc1280313796"/>
      <w:r>
        <w:rPr>
          <w:rFonts w:ascii="Songti SC" w:hAnsi="Songti SC" w:eastAsia="Songti SC" w:cs="Songti SC"/>
          <w:color w:val="000000"/>
        </w:rPr>
        <w:t>经济及社会效益</w:t>
      </w:r>
      <w:bookmarkEnd w:id="94"/>
      <w:bookmarkEnd w:id="95"/>
    </w:p>
    <w:p w14:paraId="011E215A">
      <w:pPr>
        <w:pStyle w:val="4"/>
        <w:rPr>
          <w:rFonts w:hint="eastAsia"/>
          <w:color w:val="000000"/>
        </w:rPr>
      </w:pPr>
      <w:bookmarkStart w:id="96" w:name="_Toc447826432"/>
      <w:bookmarkStart w:id="97" w:name="_Toc929104561"/>
      <w:r>
        <w:rPr>
          <w:rFonts w:hint="eastAsia" w:ascii="Songti SC" w:hAnsi="Songti SC" w:eastAsia="Songti SC" w:cs="Songti SC"/>
          <w:color w:val="000000"/>
        </w:rPr>
        <w:t>社会效益</w:t>
      </w:r>
      <w:bookmarkEnd w:id="96"/>
      <w:bookmarkEnd w:id="97"/>
    </w:p>
    <w:p w14:paraId="7BF23230">
      <w:pPr>
        <w:ind w:firstLine="480"/>
        <w:rPr>
          <w:rFonts w:hint="eastAsia"/>
          <w:color w:val="000000"/>
        </w:rPr>
      </w:pPr>
      <w:r>
        <w:rPr>
          <w:rFonts w:hint="eastAsia" w:ascii="Songti SC" w:hAnsi="Songti SC" w:eastAsia="Songti SC" w:cs="Songti SC"/>
          <w:color w:val="000000"/>
        </w:rPr>
        <w:t>项目完成后，食堂消费系统将在服务器操作系统、数据库和应用中间件环境下稳定运行，形成覆盖17个集中办公区的政务后勤服务支撑能力，持续保障人员就餐、账户充值、消费支付、交易核对、报表统计和财务结算等业务有序开展。</w:t>
      </w:r>
    </w:p>
    <w:p w14:paraId="157C59FF">
      <w:pPr>
        <w:ind w:firstLine="480"/>
        <w:rPr>
          <w:rFonts w:hint="eastAsia"/>
          <w:color w:val="000000"/>
        </w:rPr>
      </w:pPr>
      <w:r>
        <w:rPr>
          <w:rFonts w:hint="eastAsia" w:ascii="Songti SC" w:hAnsi="Songti SC" w:eastAsia="Songti SC" w:cs="Songti SC"/>
          <w:color w:val="000000"/>
        </w:rPr>
        <w:t>一是提升安全管理能力。建设单位组织目标基础软件兼容验证、安全测评及密码应用评估，依据结果落实整改、访问控制、日志审计、数据保护和运维管理要求，明确承建单位及运行维护人员的职责，形成可检查、可追溯的管理记录。</w:t>
      </w:r>
    </w:p>
    <w:p w14:paraId="5E9542B5">
      <w:pPr>
        <w:ind w:firstLine="480"/>
        <w:rPr>
          <w:rFonts w:hint="eastAsia"/>
          <w:color w:val="000000"/>
        </w:rPr>
      </w:pPr>
      <w:r>
        <w:rPr>
          <w:rFonts w:hint="eastAsia" w:ascii="Songti SC" w:hAnsi="Songti SC" w:eastAsia="Songti SC" w:cs="Songti SC"/>
          <w:color w:val="000000"/>
        </w:rPr>
        <w:t>二是服务保障能力更加稳定。系统完成业务平台替代升级和消费终端联调后，可持续支撑集中办公区人员刷卡、扫码、刷脸消费和线上充值等高频业务，减少因运行环境不兼容、接口异常或终端通信异常造成的服务波动，提升集中办公区食堂服务体验。</w:t>
      </w:r>
    </w:p>
    <w:p w14:paraId="1F2D0700">
      <w:pPr>
        <w:ind w:firstLine="480"/>
        <w:rPr>
          <w:rFonts w:hint="eastAsia"/>
          <w:color w:val="000000"/>
        </w:rPr>
      </w:pPr>
      <w:r>
        <w:rPr>
          <w:rFonts w:hint="eastAsia" w:ascii="Songti SC" w:hAnsi="Songti SC" w:eastAsia="Songti SC" w:cs="Songti SC"/>
          <w:color w:val="000000"/>
        </w:rPr>
        <w:t>三是系统升级示范更加清晰。项目将目标国产服务器操作系统、GBase 8s V8.8、金蝶中间件、更新后的消费终端和银行充值链路纳入同一业务场景开展适配验证，为政务后勤领域存量系统软件升级改造提供可复制、可参考的实施样板。</w:t>
      </w:r>
    </w:p>
    <w:p w14:paraId="1D725E66">
      <w:pPr>
        <w:pStyle w:val="4"/>
        <w:rPr>
          <w:rFonts w:hint="eastAsia"/>
          <w:color w:val="000000"/>
        </w:rPr>
      </w:pPr>
      <w:bookmarkStart w:id="98" w:name="_Toc1836143536"/>
      <w:bookmarkStart w:id="99" w:name="_Toc1106759390"/>
      <w:r>
        <w:rPr>
          <w:rFonts w:hint="eastAsia" w:ascii="Songti SC" w:hAnsi="Songti SC" w:eastAsia="Songti SC" w:cs="Songti SC"/>
          <w:color w:val="000000"/>
        </w:rPr>
        <w:t>经济效益</w:t>
      </w:r>
      <w:bookmarkEnd w:id="98"/>
      <w:bookmarkEnd w:id="99"/>
    </w:p>
    <w:p w14:paraId="479C28E6">
      <w:pPr>
        <w:ind w:firstLine="480"/>
        <w:rPr>
          <w:rFonts w:hint="eastAsia"/>
          <w:color w:val="000000"/>
        </w:rPr>
      </w:pPr>
      <w:r>
        <w:rPr>
          <w:rFonts w:hint="eastAsia" w:ascii="Songti SC" w:hAnsi="Songti SC" w:eastAsia="Songti SC" w:cs="Songti SC"/>
          <w:color w:val="000000"/>
        </w:rPr>
        <w:t>项目建成后，经济效益主要体现为运维风险降低、业务效率提升和资源统筹能力增强。系统投入运行后，可减少传统异构环境带来的兼容问题和重复排障成本，提升后勤餐饮服务的标准化、集约化运维水平。</w:t>
      </w:r>
    </w:p>
    <w:p w14:paraId="4CD9E216">
      <w:pPr>
        <w:ind w:firstLine="480"/>
        <w:rPr>
          <w:rFonts w:hint="eastAsia"/>
          <w:color w:val="000000"/>
        </w:rPr>
      </w:pPr>
      <w:r>
        <w:rPr>
          <w:rFonts w:hint="eastAsia" w:ascii="Songti SC" w:hAnsi="Songti SC" w:eastAsia="Songti SC" w:cs="Songti SC"/>
          <w:color w:val="000000"/>
        </w:rPr>
        <w:t>一是降低长期运维风险。通过统一现有基础软件运行环境，操作系统、数据库、中间件、备份恢复、日志监控和故障排查路径更加清晰，有助于减少传统异构环境下的兼容性问题、重复排障成本和长期运维压力。</w:t>
      </w:r>
    </w:p>
    <w:p w14:paraId="5DC33A5C">
      <w:pPr>
        <w:ind w:firstLine="480"/>
        <w:rPr>
          <w:rFonts w:hint="eastAsia"/>
          <w:color w:val="000000"/>
        </w:rPr>
      </w:pPr>
      <w:r>
        <w:rPr>
          <w:rFonts w:hint="eastAsia" w:ascii="Songti SC" w:hAnsi="Songti SC" w:eastAsia="Songti SC" w:cs="Songti SC"/>
          <w:color w:val="000000"/>
        </w:rPr>
        <w:t>二是提升业务处理效率。通过数据库适配、索引优化、接口联调和终端交易链路验证，系统可更好支撑早午餐高峰期消费、充值、余额查询和报表统计等业务，减少因适配问题导致的业务等待和人工核对工作量。</w:t>
      </w:r>
    </w:p>
    <w:p w14:paraId="25A2C97E">
      <w:pPr>
        <w:ind w:firstLine="480"/>
        <w:rPr>
          <w:rFonts w:hint="eastAsia"/>
          <w:color w:val="000000"/>
        </w:rPr>
      </w:pPr>
      <w:r>
        <w:rPr>
          <w:rFonts w:hint="eastAsia" w:ascii="Songti SC" w:hAnsi="Songti SC" w:eastAsia="Songti SC" w:cs="Songti SC"/>
          <w:color w:val="000000"/>
        </w:rPr>
        <w:t>三是带动数字化运维协同。项目形成的适配记录、测试报告、数据校验记录、点位核验表和验收材料，可作为后续系统运维、问题追溯、同类项目建设和区域信息技术生态完善的重要支撑，提升财政资金使用的规范性和项目建设成果的可持续利用水平。</w:t>
      </w:r>
    </w:p>
    <w:p w14:paraId="7118BA17">
      <w:pPr>
        <w:ind w:firstLine="480"/>
        <w:rPr>
          <w:rFonts w:hint="eastAsia"/>
          <w:color w:val="000000"/>
        </w:rPr>
      </w:pPr>
      <w:r>
        <w:rPr>
          <w:rFonts w:ascii="Songti SC" w:hAnsi="Songti SC" w:eastAsia="Songti SC" w:cs="Songti SC"/>
          <w:color w:val="000000"/>
        </w:rPr>
        <w:br w:type="page"/>
      </w:r>
    </w:p>
    <w:p w14:paraId="5CA803F5">
      <w:pPr>
        <w:pStyle w:val="2"/>
        <w:rPr>
          <w:rFonts w:hint="eastAsia"/>
          <w:color w:val="000000"/>
        </w:rPr>
      </w:pPr>
      <w:bookmarkStart w:id="100" w:name="_Toc1548796394"/>
      <w:bookmarkStart w:id="101" w:name="_Toc66881450"/>
      <w:bookmarkStart w:id="102" w:name="_Toc724402162"/>
      <w:bookmarkStart w:id="103" w:name="_Toc27536"/>
      <w:bookmarkStart w:id="104" w:name="_Toc1949201063"/>
      <w:bookmarkStart w:id="105" w:name="_Toc259694389"/>
      <w:bookmarkStart w:id="106" w:name="_Toc271804374"/>
      <w:bookmarkStart w:id="107" w:name="_Toc252369791"/>
      <w:bookmarkStart w:id="108" w:name="_Toc259782077"/>
      <w:r>
        <w:rPr>
          <w:rFonts w:hint="eastAsia" w:ascii="Songti SC" w:hAnsi="Songti SC" w:eastAsia="Songti SC" w:cs="Songti SC"/>
          <w:color w:val="000000"/>
        </w:rPr>
        <w:t>项目单位概况</w:t>
      </w:r>
      <w:bookmarkEnd w:id="100"/>
      <w:bookmarkEnd w:id="101"/>
      <w:bookmarkEnd w:id="102"/>
      <w:bookmarkEnd w:id="103"/>
      <w:bookmarkEnd w:id="104"/>
      <w:bookmarkEnd w:id="105"/>
      <w:bookmarkEnd w:id="106"/>
      <w:bookmarkEnd w:id="107"/>
      <w:bookmarkEnd w:id="108"/>
    </w:p>
    <w:p w14:paraId="34ACB4BB">
      <w:pPr>
        <w:pStyle w:val="3"/>
        <w:rPr>
          <w:rFonts w:hint="eastAsia"/>
          <w:color w:val="000000"/>
        </w:rPr>
      </w:pPr>
      <w:bookmarkStart w:id="109" w:name="_Toc359230856"/>
      <w:bookmarkStart w:id="110" w:name="_Toc12180"/>
      <w:bookmarkStart w:id="111" w:name="_Toc310345026"/>
      <w:bookmarkStart w:id="112" w:name="_Toc66881451"/>
      <w:bookmarkStart w:id="113" w:name="_Toc971708671"/>
      <w:bookmarkStart w:id="114" w:name="_Toc942341891"/>
      <w:r>
        <w:rPr>
          <w:rFonts w:hint="eastAsia" w:ascii="Songti SC" w:hAnsi="Songti SC" w:eastAsia="Songti SC" w:cs="Songti SC"/>
          <w:color w:val="000000"/>
        </w:rPr>
        <w:t>项目主责单位概况</w:t>
      </w:r>
      <w:bookmarkEnd w:id="109"/>
      <w:bookmarkEnd w:id="110"/>
      <w:bookmarkEnd w:id="111"/>
      <w:bookmarkEnd w:id="112"/>
      <w:bookmarkEnd w:id="113"/>
      <w:bookmarkEnd w:id="114"/>
    </w:p>
    <w:p w14:paraId="609E44E5">
      <w:pPr>
        <w:ind w:firstLine="480"/>
        <w:rPr>
          <w:rFonts w:hint="eastAsia"/>
          <w:color w:val="000000"/>
        </w:rPr>
      </w:pPr>
      <w:r>
        <w:rPr>
          <w:rFonts w:ascii="Songti SC" w:hAnsi="Songti SC" w:eastAsia="Songti SC" w:cs="Songti SC"/>
          <w:color w:val="000000"/>
        </w:rPr>
        <w:t>根据北京市机构编制委员会办公室《关于成立北京市大兴区机关后勤服务中心的批复》（京编办事〔2002〕7号）和区委编办《关于区政府机关后勤服务中心更名的通知》（京兴编委〔2021〕15号）、《关于调整区机关事务中心机构编制事项的批复》（京兴编办〔2021〕137号），设置北京市大兴区机关事务管理服务中心，为区政府直属正处级事业单位</w:t>
      </w:r>
      <w:r>
        <w:rPr>
          <w:rFonts w:hint="eastAsia" w:ascii="Songti SC" w:hAnsi="Songti SC" w:eastAsia="Songti SC" w:cs="Songti SC"/>
          <w:color w:val="000000"/>
        </w:rPr>
        <w:t>。其主要职责如下：</w:t>
      </w:r>
    </w:p>
    <w:p w14:paraId="32C5F2AA">
      <w:pPr>
        <w:ind w:firstLine="480"/>
        <w:rPr>
          <w:rFonts w:hint="eastAsia"/>
          <w:color w:val="000000"/>
        </w:rPr>
      </w:pPr>
      <w:r>
        <w:rPr>
          <w:rFonts w:hint="eastAsia" w:ascii="Songti SC" w:hAnsi="Songti SC" w:eastAsia="Songti SC" w:cs="Songti SC"/>
          <w:color w:val="000000"/>
        </w:rPr>
        <w:t>1.贯彻国家和本市机关事务管理方面的法规、政策、规定，拟定本区机关事务管理工作意见和年度计划，并组织实施。</w:t>
      </w:r>
    </w:p>
    <w:p w14:paraId="6EFB25B1">
      <w:pPr>
        <w:ind w:firstLine="480"/>
        <w:rPr>
          <w:rFonts w:hint="eastAsia"/>
          <w:color w:val="000000"/>
        </w:rPr>
      </w:pPr>
      <w:r>
        <w:rPr>
          <w:rFonts w:hint="eastAsia" w:ascii="Songti SC" w:hAnsi="Songti SC" w:eastAsia="Songti SC" w:cs="Songti SC"/>
          <w:color w:val="000000"/>
        </w:rPr>
        <w:t>2.负责区级机关事务服务保障工作，健全完善机关事务管理服务体系，统筹安排机关和相关部门办公所需的事务性保障工作，并定期向区委、区政府报告情况。</w:t>
      </w:r>
    </w:p>
    <w:p w14:paraId="33E1F183">
      <w:pPr>
        <w:ind w:firstLine="480"/>
        <w:rPr>
          <w:rFonts w:hint="eastAsia"/>
          <w:color w:val="000000"/>
        </w:rPr>
      </w:pPr>
      <w:r>
        <w:rPr>
          <w:rFonts w:hint="eastAsia" w:ascii="Songti SC" w:hAnsi="Songti SC" w:eastAsia="Songti SC" w:cs="Songti SC"/>
          <w:color w:val="000000"/>
        </w:rPr>
        <w:t>3.代表区政府接收区级机关、事业单位（公办医院、学校系统除外，下同）不动产产权，并承担区级机关、事业单位相关不动产建设及维修项目实施主体责任；负责区级机关、事业单位办公用房的统一规划、处置申报等管理工作。</w:t>
      </w:r>
    </w:p>
    <w:p w14:paraId="7DFAEBF4">
      <w:pPr>
        <w:ind w:firstLine="480"/>
        <w:rPr>
          <w:rFonts w:hint="eastAsia"/>
          <w:color w:val="000000"/>
        </w:rPr>
      </w:pPr>
      <w:r>
        <w:rPr>
          <w:rFonts w:hint="eastAsia" w:ascii="Songti SC" w:hAnsi="Songti SC" w:eastAsia="Songti SC" w:cs="Songti SC"/>
          <w:color w:val="000000"/>
        </w:rPr>
        <w:t>4.负责拟定机关后勤管理制度，明确统一的机关后勤服务项目和标准，加强对部门后勤服务工作的指导和监督；做好集中办公区后勤服务管理工作；负责集中办公区安全保卫工作。</w:t>
      </w:r>
    </w:p>
    <w:p w14:paraId="1E3AE6C7">
      <w:pPr>
        <w:ind w:firstLine="480"/>
        <w:rPr>
          <w:rFonts w:hint="eastAsia"/>
          <w:color w:val="000000"/>
        </w:rPr>
      </w:pPr>
      <w:r>
        <w:rPr>
          <w:rFonts w:hint="eastAsia" w:ascii="Songti SC" w:hAnsi="Songti SC" w:eastAsia="Songti SC" w:cs="Songti SC"/>
          <w:color w:val="000000"/>
        </w:rPr>
        <w:t>5.负责区级机关、事业单位公务车辆及行政执法车辆的监督管理工作；负责公务车辆及行政执法车辆管理平台的运行、维护工作。</w:t>
      </w:r>
    </w:p>
    <w:p w14:paraId="54B432F0">
      <w:pPr>
        <w:ind w:firstLine="480"/>
        <w:rPr>
          <w:rFonts w:hint="eastAsia"/>
          <w:color w:val="000000"/>
        </w:rPr>
      </w:pPr>
      <w:r>
        <w:rPr>
          <w:rFonts w:hint="eastAsia" w:ascii="Songti SC" w:hAnsi="Songti SC" w:eastAsia="Songti SC" w:cs="Songti SC"/>
          <w:color w:val="000000"/>
        </w:rPr>
        <w:t>6.负责区级机关、事业单位水电气暖、物业服务等相关运行经费管理工作；组织开展机关事务保障运行成本的统计、分析和评价工作。</w:t>
      </w:r>
    </w:p>
    <w:p w14:paraId="20130871">
      <w:pPr>
        <w:ind w:firstLine="480"/>
        <w:rPr>
          <w:rFonts w:hint="eastAsia"/>
          <w:color w:val="000000"/>
        </w:rPr>
      </w:pPr>
      <w:r>
        <w:rPr>
          <w:rFonts w:hint="eastAsia" w:ascii="Songti SC" w:hAnsi="Songti SC" w:eastAsia="Songti SC" w:cs="Songti SC"/>
          <w:color w:val="000000"/>
        </w:rPr>
        <w:t>7.负责区级机关、事业单位的节能降耗管理监督工作。</w:t>
      </w:r>
    </w:p>
    <w:p w14:paraId="15379612">
      <w:pPr>
        <w:ind w:firstLine="480"/>
        <w:rPr>
          <w:rFonts w:hint="eastAsia"/>
          <w:color w:val="000000"/>
        </w:rPr>
      </w:pPr>
      <w:r>
        <w:rPr>
          <w:rFonts w:hint="eastAsia" w:ascii="Songti SC" w:hAnsi="Songti SC" w:eastAsia="Songti SC" w:cs="Songti SC"/>
          <w:color w:val="000000"/>
        </w:rPr>
        <w:t>8.完成区委、区政府交办的其他事项。</w:t>
      </w:r>
    </w:p>
    <w:p w14:paraId="1084DACD">
      <w:pPr>
        <w:pStyle w:val="3"/>
        <w:rPr>
          <w:rFonts w:hint="eastAsia"/>
          <w:color w:val="000000"/>
          <w:lang w:eastAsia="zh-CN"/>
        </w:rPr>
      </w:pPr>
      <w:bookmarkStart w:id="115" w:name="_Toc2041981709"/>
      <w:bookmarkStart w:id="116" w:name="_Toc248265412"/>
      <w:bookmarkStart w:id="117" w:name="_Toc66881452"/>
      <w:bookmarkStart w:id="118" w:name="_Toc2027"/>
      <w:bookmarkStart w:id="119" w:name="_Toc1016465075"/>
      <w:bookmarkStart w:id="120" w:name="_Toc310345027"/>
      <w:bookmarkStart w:id="121" w:name="_Toc259694393"/>
      <w:bookmarkStart w:id="122" w:name="_Toc252369794"/>
      <w:r>
        <w:rPr>
          <w:rFonts w:hint="eastAsia" w:ascii="Songti SC" w:hAnsi="Songti SC" w:eastAsia="Songti SC" w:cs="Songti SC"/>
          <w:color w:val="000000"/>
          <w:lang w:eastAsia="zh-CN"/>
        </w:rPr>
        <w:t>项目主责单位及相关职责</w:t>
      </w:r>
      <w:bookmarkEnd w:id="115"/>
      <w:bookmarkEnd w:id="116"/>
      <w:bookmarkEnd w:id="117"/>
      <w:bookmarkEnd w:id="118"/>
      <w:bookmarkEnd w:id="119"/>
      <w:bookmarkEnd w:id="120"/>
    </w:p>
    <w:bookmarkEnd w:id="121"/>
    <w:bookmarkEnd w:id="122"/>
    <w:p w14:paraId="56334222">
      <w:pPr>
        <w:ind w:firstLine="480"/>
        <w:rPr>
          <w:rFonts w:hint="eastAsia"/>
          <w:color w:val="000000"/>
        </w:rPr>
      </w:pPr>
      <w:r>
        <w:rPr>
          <w:rFonts w:hint="eastAsia" w:ascii="Songti SC" w:hAnsi="Songti SC" w:eastAsia="Songti SC" w:cs="Songti SC"/>
          <w:color w:val="000000"/>
        </w:rPr>
        <w:t>北京市大兴区机关事务管理服务中心内设机构如下所示：</w:t>
      </w:r>
    </w:p>
    <w:p w14:paraId="21A9A777">
      <w:pPr>
        <w:ind w:firstLine="480"/>
        <w:rPr>
          <w:rFonts w:hint="eastAsia"/>
          <w:color w:val="000000"/>
        </w:rPr>
      </w:pPr>
      <w:r>
        <w:rPr>
          <w:rFonts w:hint="eastAsia" w:ascii="Songti SC" w:hAnsi="Songti SC" w:eastAsia="Songti SC" w:cs="Songti SC"/>
          <w:color w:val="000000"/>
        </w:rPr>
        <w:t>1.办公室</w:t>
      </w:r>
    </w:p>
    <w:p w14:paraId="048A46BE">
      <w:pPr>
        <w:ind w:firstLine="480"/>
        <w:rPr>
          <w:rFonts w:hint="eastAsia"/>
          <w:color w:val="000000"/>
        </w:rPr>
      </w:pPr>
      <w:r>
        <w:rPr>
          <w:rFonts w:ascii="Songti SC" w:hAnsi="Songti SC" w:eastAsia="Songti SC" w:cs="Songti SC"/>
          <w:color w:val="000000"/>
        </w:rPr>
        <w:t>负责本单位党务、政务工作；负责文件、机要、会议、档案等日常运转工作；负责纪检监察、妇联、统战、保密、法制建设、电子政务等工作；负责机关重要事项的组织、督查工作；负责重要文件的起草与落实工作；负责本单位群团工作；负责本单位年度考核、人事、机构编制和退休人员管理工作；负责单位印章、社会信用代码证书的使用管理工作；承办领导交办的其他工作。</w:t>
      </w:r>
    </w:p>
    <w:p w14:paraId="47C89794">
      <w:pPr>
        <w:ind w:firstLine="480"/>
        <w:rPr>
          <w:rFonts w:hint="eastAsia"/>
          <w:color w:val="000000"/>
        </w:rPr>
      </w:pPr>
      <w:r>
        <w:rPr>
          <w:rFonts w:hint="eastAsia" w:ascii="Songti SC" w:hAnsi="Songti SC" w:eastAsia="Songti SC" w:cs="Songti SC"/>
          <w:color w:val="000000"/>
        </w:rPr>
        <w:t>2.生活管理科</w:t>
      </w:r>
    </w:p>
    <w:p w14:paraId="756BD736">
      <w:pPr>
        <w:ind w:firstLine="480"/>
        <w:rPr>
          <w:rFonts w:hint="eastAsia"/>
          <w:color w:val="000000"/>
        </w:rPr>
      </w:pPr>
      <w:r>
        <w:rPr>
          <w:rFonts w:ascii="Songti SC" w:hAnsi="Songti SC" w:eastAsia="Songti SC" w:cs="Songti SC"/>
          <w:color w:val="000000"/>
        </w:rPr>
        <w:t>负责编制机关生活服务保障年度经费预算并组织实施；负责制定机关生活服务保障标准化、精细化管理制度并组织实施；负责集中办公区生活服务保障经费运行的统计、分析和评价工作；负责食品安全、饮用水安全管理工作；负责爱国卫生管理工作；负责餐饮服务保障工作；负责统筹、协调后勤服务保障工作；承办领导交办的其他工作。</w:t>
      </w:r>
    </w:p>
    <w:p w14:paraId="452C39A3">
      <w:pPr>
        <w:ind w:firstLine="480"/>
        <w:rPr>
          <w:rFonts w:hint="eastAsia"/>
          <w:color w:val="000000"/>
        </w:rPr>
      </w:pPr>
      <w:r>
        <w:rPr>
          <w:rFonts w:hint="eastAsia" w:ascii="Songti SC" w:hAnsi="Songti SC" w:eastAsia="Songti SC" w:cs="Songti SC"/>
          <w:color w:val="000000"/>
        </w:rPr>
        <w:t>3.机关事务监管科</w:t>
      </w:r>
    </w:p>
    <w:p w14:paraId="4CAC0857">
      <w:pPr>
        <w:ind w:firstLine="480"/>
        <w:rPr>
          <w:rFonts w:hint="eastAsia"/>
          <w:color w:val="000000"/>
        </w:rPr>
      </w:pPr>
      <w:r>
        <w:rPr>
          <w:rFonts w:ascii="Songti SC" w:hAnsi="Songti SC" w:eastAsia="Songti SC" w:cs="Songti SC"/>
          <w:color w:val="000000"/>
        </w:rPr>
        <w:t>负责拟定机关事务管理服务保障标准化、精细化管理制度并监督实施；负责拟定集中办公区重要设施、设备维保标准并组织实施；负责拟定物业监管办法并组织实施；负责明确统一的机关事务服务项目和标准；负责物业服务企业日常监管工作；负责会议室管理使用工作；负责各集中办公区社会化服务、会务保障、卫生保洁、安全保卫等监督工作；负责本单位内审工作；负责本单位合同的监督管理工作；承办领导交办的其他工作。</w:t>
      </w:r>
    </w:p>
    <w:p w14:paraId="7EC8E18B">
      <w:pPr>
        <w:ind w:firstLine="480"/>
        <w:rPr>
          <w:rFonts w:hint="eastAsia"/>
          <w:color w:val="000000"/>
        </w:rPr>
      </w:pPr>
      <w:r>
        <w:rPr>
          <w:rFonts w:hint="eastAsia" w:ascii="Songti SC" w:hAnsi="Songti SC" w:eastAsia="Songti SC" w:cs="Songti SC"/>
          <w:color w:val="000000"/>
        </w:rPr>
        <w:t>4.车辆管理科</w:t>
      </w:r>
    </w:p>
    <w:p w14:paraId="7B819FEE">
      <w:pPr>
        <w:ind w:firstLine="480"/>
        <w:rPr>
          <w:rFonts w:hint="eastAsia"/>
          <w:color w:val="000000"/>
        </w:rPr>
      </w:pPr>
      <w:r>
        <w:rPr>
          <w:rFonts w:ascii="Songti SC" w:hAnsi="Songti SC" w:eastAsia="Songti SC" w:cs="Songti SC"/>
          <w:color w:val="000000"/>
        </w:rPr>
        <w:t>负责拟定本区公务车辆管理使用办法，并组织实施；负责车辆管理系统的建设、运行维护工作；负责编制本单位的公务车辆年度经费预算及车辆维修、保养、年检工作；负责驾驶员的安全教育和培训工作；负责本区公务车辆及行政执法车辆的调度、监督管理工作。承办领导交办的其他工作</w:t>
      </w:r>
      <w:r>
        <w:rPr>
          <w:rFonts w:hint="eastAsia" w:ascii="Songti SC" w:hAnsi="Songti SC" w:eastAsia="Songti SC" w:cs="Songti SC"/>
          <w:color w:val="000000"/>
        </w:rPr>
        <w:t>。</w:t>
      </w:r>
    </w:p>
    <w:p w14:paraId="36E17934">
      <w:pPr>
        <w:ind w:firstLine="480"/>
        <w:rPr>
          <w:rFonts w:hint="eastAsia"/>
          <w:color w:val="000000"/>
        </w:rPr>
      </w:pPr>
      <w:r>
        <w:rPr>
          <w:rFonts w:hint="eastAsia" w:ascii="Songti SC" w:hAnsi="Songti SC" w:eastAsia="Songti SC" w:cs="Songti SC"/>
          <w:color w:val="000000"/>
        </w:rPr>
        <w:t>5.资产管理科</w:t>
      </w:r>
    </w:p>
    <w:p w14:paraId="02F39098">
      <w:pPr>
        <w:ind w:firstLine="480"/>
        <w:rPr>
          <w:rFonts w:hint="eastAsia"/>
          <w:color w:val="000000"/>
        </w:rPr>
      </w:pPr>
      <w:r>
        <w:rPr>
          <w:rFonts w:ascii="Songti SC" w:hAnsi="Songti SC" w:eastAsia="Songti SC" w:cs="Songti SC"/>
          <w:color w:val="000000"/>
        </w:rPr>
        <w:t>负责区级机关、事业单位不动产的规划、权属、配置相关工作；负责集中办公区办公用房的登记、管理及调配工作；会同有关部门负责区级机关、事业单位公物仓建设、使用、管理；负责本单位固定资产配置、调拨、处置、报废工作；负责本单位货物类商品采购管理工作；承办领导交办的其他工作。</w:t>
      </w:r>
    </w:p>
    <w:p w14:paraId="54FEBC62">
      <w:pPr>
        <w:ind w:firstLine="480"/>
        <w:rPr>
          <w:rFonts w:hint="eastAsia"/>
          <w:color w:val="000000" w:themeColor="text1"/>
          <w:highlight w:val="none"/>
          <w14:textFill>
            <w14:solidFill>
              <w14:schemeClr w14:val="tx1"/>
            </w14:solidFill>
          </w14:textFill>
        </w:rPr>
      </w:pPr>
      <w:r>
        <w:rPr>
          <w:rFonts w:hint="eastAsia" w:ascii="Songti SC" w:hAnsi="Songti SC" w:eastAsia="Songti SC" w:cs="Songti SC"/>
          <w:color w:val="000000"/>
          <w:highlight w:val="none"/>
        </w:rPr>
        <w:t>6.基建科</w:t>
      </w:r>
    </w:p>
    <w:p w14:paraId="4B8DD90A">
      <w:pPr>
        <w:ind w:firstLine="480"/>
        <w:rPr>
          <w:rFonts w:hint="eastAsia"/>
          <w:color w:val="000000"/>
          <w:highlight w:val="none"/>
        </w:rPr>
      </w:pPr>
      <w:r>
        <w:rPr>
          <w:rFonts w:hint="eastAsia" w:ascii="Songti SC" w:hAnsi="Songti SC" w:eastAsia="Songti SC" w:cs="Songti SC"/>
          <w:color w:val="000000"/>
          <w:highlight w:val="none"/>
        </w:rPr>
        <w:t>负责区级机关、事业单位办公用房建设、装修、改造、维修计划编制和报批工作；负责做好工程项目招投标工作；负责工程项目的组织、协调工作，并配合有关部门做好工程监督和安全管理工作；承办领导交办的其他工作。</w:t>
      </w:r>
    </w:p>
    <w:p w14:paraId="1BCC3285">
      <w:pPr>
        <w:ind w:firstLine="480"/>
        <w:rPr>
          <w:rFonts w:hint="eastAsia"/>
          <w:color w:val="000000"/>
          <w:highlight w:val="none"/>
        </w:rPr>
      </w:pPr>
      <w:r>
        <w:rPr>
          <w:rFonts w:hint="eastAsia" w:ascii="Songti SC" w:hAnsi="Songti SC" w:eastAsia="Songti SC" w:cs="Songti SC"/>
          <w:color w:val="000000"/>
          <w:highlight w:val="none"/>
        </w:rPr>
        <w:t>7.财务结算一科</w:t>
      </w:r>
    </w:p>
    <w:p w14:paraId="03BAE2A6">
      <w:pPr>
        <w:ind w:firstLine="480"/>
        <w:rPr>
          <w:rFonts w:hint="eastAsia"/>
          <w:color w:val="000000" w:themeColor="text1"/>
          <w:highlight w:val="none"/>
          <w14:textFill>
            <w14:solidFill>
              <w14:schemeClr w14:val="tx1"/>
            </w14:solidFill>
          </w14:textFill>
        </w:rPr>
      </w:pPr>
      <w:r>
        <w:rPr>
          <w:rFonts w:ascii="Songti SC" w:hAnsi="Songti SC" w:eastAsia="Songti SC" w:cs="Songti SC"/>
          <w:color w:val="000000"/>
          <w:highlight w:val="none"/>
        </w:rPr>
        <w:t>承担指定区级机关、事业单位的资金往来结算、会计核算以及财务报表的编制工作；负责统一、规范所承担单位的财务原始凭证资料，并执行规范性、完整性审核；与固定资产管理单位对接，负责所承担单位范围内固定资产的会计账务处理工作；负责所承担单位范围内职工的薪资待遇、福利等相关的资金发放和支出工作；负责所承担单位范围内的会计档案管理工作；负责对接所辖单位范围内的财务需求，收集信息，合理设置职责内的财务体系、流程、制度；区机关事务中心原财务科，本单位年度预算、决算、资金管理使用；负责各集中办公区运行成本的统计、分析和评价；负责本单位固定资产的账务处理、职工工资及福利发放、职工保险缴纳、退休手续办理；负责食堂财务监管及成本核算等工作。</w:t>
      </w:r>
    </w:p>
    <w:p w14:paraId="3395B4FA">
      <w:pPr>
        <w:ind w:firstLine="480"/>
        <w:rPr>
          <w:rFonts w:hint="eastAsia"/>
          <w:color w:val="000000"/>
          <w:highlight w:val="none"/>
        </w:rPr>
      </w:pPr>
      <w:r>
        <w:rPr>
          <w:rFonts w:hint="eastAsia" w:ascii="Songti SC" w:hAnsi="Songti SC" w:eastAsia="Songti SC" w:cs="Songti SC"/>
          <w:color w:val="000000"/>
          <w:highlight w:val="none"/>
        </w:rPr>
        <w:t>8.财务结算二科</w:t>
      </w:r>
    </w:p>
    <w:p w14:paraId="114C96EA">
      <w:pPr>
        <w:ind w:firstLine="480"/>
        <w:rPr>
          <w:rFonts w:hint="eastAsia"/>
          <w:color w:val="000000" w:themeColor="text1"/>
          <w:highlight w:val="none"/>
          <w14:textFill>
            <w14:solidFill>
              <w14:schemeClr w14:val="tx1"/>
            </w14:solidFill>
          </w14:textFill>
        </w:rPr>
      </w:pPr>
      <w:r>
        <w:rPr>
          <w:rFonts w:ascii="Songti SC" w:hAnsi="Songti SC" w:eastAsia="Songti SC" w:cs="Songti SC"/>
          <w:color w:val="000000"/>
          <w:highlight w:val="none"/>
        </w:rPr>
        <w:t>承担指定区级机关、事业单位的资金往来结算、会计核算以及财务报表的编制工作；负责统一、规范所承担单位的财务原始凭证资料，并执行规范性、完整性审核；与固定资产管理单位对接，负责所承担单位范围内固定资产的会计账务处理工作；负责所承担单位范围内职工的薪资待遇、福利等相关的资金发放和支出工作；负责所承担单位范围内的会计档案管理工作；负责对接所辖单位范围内的财务需求，收集信息，合理设置职责内的财务体系、流程、制度。</w:t>
      </w:r>
    </w:p>
    <w:p w14:paraId="42465C69">
      <w:pPr>
        <w:ind w:firstLine="480"/>
        <w:rPr>
          <w:rFonts w:hint="eastAsia"/>
          <w:color w:val="000000" w:themeColor="text1"/>
          <w:highlight w:val="none"/>
          <w14:textFill>
            <w14:solidFill>
              <w14:schemeClr w14:val="tx1"/>
            </w14:solidFill>
          </w14:textFill>
        </w:rPr>
      </w:pPr>
      <w:r>
        <w:rPr>
          <w:rFonts w:hint="eastAsia" w:ascii="Songti SC" w:hAnsi="Songti SC" w:eastAsia="Songti SC" w:cs="Songti SC"/>
          <w:color w:val="000000"/>
          <w:highlight w:val="none"/>
        </w:rPr>
        <w:t>9.财务结算三科</w:t>
      </w:r>
    </w:p>
    <w:p w14:paraId="2053F3F9">
      <w:pPr>
        <w:ind w:firstLine="480"/>
        <w:rPr>
          <w:rFonts w:hint="eastAsia"/>
          <w:color w:val="000000" w:themeColor="text1"/>
          <w:highlight w:val="none"/>
          <w14:textFill>
            <w14:solidFill>
              <w14:schemeClr w14:val="tx1"/>
            </w14:solidFill>
          </w14:textFill>
        </w:rPr>
      </w:pPr>
      <w:r>
        <w:rPr>
          <w:rFonts w:ascii="Songti SC" w:hAnsi="Songti SC" w:eastAsia="Songti SC" w:cs="Songti SC"/>
          <w:color w:val="000000"/>
          <w:highlight w:val="none"/>
        </w:rPr>
        <w:t>承担指定区级机关、事业单位的资金往来结算、会计核算以及财务报表的编制工作；负责统一、规范所承担单位的财务原始凭证资料，并执行规范性、完整性审核；与固定资产管理单位对接，负责所承担单位范围内固定资产的会计账务处理工作；负责所承担单位范围内职工的薪资待遇、福利等相关的资金发放和支出工作；负责所承担单位范围内的会计档案管理工作；负责对接所辖单位范围内的财务需求，收集信息，合理设置职责内的财务体系、流程、制度。</w:t>
      </w:r>
    </w:p>
    <w:p w14:paraId="4FC36A67">
      <w:pPr>
        <w:ind w:firstLine="480"/>
        <w:rPr>
          <w:rFonts w:hint="eastAsia"/>
          <w:color w:val="000000" w:themeColor="text1"/>
          <w:highlight w:val="none"/>
          <w14:textFill>
            <w14:solidFill>
              <w14:schemeClr w14:val="tx1"/>
            </w14:solidFill>
          </w14:textFill>
        </w:rPr>
      </w:pPr>
      <w:r>
        <w:rPr>
          <w:rFonts w:hint="eastAsia" w:ascii="Songti SC" w:hAnsi="Songti SC" w:eastAsia="Songti SC" w:cs="Songti SC"/>
          <w:color w:val="000000"/>
          <w:highlight w:val="none"/>
        </w:rPr>
        <w:t>10.综合管理科</w:t>
      </w:r>
    </w:p>
    <w:p w14:paraId="16D5CE2F">
      <w:pPr>
        <w:ind w:firstLine="480"/>
        <w:rPr>
          <w:rFonts w:hint="eastAsia"/>
          <w:color w:val="000000" w:themeColor="text1"/>
          <w:highlight w:val="none"/>
          <w14:textFill>
            <w14:solidFill>
              <w14:schemeClr w14:val="tx1"/>
            </w14:solidFill>
          </w14:textFill>
        </w:rPr>
      </w:pPr>
      <w:r>
        <w:rPr>
          <w:rFonts w:ascii="Songti SC" w:hAnsi="Songti SC" w:eastAsia="Songti SC" w:cs="Songti SC"/>
          <w:color w:val="000000"/>
          <w:highlight w:val="none"/>
        </w:rPr>
        <w:t>负责拟定集中办公区安全生产及消防安全监管管理制度并组织实施；负责协调区内相关部门，对各办公区开展安全生产检查相关工作；负责安全防范宣传教育培训工作；制定机关事务信息化保障工作办法并组织实施；负责机关事务管理信息化建设；负责对信息化运维服务企业日常监督管理；承办领导交办的其他工作。</w:t>
      </w:r>
    </w:p>
    <w:p w14:paraId="23538F9B">
      <w:pPr>
        <w:ind w:firstLine="480"/>
        <w:rPr>
          <w:rFonts w:hint="eastAsia"/>
          <w:color w:val="000000" w:themeColor="text1"/>
          <w:highlight w:val="none"/>
          <w14:textFill>
            <w14:solidFill>
              <w14:schemeClr w14:val="tx1"/>
            </w14:solidFill>
          </w14:textFill>
        </w:rPr>
      </w:pPr>
      <w:r>
        <w:rPr>
          <w:rFonts w:hint="eastAsia" w:ascii="Songti SC" w:hAnsi="Songti SC" w:eastAsia="Songti SC" w:cs="Songti SC"/>
          <w:color w:val="000000"/>
          <w:highlight w:val="none"/>
        </w:rPr>
        <w:t>11.公共机构节能管理科</w:t>
      </w:r>
    </w:p>
    <w:p w14:paraId="57B8FF6E">
      <w:pPr>
        <w:ind w:firstLine="480"/>
        <w:rPr>
          <w:rFonts w:hint="eastAsia"/>
          <w:color w:val="000000" w:themeColor="text1"/>
          <w:highlight w:val="none"/>
          <w14:textFill>
            <w14:solidFill>
              <w14:schemeClr w14:val="tx1"/>
            </w14:solidFill>
          </w14:textFill>
        </w:rPr>
      </w:pPr>
      <w:r>
        <w:rPr>
          <w:rFonts w:ascii="Songti SC" w:hAnsi="Songti SC" w:eastAsia="Songti SC" w:cs="Songti SC"/>
          <w:color w:val="000000"/>
          <w:highlight w:val="none"/>
        </w:rPr>
        <w:t>负责区级机关、事业单位公共机构节能指导、监督、管理工作；会同区有关部门制定区级公共机构节能规划、规章制度、节能改造计划；组织开展公共机构能源资源消耗统计、监测等工作；开展公共机构节能宣传、教育和培训，普及节能科学知识；负责垃圾分类方案制定、监督、指导、落实等工作。承办领导交办的其他工作。</w:t>
      </w:r>
    </w:p>
    <w:p w14:paraId="6F2BFBCB">
      <w:pPr>
        <w:pStyle w:val="2"/>
        <w:rPr>
          <w:rFonts w:hint="eastAsia"/>
          <w:color w:val="000000"/>
        </w:rPr>
      </w:pPr>
      <w:bookmarkStart w:id="123" w:name="_Toc496103640"/>
      <w:r>
        <w:rPr>
          <w:rFonts w:hint="eastAsia"/>
          <w:color w:val="000000" w:themeColor="text1"/>
          <w14:textFill>
            <w14:solidFill>
              <w14:schemeClr w14:val="tx1"/>
            </w14:solidFill>
          </w14:textFill>
        </w:rPr>
        <w:t>项目建设的必要性和可行性</w:t>
      </w:r>
      <w:bookmarkEnd w:id="123"/>
    </w:p>
    <w:p w14:paraId="533B2A22">
      <w:pPr>
        <w:pStyle w:val="3"/>
        <w:rPr>
          <w:rFonts w:hint="eastAsia"/>
          <w:color w:val="000000" w:themeColor="text1"/>
          <w14:textFill>
            <w14:solidFill>
              <w14:schemeClr w14:val="tx1"/>
            </w14:solidFill>
          </w14:textFill>
        </w:rPr>
      </w:pPr>
      <w:bookmarkStart w:id="124" w:name="_Toc259694399"/>
      <w:bookmarkStart w:id="125" w:name="_Toc66881455"/>
      <w:bookmarkStart w:id="126" w:name="_Toc358483487"/>
      <w:bookmarkStart w:id="127" w:name="_Toc1482359826"/>
      <w:bookmarkStart w:id="128" w:name="_Toc271804380"/>
      <w:bookmarkStart w:id="129" w:name="_Toc252369800"/>
      <w:bookmarkStart w:id="130" w:name="_Toc326"/>
      <w:bookmarkStart w:id="131" w:name="_Toc259782083"/>
      <w:bookmarkStart w:id="132" w:name="_Toc924840762"/>
      <w:r>
        <w:rPr>
          <w:rFonts w:hint="eastAsia"/>
          <w:color w:val="000000" w:themeColor="text1"/>
          <w14:textFill>
            <w14:solidFill>
              <w14:schemeClr w14:val="tx1"/>
            </w14:solidFill>
          </w14:textFill>
        </w:rPr>
        <w:t>项目背景</w:t>
      </w:r>
      <w:bookmarkEnd w:id="124"/>
      <w:bookmarkEnd w:id="125"/>
      <w:bookmarkEnd w:id="126"/>
      <w:bookmarkEnd w:id="127"/>
      <w:bookmarkEnd w:id="128"/>
      <w:bookmarkEnd w:id="129"/>
      <w:bookmarkEnd w:id="130"/>
      <w:bookmarkEnd w:id="131"/>
      <w:bookmarkEnd w:id="132"/>
    </w:p>
    <w:p w14:paraId="3451001E">
      <w:pPr>
        <w:pStyle w:val="4"/>
        <w:rPr>
          <w:rFonts w:hint="eastAsia"/>
          <w:color w:val="000000" w:themeColor="text1"/>
          <w14:textFill>
            <w14:solidFill>
              <w14:schemeClr w14:val="tx1"/>
            </w14:solidFill>
          </w14:textFill>
        </w:rPr>
      </w:pPr>
      <w:bookmarkStart w:id="133" w:name="_Toc1063806735"/>
      <w:bookmarkStart w:id="134" w:name="_Toc25853"/>
      <w:bookmarkStart w:id="135" w:name="_Toc312049948"/>
      <w:bookmarkStart w:id="136" w:name="_Toc1340336174"/>
      <w:r>
        <w:rPr>
          <w:rFonts w:hint="eastAsia"/>
          <w:color w:val="000000" w:themeColor="text1"/>
          <w14:textFill>
            <w14:solidFill>
              <w14:schemeClr w14:val="tx1"/>
            </w14:solidFill>
          </w14:textFill>
        </w:rPr>
        <w:t>规划定位</w:t>
      </w:r>
      <w:bookmarkEnd w:id="133"/>
      <w:bookmarkEnd w:id="134"/>
      <w:bookmarkEnd w:id="135"/>
      <w:bookmarkEnd w:id="136"/>
    </w:p>
    <w:p w14:paraId="0D528776">
      <w:pPr>
        <w:ind w:firstLine="480"/>
        <w:rPr>
          <w:rFonts w:hint="eastAsia" w:ascii="Songti SC" w:hAnsi="Songti SC" w:eastAsia="Songti SC" w:cs="Songti SC"/>
          <w:color w:val="000000"/>
          <w:lang w:bidi="ar"/>
        </w:rPr>
      </w:pPr>
      <w:r>
        <w:rPr>
          <w:rFonts w:hint="eastAsia" w:ascii="Songti SC" w:hAnsi="Songti SC" w:eastAsia="Songti SC" w:cs="Songti SC"/>
          <w:color w:val="000000"/>
          <w:lang w:bidi="ar"/>
        </w:rPr>
        <w:t>本中心承担集中办公区食堂消费服务保障职责，现有系统承载人员、账户、充值、消费、结算和统计业务。按本轮现状资料，系统运行于区政数局本地政务机房虚拟机，原机房拟停止服务。为避免承载环境退出影响就餐与资金核对，本中心拟组织迁移至政务云，明确业务承接、数据核对、接口衔接及切换回退要求。迁移必要性与应用改造方式分别论证，技术路线服从实际兼容差距和建设成本。</w:t>
      </w:r>
    </w:p>
    <w:p w14:paraId="1AAD7289">
      <w:pPr>
        <w:rPr>
          <w:rFonts w:hint="eastAsia" w:ascii="Songti SC" w:hAnsi="Songti SC" w:eastAsia="Songti SC" w:cs="Songti SC"/>
          <w:color w:val="000000"/>
        </w:rPr>
      </w:pPr>
      <w:r>
        <w:rPr>
          <w:rFonts w:hint="eastAsia" w:ascii="Songti SC" w:hAnsi="Songti SC" w:eastAsia="Songti SC" w:cs="Songti SC"/>
          <w:color w:val="000000"/>
        </w:rPr>
        <w:t>一是业务依据。现有系统覆盖17处集中办公区约11000名就餐人员，是机关餐饮服务保障和运行成本统计分析的重要信息化支撑。</w:t>
      </w:r>
    </w:p>
    <w:p w14:paraId="497CC1CF">
      <w:pPr>
        <w:rPr>
          <w:rFonts w:hint="eastAsia" w:ascii="Songti SC" w:hAnsi="Songti SC" w:eastAsia="Songti SC" w:cs="Songti SC"/>
          <w:color w:val="000000"/>
        </w:rPr>
      </w:pPr>
      <w:r>
        <w:rPr>
          <w:rFonts w:hint="eastAsia" w:ascii="Songti SC" w:hAnsi="Songti SC" w:eastAsia="Songti SC" w:cs="Songti SC"/>
          <w:color w:val="000000"/>
        </w:rPr>
        <w:t>二是管理依据。项目按照区级信息化项目审查、数据目录编制、网络安全等级保护和商用密码应用要求组织建设和验收。</w:t>
      </w:r>
    </w:p>
    <w:p w14:paraId="0EBE2E07">
      <w:pPr>
        <w:rPr>
          <w:rFonts w:hint="eastAsia" w:ascii="Songti SC" w:hAnsi="Songti SC" w:eastAsia="Songti SC" w:cs="Songti SC"/>
          <w:color w:val="000000"/>
          <w:lang w:bidi="ar"/>
        </w:rPr>
      </w:pPr>
      <w:r>
        <w:rPr>
          <w:rFonts w:hint="eastAsia" w:ascii="Songti SC" w:hAnsi="Songti SC" w:eastAsia="Songti SC" w:cs="Songti SC"/>
          <w:color w:val="000000"/>
        </w:rPr>
        <w:t>三是承载条件依据。现状虚拟机是计算资源的提供方式，电子政务外网是业务接入网络，两者均不能单独证明资源属于政务云。按本轮现状资料，现有资源归属区政数局本地政务机房，目标承载环境为政务云。本中心将会同资源管理单位核对平台归属、现有配置、停服安排及目标资源要求，形成资源和迁移交接依据。</w:t>
      </w:r>
    </w:p>
    <w:p w14:paraId="322363C1">
      <w:pPr>
        <w:pStyle w:val="5"/>
        <w:rPr>
          <w:rFonts w:hint="eastAsia"/>
          <w:color w:val="000000"/>
        </w:rPr>
      </w:pPr>
      <w:r>
        <w:rPr>
          <w:rFonts w:hint="eastAsia" w:ascii="Songti SC" w:hAnsi="Songti SC" w:eastAsia="Songti SC" w:cs="Songti SC"/>
          <w:color w:val="000000"/>
        </w:rPr>
        <w:t>立项论证过程</w:t>
      </w:r>
    </w:p>
    <w:p w14:paraId="12B6AB33">
      <w:pPr>
        <w:ind w:firstLine="480"/>
        <w:rPr>
          <w:rFonts w:hint="eastAsia"/>
          <w:color w:val="000000"/>
          <w:lang w:bidi="ar"/>
        </w:rPr>
      </w:pPr>
      <w:r>
        <w:rPr>
          <w:rFonts w:hint="eastAsia" w:ascii="Songti SC" w:hAnsi="Songti SC" w:eastAsia="Songti SC" w:cs="Songti SC"/>
          <w:color w:val="000000"/>
          <w:lang w:bidi="ar"/>
        </w:rPr>
        <w:t>一是核实业务与运行现状。本中心围绕17处集中办公区的人员管理、充值、消费、结算和统计需求，组织核对现有功能、数据、终端及外部接口，明确迁移期间应持续保障的业务、允许的切换窗口及账务核对要求。对性能不足、安全缺陷等问题，仅以运行记录或评估结果作为依据，不将一般风险表述为已发生故障。</w:t>
      </w:r>
    </w:p>
    <w:p w14:paraId="04D26CF7">
      <w:pPr>
        <w:ind w:firstLine="480"/>
        <w:rPr>
          <w:rFonts w:hint="eastAsia"/>
          <w:color w:val="000000"/>
          <w:lang w:bidi="ar"/>
        </w:rPr>
      </w:pPr>
      <w:r>
        <w:rPr>
          <w:rFonts w:hint="eastAsia" w:ascii="Songti SC" w:hAnsi="Songti SC" w:eastAsia="Songti SC" w:cs="Songti SC"/>
          <w:color w:val="000000"/>
          <w:lang w:bidi="ar"/>
        </w:rPr>
        <w:t>二是组织技术路线核查。围绕原系统框架版本、操作系统和数据库依赖、终端及外部接口，分别核查沿用原系统适配与采用成熟产品承接的实施条件；对目标环境兼容性、历史数据转换、关键业务回归、切换和回退进行验证，形成差距清单及工作量依据。</w:t>
      </w:r>
    </w:p>
    <w:p w14:paraId="17AB045E">
      <w:pPr>
        <w:ind w:firstLine="480"/>
        <w:rPr>
          <w:rFonts w:hint="eastAsia"/>
          <w:color w:val="000000"/>
          <w:lang w:bidi="ar"/>
        </w:rPr>
      </w:pPr>
      <w:r>
        <w:rPr>
          <w:rFonts w:hint="eastAsia" w:ascii="Songti SC" w:hAnsi="Songti SC" w:eastAsia="Songti SC" w:cs="Songti SC"/>
          <w:color w:val="000000"/>
          <w:lang w:bidi="ar"/>
        </w:rPr>
        <w:t>三是开展成本与效益比较。本中心将初始建设费用、软件授权、数据迁移、业务中断风险及后续运维投入纳入同一比较口径，评价不同路线对业务连续和资金安全的保障效果。缺少报价、兼容性验证或运维依据的结论作为待核事项，不直接表述为已经完成经济性论证。</w:t>
      </w:r>
    </w:p>
    <w:p w14:paraId="16D34C50">
      <w:pPr>
        <w:pStyle w:val="5"/>
        <w:rPr>
          <w:rFonts w:hint="eastAsia"/>
          <w:color w:val="000000"/>
        </w:rPr>
      </w:pPr>
      <w:r>
        <w:rPr>
          <w:rFonts w:hint="eastAsia" w:ascii="Songti SC" w:hAnsi="Songti SC" w:eastAsia="Songti SC" w:cs="Songti SC"/>
          <w:color w:val="000000"/>
        </w:rPr>
        <w:t>系统升级改造意义</w:t>
      </w:r>
    </w:p>
    <w:p w14:paraId="43235B73">
      <w:pPr>
        <w:ind w:firstLine="480"/>
        <w:rPr>
          <w:rFonts w:hint="eastAsia"/>
          <w:color w:val="000000"/>
          <w:lang w:bidi="ar"/>
        </w:rPr>
      </w:pPr>
      <w:r>
        <w:rPr>
          <w:rFonts w:hint="eastAsia" w:ascii="Songti SC" w:hAnsi="Songti SC" w:eastAsia="Songti SC" w:cs="Songti SC"/>
          <w:color w:val="000000"/>
          <w:lang w:bidi="ar"/>
        </w:rPr>
        <w:t>一是保障数据与账户安全。食堂消费系统处理人员资料、账户余额及充值消费记录，本中心需在环境迁移过程中落实访问控制、数据核对和备份恢复，防止数据丢失、账务差异及未经授权访问。安全效果以措施落实和验证结果评价，不由软件产地或开发语言直接推定。</w:t>
      </w:r>
    </w:p>
    <w:p w14:paraId="3E782212">
      <w:pPr>
        <w:ind w:firstLine="480"/>
        <w:rPr>
          <w:rFonts w:hint="eastAsia"/>
          <w:color w:val="000000"/>
          <w:lang w:bidi="ar"/>
        </w:rPr>
      </w:pPr>
      <w:r>
        <w:rPr>
          <w:rFonts w:hint="eastAsia" w:ascii="Songti SC" w:hAnsi="Songti SC" w:eastAsia="Songti SC" w:cs="Songti SC"/>
          <w:color w:val="000000"/>
          <w:lang w:bidi="ar"/>
        </w:rPr>
        <w:t>二是保障既有业务衔接。本中心组织管理人员、财务人员、各食堂及相关接口单位核对原业务规则，保持人员、充值、消费、查询和结算链路衔接，减少迁移对日常就餐和管理工作的影响。</w:t>
      </w:r>
    </w:p>
    <w:p w14:paraId="21BFD778">
      <w:pPr>
        <w:ind w:firstLine="480"/>
        <w:rPr>
          <w:rFonts w:hint="eastAsia"/>
          <w:color w:val="000000"/>
          <w:lang w:bidi="ar"/>
        </w:rPr>
      </w:pPr>
      <w:r>
        <w:rPr>
          <w:rFonts w:hint="eastAsia" w:ascii="Songti SC" w:hAnsi="Songti SC" w:eastAsia="Songti SC" w:cs="Songti SC"/>
          <w:color w:val="000000"/>
          <w:lang w:bidi="ar"/>
        </w:rPr>
        <w:t>三是明确迁移责任。本中心组织原承载方、目标云管理方和承建单位划清资源交付、网络接入、数据迁移、运行监测及故障处置责任，依据实际差距安排改造，防止仅完成部署地址变更而遗漏业务和运维交接。</w:t>
      </w:r>
    </w:p>
    <w:p w14:paraId="57B9E2A5">
      <w:pPr>
        <w:ind w:firstLine="480"/>
        <w:rPr>
          <w:rFonts w:hint="eastAsia"/>
          <w:color w:val="000000"/>
          <w:lang w:bidi="ar"/>
        </w:rPr>
      </w:pPr>
      <w:r>
        <w:rPr>
          <w:rFonts w:hint="eastAsia" w:ascii="Songti SC" w:hAnsi="Songti SC" w:eastAsia="Songti SC" w:cs="Songti SC"/>
          <w:color w:val="000000"/>
          <w:lang w:bidi="ar"/>
        </w:rPr>
        <w:t>四是规范项目建设。本中心结合政务信息化项目管理要求，明确本期范围、投资依据和验收标准，将可复用资源与确需新增投入分别列明，保障财政资金用于本项目实际建设需求。</w:t>
      </w:r>
    </w:p>
    <w:p w14:paraId="1138BBCC">
      <w:pPr>
        <w:pStyle w:val="4"/>
        <w:rPr>
          <w:rFonts w:hint="eastAsia"/>
          <w:color w:val="000000"/>
        </w:rPr>
      </w:pPr>
      <w:bookmarkStart w:id="137" w:name="_Toc13968"/>
      <w:bookmarkStart w:id="138" w:name="_Toc2074103035"/>
      <w:bookmarkStart w:id="139" w:name="_Toc1598433870"/>
      <w:bookmarkStart w:id="140" w:name="_Toc468410062"/>
      <w:r>
        <w:rPr>
          <w:rFonts w:hint="eastAsia" w:ascii="Songti SC" w:hAnsi="Songti SC" w:eastAsia="Songti SC" w:cs="Songti SC"/>
          <w:color w:val="000000"/>
        </w:rPr>
        <w:t>立项依据</w:t>
      </w:r>
      <w:bookmarkEnd w:id="137"/>
      <w:bookmarkEnd w:id="138"/>
      <w:bookmarkEnd w:id="139"/>
      <w:bookmarkEnd w:id="140"/>
    </w:p>
    <w:p w14:paraId="48892B25">
      <w:pPr>
        <w:ind w:firstLine="480"/>
        <w:rPr>
          <w:rFonts w:hint="eastAsia"/>
          <w:color w:val="000000"/>
          <w:lang w:bidi="ar"/>
        </w:rPr>
      </w:pPr>
      <w:r>
        <w:rPr>
          <w:rFonts w:ascii="Songti SC" w:hAnsi="Songti SC" w:eastAsia="Songti SC" w:cs="Songti SC"/>
          <w:color w:val="000000"/>
          <w:lang w:bidi="ar"/>
        </w:rPr>
        <w:t>本项目以业务连续、数据准确、安全合规和合理利用可复用基础资源为原则，依据国家、北京市及大兴区关于政务信息化项目管理、网络安全、商用密码和数据资源管理的相关要求实施。</w:t>
      </w:r>
    </w:p>
    <w:p w14:paraId="51490075">
      <w:pPr>
        <w:ind w:firstLine="480"/>
        <w:rPr>
          <w:rFonts w:hint="eastAsia"/>
          <w:color w:val="000000"/>
          <w:lang w:bidi="ar"/>
        </w:rPr>
      </w:pPr>
      <w:r>
        <w:rPr>
          <w:rFonts w:hint="eastAsia" w:ascii="Songti SC" w:hAnsi="Songti SC" w:eastAsia="Songti SC" w:cs="Songti SC"/>
          <w:color w:val="000000"/>
          <w:lang w:bidi="ar"/>
        </w:rPr>
        <w:t>一是国家战略指引。国家创新驱动发展战略和信息技术应用创新相关部署明确要求实现关键核心技术安全稳定，为政务信息系统开展兼容适配升级提供了根本遵循。</w:t>
      </w:r>
    </w:p>
    <w:p w14:paraId="78A3766C">
      <w:pPr>
        <w:ind w:firstLine="480"/>
        <w:rPr>
          <w:rFonts w:hint="eastAsia"/>
          <w:color w:val="000000"/>
          <w:lang w:bidi="ar"/>
        </w:rPr>
      </w:pPr>
      <w:r>
        <w:rPr>
          <w:rFonts w:ascii="Songti SC" w:hAnsi="Songti SC" w:eastAsia="Songti SC" w:cs="Songti SC"/>
          <w:color w:val="000000"/>
          <w:lang w:bidi="ar"/>
        </w:rPr>
        <w:t>二是市级政策支撑。北京市持续推进信息技术应用创新产业高地建设，明确政务领域系统升级改造目标和技术方向，要求在智慧城市建设中推广安全可控的信息技术产品和服务，为项目提供直接政策依据。</w:t>
      </w:r>
    </w:p>
    <w:p w14:paraId="3202F8FC">
      <w:pPr>
        <w:ind w:firstLine="480"/>
        <w:rPr>
          <w:rFonts w:hint="eastAsia"/>
          <w:color w:val="000000"/>
          <w:lang w:bidi="ar"/>
        </w:rPr>
      </w:pPr>
      <w:r>
        <w:rPr>
          <w:rFonts w:ascii="Songti SC" w:hAnsi="Songti SC" w:eastAsia="Songti SC" w:cs="Songti SC"/>
          <w:color w:val="000000"/>
          <w:lang w:bidi="ar"/>
        </w:rPr>
        <w:t>三是区级规划落地。大兴区新型智慧城市建设相关规划明确，全面采用国家信息化体系软硬件产品与配套服务，落实“安全第一、安全稳定”建设原则，本项目是该规划在政务后勤服务领域的落地实践。</w:t>
      </w:r>
    </w:p>
    <w:p w14:paraId="371696D1">
      <w:pPr>
        <w:pStyle w:val="3"/>
        <w:rPr>
          <w:rFonts w:hint="eastAsia"/>
          <w:color w:val="000000"/>
          <w:lang w:eastAsia="zh-CN"/>
        </w:rPr>
      </w:pPr>
      <w:bookmarkStart w:id="141" w:name="_Toc29219"/>
      <w:bookmarkStart w:id="142" w:name="_Toc66881456"/>
      <w:bookmarkStart w:id="143" w:name="_Toc2040345779"/>
      <w:bookmarkStart w:id="144" w:name="_Toc1495151141"/>
      <w:bookmarkStart w:id="145" w:name="_Toc2005112767"/>
      <w:bookmarkStart w:id="146" w:name="_Toc252369804"/>
      <w:bookmarkStart w:id="147" w:name="_Toc259694404"/>
      <w:bookmarkStart w:id="148" w:name="_Toc259782084"/>
      <w:bookmarkStart w:id="149" w:name="_Toc271804381"/>
      <w:r>
        <w:rPr>
          <w:rFonts w:hint="eastAsia" w:ascii="Songti SC" w:hAnsi="Songti SC" w:eastAsia="Songti SC" w:cs="Songti SC"/>
          <w:color w:val="000000"/>
        </w:rPr>
        <w:t>信息化现状及差距</w:t>
      </w:r>
      <w:bookmarkEnd w:id="141"/>
      <w:bookmarkEnd w:id="142"/>
      <w:bookmarkEnd w:id="143"/>
      <w:bookmarkEnd w:id="144"/>
      <w:bookmarkEnd w:id="145"/>
      <w:bookmarkEnd w:id="146"/>
      <w:bookmarkEnd w:id="147"/>
      <w:bookmarkEnd w:id="148"/>
      <w:bookmarkEnd w:id="149"/>
    </w:p>
    <w:p w14:paraId="78A49D66">
      <w:pPr>
        <w:pStyle w:val="4"/>
        <w:rPr>
          <w:rFonts w:hint="eastAsia"/>
          <w:color w:val="000000"/>
        </w:rPr>
      </w:pPr>
      <w:bookmarkStart w:id="150" w:name="_Toc1616886245"/>
      <w:bookmarkStart w:id="151" w:name="_Toc1299073240"/>
      <w:bookmarkStart w:id="152" w:name="_Toc1072632357"/>
      <w:bookmarkStart w:id="153" w:name="_Toc16236"/>
      <w:r>
        <w:rPr>
          <w:rFonts w:hint="eastAsia" w:ascii="Songti SC" w:hAnsi="Songti SC" w:eastAsia="Songti SC" w:cs="Songti SC"/>
          <w:color w:val="000000"/>
        </w:rPr>
        <w:t>系统现状汇总</w:t>
      </w:r>
      <w:bookmarkEnd w:id="150"/>
      <w:bookmarkEnd w:id="151"/>
      <w:bookmarkEnd w:id="152"/>
      <w:bookmarkEnd w:id="153"/>
    </w:p>
    <w:p w14:paraId="5E374B36">
      <w:pPr>
        <w:ind w:firstLine="480"/>
        <w:rPr>
          <w:rFonts w:hint="eastAsia"/>
          <w:color w:val="000000"/>
        </w:rPr>
      </w:pPr>
      <w:bookmarkStart w:id="154" w:name="OLE_LINK2"/>
      <w:r>
        <w:rPr>
          <w:rFonts w:hint="eastAsia" w:ascii="Songti SC" w:hAnsi="Songti SC" w:eastAsia="Songti SC" w:cs="Songti SC"/>
          <w:color w:val="000000"/>
        </w:rPr>
        <w:t>大兴区17个集中办公区食堂消费系统主要面向大兴区17个集中办公区，提供餐厅人脸识别就餐、线上和线下充值等服务，并为各办公区提供人员注册、修改、注销、财务结算等支撑服务。</w:t>
      </w:r>
    </w:p>
    <w:p w14:paraId="0A4D4BE2">
      <w:pPr>
        <w:ind w:firstLine="480"/>
        <w:rPr>
          <w:rFonts w:hint="eastAsia"/>
          <w:color w:val="000000"/>
        </w:rPr>
      </w:pPr>
      <w:r>
        <w:rPr>
          <w:rFonts w:hint="eastAsia" w:ascii="Songti SC" w:hAnsi="Songti SC" w:eastAsia="Songti SC" w:cs="Songti SC"/>
          <w:color w:val="000000"/>
        </w:rPr>
        <w:t>依据原建设资料，食堂消费系统于2020年建成投用，采用.NET技术栈和B/S访问方式，原运行环境为Windows Server 2012、SQL Server 2014。按本轮现状资料，系统由区政数局本地政务机房虚拟机承载，尚未纳入目标政务云，原机房拟停止服务；本期拟将业务及数据迁入政务云。资源归属、现有虚机配置及停服时间，由本中心会同资源管理单位核实并作为迁移交接依据。</w:t>
      </w:r>
    </w:p>
    <w:p w14:paraId="5264DAD7">
      <w:pPr>
        <w:ind w:firstLine="480"/>
        <w:rPr>
          <w:rFonts w:hint="eastAsia"/>
          <w:color w:val="000000"/>
        </w:rPr>
      </w:pPr>
      <w:r>
        <w:rPr>
          <w:rFonts w:hint="eastAsia" w:ascii="Songti SC" w:hAnsi="Songti SC" w:eastAsia="Songti SC" w:cs="Songti SC"/>
          <w:color w:val="000000"/>
        </w:rPr>
        <w:t>业务承载方面，原系统包括食堂消费业务服务及数据库，向管理人员提供人员、账户、财务及报表入口，向就餐人员提供充值查询服务，与现场消费终端交换人员和交易数据。上述为业务及逻辑服务关系，不据此推定现有虚拟机数量或单机配置。</w:t>
      </w:r>
    </w:p>
    <w:p w14:paraId="022C5DB9">
      <w:pPr>
        <w:ind w:firstLine="480"/>
        <w:rPr>
          <w:rFonts w:hint="eastAsia"/>
          <w:color w:val="000000"/>
        </w:rPr>
      </w:pPr>
      <w:r>
        <w:rPr>
          <w:rFonts w:hint="eastAsia" w:ascii="Songti SC" w:hAnsi="Songti SC" w:eastAsia="Songti SC" w:cs="Songti SC"/>
          <w:color w:val="000000"/>
        </w:rPr>
        <w:t>外部协同方面，原系统与工商银行线上充值业务保持接口关系，处理充值发起、结果接收、查询和入账。充值对接与现场消费属于不同业务链路，升级后继续保持业务隔离及统一账务核对，不据此推定原部署已具有独立双机或自动故障切换能力。</w:t>
      </w:r>
    </w:p>
    <w:bookmarkEnd w:id="154"/>
    <w:p w14:paraId="7B144018">
      <w:pPr>
        <w:pStyle w:val="5"/>
        <w:rPr>
          <w:rFonts w:hint="eastAsia"/>
          <w:color w:val="000000"/>
        </w:rPr>
      </w:pPr>
      <w:bookmarkStart w:id="155" w:name="_Toc8037"/>
      <w:bookmarkStart w:id="156" w:name="_Toc24234"/>
      <w:r>
        <w:rPr>
          <w:rFonts w:hint="eastAsia" w:ascii="Songti SC" w:hAnsi="Songti SC" w:eastAsia="Songti SC" w:cs="Songti SC"/>
          <w:color w:val="000000"/>
        </w:rPr>
        <w:t>系统基本情况</w:t>
      </w:r>
      <w:bookmarkEnd w:id="155"/>
    </w:p>
    <w:p w14:paraId="52EBDA45">
      <w:pPr>
        <w:ind w:firstLine="480"/>
        <w:rPr>
          <w:rFonts w:hint="eastAsia"/>
          <w:color w:val="000000"/>
        </w:rPr>
      </w:pPr>
      <w:r>
        <w:rPr>
          <w:rFonts w:hint="eastAsia" w:ascii="Songti SC" w:hAnsi="Songti SC" w:eastAsia="Songti SC" w:cs="Songti SC"/>
          <w:color w:val="000000"/>
        </w:rPr>
        <w:t>应用范围：区政府、城指中心、清城办公区、桐城办公区、第六办公区、第七办公区、住建委、市场局、统计局、交通局、信访办、经信局、统战办公区、生态环境局、民政局、区政协、第八办公区共计17个办公区；</w:t>
      </w:r>
    </w:p>
    <w:p w14:paraId="3D217C15">
      <w:pPr>
        <w:ind w:firstLine="480"/>
        <w:rPr>
          <w:rFonts w:hint="eastAsia"/>
          <w:color w:val="000000"/>
        </w:rPr>
      </w:pPr>
      <w:r>
        <w:rPr>
          <w:rFonts w:ascii="Songti SC" w:hAnsi="Songti SC" w:eastAsia="Songti SC" w:cs="Songti SC"/>
          <w:color w:val="000000"/>
        </w:rPr>
        <w:t>应用功能模块：依据原建设资料，主要包括配置管理、客户管理、综合消费、报表管理、自助服务五类；本期据此梳理人员、账户、充值、消费和统计功能的承接关系。</w:t>
      </w:r>
    </w:p>
    <w:p w14:paraId="48A20480">
      <w:pPr>
        <w:ind w:firstLine="480"/>
        <w:rPr>
          <w:rFonts w:hint="eastAsia"/>
          <w:color w:val="000000"/>
        </w:rPr>
      </w:pPr>
      <w:r>
        <w:rPr>
          <w:rFonts w:hint="eastAsia" w:ascii="Songti SC" w:hAnsi="Songti SC" w:eastAsia="Songti SC" w:cs="Songti SC"/>
          <w:color w:val="000000"/>
        </w:rPr>
        <w:t>业务用户数：11000人；</w:t>
      </w:r>
    </w:p>
    <w:p w14:paraId="0A93784C">
      <w:pPr>
        <w:ind w:firstLine="480"/>
        <w:rPr>
          <w:rFonts w:hint="eastAsia"/>
          <w:color w:val="000000"/>
        </w:rPr>
      </w:pPr>
      <w:r>
        <w:rPr>
          <w:rFonts w:hint="eastAsia" w:ascii="Songti SC" w:hAnsi="Songti SC" w:eastAsia="Songti SC" w:cs="Songti SC"/>
          <w:color w:val="000000"/>
        </w:rPr>
        <w:t>应用情况：按本轮现状资料，现有系统采用区政数局本地政务机房虚拟机集中承载；目标政务云为本期拟迁入的平台，资源归属及交接条件由本中心会同资源管理单位确认。</w:t>
      </w:r>
    </w:p>
    <w:p w14:paraId="567AAE43">
      <w:pPr>
        <w:ind w:firstLine="480"/>
        <w:rPr>
          <w:rFonts w:hint="eastAsia"/>
          <w:color w:val="000000"/>
        </w:rPr>
      </w:pPr>
      <w:r>
        <w:rPr>
          <w:rFonts w:hint="eastAsia" w:ascii="Songti SC" w:hAnsi="Songti SC" w:eastAsia="Songti SC" w:cs="Songti SC"/>
          <w:color w:val="000000"/>
        </w:rPr>
        <w:t>承载网络情况：系统部署在电子政务外网环境；</w:t>
      </w:r>
    </w:p>
    <w:p w14:paraId="3B7C1216">
      <w:pPr>
        <w:ind w:firstLine="480"/>
        <w:rPr>
          <w:rFonts w:hint="eastAsia"/>
          <w:color w:val="000000"/>
        </w:rPr>
      </w:pPr>
      <w:r>
        <w:rPr>
          <w:rFonts w:hint="eastAsia" w:ascii="Songti SC" w:hAnsi="Songti SC" w:eastAsia="Songti SC" w:cs="Songti SC"/>
          <w:color w:val="000000"/>
        </w:rPr>
        <w:t>技术体系：.NET开发；</w:t>
      </w:r>
    </w:p>
    <w:p w14:paraId="21CEB65A">
      <w:pPr>
        <w:ind w:firstLine="480"/>
        <w:rPr>
          <w:rFonts w:hint="eastAsia"/>
          <w:color w:val="000000"/>
        </w:rPr>
      </w:pPr>
      <w:r>
        <w:rPr>
          <w:rFonts w:hint="eastAsia" w:ascii="Songti SC" w:hAnsi="Songti SC" w:eastAsia="Songti SC" w:cs="Songti SC"/>
          <w:color w:val="000000"/>
        </w:rPr>
        <w:t>部署方式：B/S模式；</w:t>
      </w:r>
    </w:p>
    <w:p w14:paraId="123664CD">
      <w:pPr>
        <w:ind w:firstLine="480"/>
        <w:rPr>
          <w:rFonts w:hint="eastAsia"/>
          <w:color w:val="000000"/>
        </w:rPr>
      </w:pPr>
      <w:r>
        <w:rPr>
          <w:rFonts w:hint="eastAsia" w:ascii="Songti SC" w:hAnsi="Songti SC" w:eastAsia="Songti SC" w:cs="Songti SC"/>
          <w:color w:val="000000"/>
        </w:rPr>
        <w:t>原应用系统维护与交接：本期以业务、数据和接口交接为实施边界，原系统代码不作为目标产品继续开发的基础。</w:t>
      </w:r>
    </w:p>
    <w:p w14:paraId="4BC5D899">
      <w:pPr>
        <w:ind w:firstLine="480"/>
        <w:rPr>
          <w:rFonts w:hint="eastAsia"/>
          <w:color w:val="000000"/>
        </w:rPr>
      </w:pPr>
      <w:r>
        <w:rPr>
          <w:rFonts w:hint="eastAsia" w:ascii="Songti SC" w:hAnsi="Songti SC" w:eastAsia="Songti SC" w:cs="Songti SC"/>
          <w:color w:val="000000"/>
        </w:rPr>
        <w:t>建设年份及资金投入：系统于2020年建成投用，后续持续运维并进行局部扩展；总投资费用约300万元。</w:t>
      </w:r>
    </w:p>
    <w:p w14:paraId="00135468">
      <w:pPr>
        <w:ind w:firstLine="480"/>
        <w:rPr>
          <w:rFonts w:hint="eastAsia"/>
          <w:color w:val="000000"/>
        </w:rPr>
      </w:pPr>
      <w:r>
        <w:rPr>
          <w:rFonts w:hint="eastAsia" w:ascii="Songti SC" w:hAnsi="Songti SC" w:eastAsia="Songti SC" w:cs="Songti SC"/>
          <w:color w:val="000000"/>
        </w:rPr>
        <w:t>应用系统升级所需工作量：采用成熟PHP产品替代现有.NET系统，完成业务功能承接、SQL Server 2014历史数据向GBase 8s V8.8迁移、外部接口联调、55台消费终端更新及接入适配、目标环境部署及上线切换。</w:t>
      </w:r>
    </w:p>
    <w:p w14:paraId="1ED4A18F">
      <w:pPr>
        <w:ind w:firstLine="480"/>
        <w:rPr>
          <w:rFonts w:hint="eastAsia"/>
          <w:color w:val="000000"/>
        </w:rPr>
      </w:pPr>
      <w:r>
        <w:rPr>
          <w:rFonts w:hint="eastAsia" w:ascii="Songti SC" w:hAnsi="Songti SC" w:eastAsia="Songti SC" w:cs="Songti SC"/>
          <w:color w:val="000000"/>
        </w:rPr>
        <w:t>经对建设单位现有食堂消费相关应用进行梳理，本期以现有食堂消费系统为升级改造对象，保持既有管理职责和业务边界，不另行建设功能重复的食堂消费系统或综合后勤管理平台。</w:t>
      </w:r>
    </w:p>
    <w:p w14:paraId="7EB4BE25">
      <w:pPr>
        <w:ind w:firstLine="480"/>
        <w:rPr>
          <w:rFonts w:hint="eastAsia"/>
          <w:color w:val="000000"/>
        </w:rPr>
      </w:pPr>
      <w:r>
        <w:rPr>
          <w:rFonts w:hint="eastAsia" w:ascii="Songti SC" w:hAnsi="Songti SC" w:eastAsia="Songti SC" w:cs="Songti SC"/>
          <w:color w:val="000000"/>
        </w:rPr>
        <w:t>现有微信小程序继续作为就餐人员移动服务入口，保留登录、余额查询、线上充值、提现申请、消费记录和个人订单查询等功能。</w:t>
      </w:r>
    </w:p>
    <w:p w14:paraId="0099BFB3">
      <w:pPr>
        <w:ind w:firstLine="480"/>
        <w:rPr>
          <w:rFonts w:hint="eastAsia"/>
          <w:color w:val="000000"/>
          <w:lang w:bidi="en-US"/>
        </w:rPr>
      </w:pPr>
    </w:p>
    <w:p w14:paraId="255BE60F">
      <w:pPr>
        <w:spacing w:line="540" w:lineRule="exact"/>
        <w:ind w:firstLine="560"/>
        <w:rPr>
          <w:rFonts w:hint="eastAsia"/>
          <w:color w:val="000000"/>
          <w:sz w:val="28"/>
          <w:szCs w:val="28"/>
        </w:rPr>
        <w:sectPr>
          <w:footerReference r:id="rId13" w:type="default"/>
          <w:pgSz w:w="11906" w:h="16838"/>
          <w:pgMar w:top="1440" w:right="1800" w:bottom="1440" w:left="1800" w:header="851" w:footer="992" w:gutter="0"/>
          <w:pgNumType w:start="1"/>
          <w:cols w:space="425" w:num="1"/>
          <w:docGrid w:type="lines" w:linePitch="312" w:charSpace="0"/>
        </w:sectPr>
      </w:pPr>
    </w:p>
    <w:tbl>
      <w:tblPr>
        <w:tblStyle w:val="6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7"/>
        <w:gridCol w:w="1084"/>
        <w:gridCol w:w="1544"/>
        <w:gridCol w:w="1794"/>
        <w:gridCol w:w="936"/>
        <w:gridCol w:w="1145"/>
        <w:gridCol w:w="1267"/>
        <w:gridCol w:w="1145"/>
        <w:gridCol w:w="882"/>
        <w:gridCol w:w="887"/>
        <w:gridCol w:w="735"/>
        <w:gridCol w:w="1060"/>
        <w:gridCol w:w="1058"/>
      </w:tblGrid>
      <w:tr w14:paraId="757BC9E6">
        <w:trPr>
          <w:trHeight w:val="280" w:hRule="atLeast"/>
          <w:tblHeader/>
          <w:jc w:val="center"/>
        </w:trPr>
        <w:tc>
          <w:tcPr>
            <w:tcW w:w="225" w:type="pct"/>
            <w:noWrap/>
            <w:vAlign w:val="center"/>
          </w:tcPr>
          <w:p w14:paraId="51959F23">
            <w:pPr>
              <w:pStyle w:val="128"/>
              <w:rPr>
                <w:rFonts w:hint="eastAsia"/>
                <w:color w:val="000000"/>
              </w:rPr>
            </w:pPr>
            <w:r>
              <w:rPr>
                <w:rFonts w:hint="eastAsia" w:ascii="Songti SC" w:hAnsi="Songti SC" w:eastAsia="Songti SC" w:cs="Songti SC"/>
                <w:color w:val="000000"/>
              </w:rPr>
              <w:t>序号</w:t>
            </w:r>
          </w:p>
        </w:tc>
        <w:tc>
          <w:tcPr>
            <w:tcW w:w="382" w:type="pct"/>
            <w:vAlign w:val="center"/>
          </w:tcPr>
          <w:p w14:paraId="7406F3DE">
            <w:pPr>
              <w:pStyle w:val="128"/>
              <w:rPr>
                <w:rFonts w:hint="eastAsia"/>
                <w:color w:val="000000"/>
              </w:rPr>
            </w:pPr>
            <w:r>
              <w:rPr>
                <w:rFonts w:hint="eastAsia" w:ascii="Songti SC" w:hAnsi="Songti SC" w:eastAsia="Songti SC" w:cs="Songti SC"/>
                <w:color w:val="000000"/>
              </w:rPr>
              <w:t>单位</w:t>
            </w:r>
          </w:p>
          <w:p w14:paraId="49C66E41">
            <w:pPr>
              <w:pStyle w:val="128"/>
              <w:rPr>
                <w:rFonts w:hint="eastAsia"/>
                <w:color w:val="000000"/>
              </w:rPr>
            </w:pPr>
            <w:r>
              <w:rPr>
                <w:rFonts w:hint="eastAsia" w:ascii="Songti SC" w:hAnsi="Songti SC" w:eastAsia="Songti SC" w:cs="Songti SC"/>
                <w:color w:val="000000"/>
              </w:rPr>
              <w:t>名称</w:t>
            </w:r>
          </w:p>
        </w:tc>
        <w:tc>
          <w:tcPr>
            <w:tcW w:w="544" w:type="pct"/>
            <w:noWrap/>
            <w:vAlign w:val="center"/>
          </w:tcPr>
          <w:p w14:paraId="5C808EF3">
            <w:pPr>
              <w:pStyle w:val="128"/>
              <w:rPr>
                <w:rFonts w:hint="eastAsia"/>
                <w:color w:val="000000"/>
              </w:rPr>
            </w:pPr>
            <w:r>
              <w:rPr>
                <w:rFonts w:hint="eastAsia" w:ascii="Songti SC" w:hAnsi="Songti SC" w:eastAsia="Songti SC" w:cs="Songti SC"/>
                <w:color w:val="000000"/>
              </w:rPr>
              <w:t>系统名称</w:t>
            </w:r>
          </w:p>
        </w:tc>
        <w:tc>
          <w:tcPr>
            <w:tcW w:w="632" w:type="pct"/>
            <w:vAlign w:val="center"/>
          </w:tcPr>
          <w:p w14:paraId="4AF8EA3A">
            <w:pPr>
              <w:pStyle w:val="128"/>
              <w:rPr>
                <w:rFonts w:hint="eastAsia"/>
                <w:color w:val="000000"/>
              </w:rPr>
            </w:pPr>
            <w:r>
              <w:rPr>
                <w:rFonts w:hint="eastAsia" w:ascii="Songti SC" w:hAnsi="Songti SC" w:eastAsia="Songti SC" w:cs="Songti SC"/>
                <w:color w:val="000000"/>
              </w:rPr>
              <w:t>建设时间</w:t>
            </w:r>
          </w:p>
        </w:tc>
        <w:tc>
          <w:tcPr>
            <w:tcW w:w="330" w:type="pct"/>
            <w:vAlign w:val="center"/>
          </w:tcPr>
          <w:p w14:paraId="4A3E86C4">
            <w:pPr>
              <w:pStyle w:val="128"/>
              <w:rPr>
                <w:rFonts w:hint="eastAsia"/>
                <w:color w:val="000000"/>
              </w:rPr>
            </w:pPr>
            <w:r>
              <w:rPr>
                <w:rFonts w:hint="eastAsia" w:ascii="Songti SC" w:hAnsi="Songti SC" w:eastAsia="Songti SC" w:cs="Songti SC"/>
                <w:color w:val="000000"/>
              </w:rPr>
              <w:t>开发语言</w:t>
            </w:r>
          </w:p>
        </w:tc>
        <w:tc>
          <w:tcPr>
            <w:tcW w:w="403" w:type="pct"/>
            <w:vAlign w:val="center"/>
          </w:tcPr>
          <w:p w14:paraId="5BC4E2EB">
            <w:pPr>
              <w:pStyle w:val="128"/>
              <w:rPr>
                <w:rFonts w:hint="eastAsia"/>
                <w:color w:val="000000"/>
              </w:rPr>
            </w:pPr>
            <w:r>
              <w:rPr>
                <w:rFonts w:hint="eastAsia" w:ascii="Songti SC" w:hAnsi="Songti SC" w:eastAsia="Songti SC" w:cs="Songti SC"/>
                <w:color w:val="000000"/>
              </w:rPr>
              <w:t>架构</w:t>
            </w:r>
          </w:p>
          <w:p w14:paraId="2B4249C8">
            <w:pPr>
              <w:pStyle w:val="128"/>
              <w:rPr>
                <w:rFonts w:hint="eastAsia"/>
                <w:color w:val="000000"/>
              </w:rPr>
            </w:pPr>
            <w:r>
              <w:rPr>
                <w:rFonts w:hint="eastAsia" w:ascii="Songti SC" w:hAnsi="Songti SC" w:eastAsia="Songti SC" w:cs="Songti SC"/>
                <w:color w:val="000000"/>
              </w:rPr>
              <w:t>（C/S、B/S）</w:t>
            </w:r>
          </w:p>
        </w:tc>
        <w:tc>
          <w:tcPr>
            <w:tcW w:w="446" w:type="pct"/>
            <w:noWrap/>
            <w:vAlign w:val="center"/>
          </w:tcPr>
          <w:p w14:paraId="29155387">
            <w:pPr>
              <w:pStyle w:val="128"/>
              <w:rPr>
                <w:rFonts w:hint="eastAsia"/>
                <w:color w:val="000000"/>
              </w:rPr>
            </w:pPr>
            <w:r>
              <w:rPr>
                <w:rFonts w:hint="eastAsia" w:ascii="Songti SC" w:hAnsi="Songti SC" w:eastAsia="Songti SC" w:cs="Songti SC"/>
                <w:color w:val="000000"/>
              </w:rPr>
              <w:t>部署方式</w:t>
            </w:r>
          </w:p>
        </w:tc>
        <w:tc>
          <w:tcPr>
            <w:tcW w:w="403" w:type="pct"/>
            <w:vAlign w:val="center"/>
          </w:tcPr>
          <w:p w14:paraId="32321BAA">
            <w:pPr>
              <w:pStyle w:val="128"/>
              <w:rPr>
                <w:rFonts w:hint="eastAsia"/>
                <w:color w:val="000000"/>
              </w:rPr>
            </w:pPr>
            <w:r>
              <w:rPr>
                <w:rFonts w:hint="eastAsia" w:ascii="Songti SC" w:hAnsi="Songti SC" w:eastAsia="Songti SC" w:cs="Songti SC"/>
                <w:color w:val="000000"/>
              </w:rPr>
              <w:t>部署位置</w:t>
            </w:r>
          </w:p>
        </w:tc>
        <w:tc>
          <w:tcPr>
            <w:tcW w:w="311" w:type="pct"/>
            <w:vAlign w:val="center"/>
          </w:tcPr>
          <w:p w14:paraId="475C1662">
            <w:pPr>
              <w:pStyle w:val="128"/>
              <w:rPr>
                <w:rFonts w:hint="eastAsia"/>
                <w:color w:val="000000"/>
              </w:rPr>
            </w:pPr>
            <w:r>
              <w:rPr>
                <w:rFonts w:hint="eastAsia" w:ascii="Songti SC" w:hAnsi="Songti SC" w:eastAsia="Songti SC" w:cs="Songti SC"/>
                <w:color w:val="000000"/>
              </w:rPr>
              <w:t>承载网络</w:t>
            </w:r>
          </w:p>
        </w:tc>
        <w:tc>
          <w:tcPr>
            <w:tcW w:w="313" w:type="pct"/>
            <w:vAlign w:val="center"/>
          </w:tcPr>
          <w:p w14:paraId="32D38E56">
            <w:pPr>
              <w:pStyle w:val="128"/>
              <w:rPr>
                <w:rFonts w:hint="eastAsia"/>
                <w:color w:val="000000"/>
              </w:rPr>
            </w:pPr>
            <w:r>
              <w:rPr>
                <w:rFonts w:hint="eastAsia" w:ascii="Songti SC" w:hAnsi="Songti SC" w:eastAsia="Songti SC" w:cs="Songti SC"/>
                <w:color w:val="000000"/>
              </w:rPr>
              <w:t>用户数</w:t>
            </w:r>
          </w:p>
        </w:tc>
        <w:tc>
          <w:tcPr>
            <w:tcW w:w="259" w:type="pct"/>
            <w:vAlign w:val="center"/>
          </w:tcPr>
          <w:p w14:paraId="79083FD2">
            <w:pPr>
              <w:pStyle w:val="128"/>
              <w:rPr>
                <w:rFonts w:hint="eastAsia" w:ascii="宋体" w:hAnsi="宋体" w:eastAsia="宋体" w:cs="宋体"/>
                <w:color w:val="000000"/>
              </w:rPr>
            </w:pPr>
            <w:r>
              <w:rPr>
                <w:rFonts w:hint="eastAsia" w:ascii="Songti SC" w:hAnsi="Songti SC" w:eastAsia="Songti SC" w:cs="Songti SC"/>
                <w:color w:val="000000"/>
              </w:rPr>
              <w:t>平均在线</w:t>
            </w:r>
          </w:p>
          <w:p w14:paraId="4C855F89">
            <w:pPr>
              <w:pStyle w:val="128"/>
              <w:rPr>
                <w:rFonts w:hint="eastAsia"/>
                <w:color w:val="000000"/>
              </w:rPr>
            </w:pPr>
            <w:r>
              <w:rPr>
                <w:rFonts w:hint="eastAsia" w:ascii="Songti SC" w:hAnsi="Songti SC" w:eastAsia="Songti SC" w:cs="Songti SC"/>
                <w:color w:val="000000"/>
              </w:rPr>
              <w:t>人数</w:t>
            </w:r>
          </w:p>
        </w:tc>
        <w:tc>
          <w:tcPr>
            <w:tcW w:w="373" w:type="pct"/>
            <w:vAlign w:val="center"/>
          </w:tcPr>
          <w:p w14:paraId="33AEFB8A">
            <w:pPr>
              <w:pStyle w:val="128"/>
              <w:rPr>
                <w:rFonts w:hint="eastAsia"/>
                <w:color w:val="000000"/>
              </w:rPr>
            </w:pPr>
            <w:r>
              <w:rPr>
                <w:rFonts w:hint="eastAsia" w:ascii="Songti SC" w:hAnsi="Songti SC" w:eastAsia="Songti SC" w:cs="Songti SC"/>
                <w:color w:val="000000"/>
              </w:rPr>
              <w:t>代码重构/系统改造/终端适配</w:t>
            </w:r>
          </w:p>
        </w:tc>
        <w:tc>
          <w:tcPr>
            <w:tcW w:w="372" w:type="pct"/>
            <w:vAlign w:val="center"/>
          </w:tcPr>
          <w:p w14:paraId="5AF49EC5">
            <w:pPr>
              <w:pStyle w:val="128"/>
              <w:rPr>
                <w:rFonts w:hint="eastAsia"/>
                <w:color w:val="000000"/>
              </w:rPr>
            </w:pPr>
            <w:r>
              <w:rPr>
                <w:rFonts w:hint="eastAsia" w:ascii="Songti SC" w:hAnsi="Songti SC" w:eastAsia="Songti SC" w:cs="Songti SC"/>
                <w:color w:val="000000"/>
              </w:rPr>
              <w:t>原系统建设投资</w:t>
            </w:r>
          </w:p>
        </w:tc>
      </w:tr>
      <w:tr w14:paraId="0DBBEA78">
        <w:trPr>
          <w:trHeight w:val="1978" w:hRule="exact"/>
          <w:jc w:val="center"/>
        </w:trPr>
        <w:tc>
          <w:tcPr>
            <w:tcW w:w="225" w:type="pct"/>
            <w:noWrap/>
            <w:vAlign w:val="center"/>
          </w:tcPr>
          <w:p w14:paraId="28FD70B2">
            <w:pPr>
              <w:pStyle w:val="129"/>
              <w:rPr>
                <w:rFonts w:hint="eastAsia"/>
                <w:color w:val="000000"/>
              </w:rPr>
            </w:pPr>
            <w:r>
              <w:rPr>
                <w:rFonts w:hint="eastAsia" w:ascii="Songti SC" w:hAnsi="Songti SC" w:eastAsia="Songti SC" w:cs="Songti SC"/>
                <w:color w:val="000000"/>
              </w:rPr>
              <w:t>1</w:t>
            </w:r>
          </w:p>
        </w:tc>
        <w:tc>
          <w:tcPr>
            <w:tcW w:w="382" w:type="pct"/>
            <w:vAlign w:val="center"/>
          </w:tcPr>
          <w:p w14:paraId="1DD9251F">
            <w:pPr>
              <w:pStyle w:val="129"/>
              <w:rPr>
                <w:rFonts w:hint="eastAsia"/>
                <w:color w:val="000000"/>
              </w:rPr>
            </w:pPr>
            <w:r>
              <w:rPr>
                <w:rFonts w:hint="eastAsia" w:ascii="Songti SC" w:hAnsi="Songti SC" w:eastAsia="Songti SC" w:cs="Songti SC"/>
                <w:color w:val="000000"/>
              </w:rPr>
              <w:t>北京市大兴区机关事务管理服务中心</w:t>
            </w:r>
          </w:p>
        </w:tc>
        <w:tc>
          <w:tcPr>
            <w:tcW w:w="544" w:type="pct"/>
            <w:noWrap/>
            <w:vAlign w:val="center"/>
          </w:tcPr>
          <w:p w14:paraId="2E71E28A">
            <w:pPr>
              <w:pStyle w:val="129"/>
              <w:rPr>
                <w:rFonts w:hint="eastAsia"/>
                <w:color w:val="000000"/>
              </w:rPr>
            </w:pPr>
            <w:r>
              <w:rPr>
                <w:rFonts w:hint="eastAsia" w:ascii="Songti SC" w:hAnsi="Songti SC" w:eastAsia="Songti SC" w:cs="Songti SC"/>
                <w:color w:val="000000"/>
              </w:rPr>
              <w:t>食堂消费系统</w:t>
            </w:r>
          </w:p>
        </w:tc>
        <w:tc>
          <w:tcPr>
            <w:tcW w:w="632" w:type="pct"/>
            <w:vAlign w:val="center"/>
          </w:tcPr>
          <w:p w14:paraId="620C9E86">
            <w:pPr>
              <w:pStyle w:val="129"/>
              <w:rPr>
                <w:rFonts w:hint="eastAsia"/>
                <w:color w:val="000000"/>
              </w:rPr>
            </w:pPr>
            <w:r>
              <w:rPr>
                <w:rFonts w:hint="eastAsia" w:ascii="Songti SC" w:hAnsi="Songti SC" w:eastAsia="Songti SC" w:cs="Songti SC"/>
                <w:color w:val="000000"/>
              </w:rPr>
              <w:t>2020年</w:t>
            </w:r>
          </w:p>
        </w:tc>
        <w:tc>
          <w:tcPr>
            <w:tcW w:w="330" w:type="pct"/>
            <w:vAlign w:val="center"/>
          </w:tcPr>
          <w:p w14:paraId="192A6515">
            <w:pPr>
              <w:pStyle w:val="129"/>
              <w:rPr>
                <w:rFonts w:hint="eastAsia"/>
                <w:color w:val="000000"/>
              </w:rPr>
            </w:pPr>
            <w:r>
              <w:rPr>
                <w:rFonts w:hint="eastAsia" w:ascii="Songti SC" w:hAnsi="Songti SC" w:eastAsia="Songti SC" w:cs="Songti SC"/>
                <w:color w:val="000000"/>
              </w:rPr>
              <w:t>.NET</w:t>
            </w:r>
          </w:p>
        </w:tc>
        <w:tc>
          <w:tcPr>
            <w:tcW w:w="403" w:type="pct"/>
            <w:vAlign w:val="center"/>
          </w:tcPr>
          <w:p w14:paraId="0A748769">
            <w:pPr>
              <w:pStyle w:val="129"/>
              <w:rPr>
                <w:rFonts w:hint="eastAsia"/>
                <w:color w:val="000000"/>
              </w:rPr>
            </w:pPr>
            <w:r>
              <w:rPr>
                <w:rFonts w:hint="eastAsia" w:ascii="Songti SC" w:hAnsi="Songti SC" w:eastAsia="Songti SC" w:cs="Songti SC"/>
                <w:color w:val="000000"/>
              </w:rPr>
              <w:t>B/S</w:t>
            </w:r>
          </w:p>
        </w:tc>
        <w:tc>
          <w:tcPr>
            <w:tcW w:w="446" w:type="pct"/>
            <w:noWrap/>
            <w:vAlign w:val="center"/>
          </w:tcPr>
          <w:p w14:paraId="337B8423">
            <w:pPr>
              <w:pStyle w:val="129"/>
              <w:rPr>
                <w:rFonts w:hint="eastAsia"/>
                <w:color w:val="000000"/>
              </w:rPr>
            </w:pPr>
            <w:r>
              <w:rPr>
                <w:rFonts w:hint="eastAsia" w:ascii="Songti SC" w:hAnsi="Songti SC" w:eastAsia="Songti SC" w:cs="Songti SC"/>
                <w:color w:val="000000"/>
              </w:rPr>
              <w:t>政数局本地机房虚拟机</w:t>
            </w:r>
          </w:p>
        </w:tc>
        <w:tc>
          <w:tcPr>
            <w:tcW w:w="403" w:type="pct"/>
            <w:vAlign w:val="center"/>
          </w:tcPr>
          <w:p w14:paraId="24890703">
            <w:pPr>
              <w:pStyle w:val="129"/>
              <w:rPr>
                <w:rFonts w:hint="eastAsia"/>
                <w:color w:val="000000"/>
              </w:rPr>
            </w:pPr>
            <w:r>
              <w:rPr>
                <w:rFonts w:hint="eastAsia" w:ascii="Songti SC" w:hAnsi="Songti SC" w:eastAsia="Songti SC" w:cs="Songti SC"/>
                <w:color w:val="000000"/>
              </w:rPr>
              <w:t>原部署机房</w:t>
            </w:r>
          </w:p>
        </w:tc>
        <w:tc>
          <w:tcPr>
            <w:tcW w:w="311" w:type="pct"/>
            <w:vAlign w:val="center"/>
          </w:tcPr>
          <w:p w14:paraId="37DEBED4">
            <w:pPr>
              <w:pStyle w:val="129"/>
              <w:rPr>
                <w:rFonts w:hint="eastAsia"/>
                <w:color w:val="000000"/>
              </w:rPr>
            </w:pPr>
            <w:r>
              <w:rPr>
                <w:rFonts w:hint="eastAsia" w:ascii="Songti SC" w:hAnsi="Songti SC" w:eastAsia="Songti SC" w:cs="Songti SC"/>
                <w:color w:val="000000"/>
              </w:rPr>
              <w:t>电子政务外网</w:t>
            </w:r>
          </w:p>
        </w:tc>
        <w:tc>
          <w:tcPr>
            <w:tcW w:w="313" w:type="pct"/>
            <w:vAlign w:val="center"/>
          </w:tcPr>
          <w:p w14:paraId="774BA274">
            <w:pPr>
              <w:pStyle w:val="129"/>
              <w:rPr>
                <w:rFonts w:hint="eastAsia"/>
                <w:color w:val="000000"/>
              </w:rPr>
            </w:pPr>
            <w:r>
              <w:rPr>
                <w:rFonts w:hint="eastAsia" w:ascii="Songti SC" w:hAnsi="Songti SC" w:eastAsia="Songti SC" w:cs="Songti SC"/>
                <w:color w:val="000000"/>
              </w:rPr>
              <w:t>11000</w:t>
            </w:r>
          </w:p>
        </w:tc>
        <w:tc>
          <w:tcPr>
            <w:tcW w:w="259" w:type="pct"/>
            <w:vAlign w:val="center"/>
          </w:tcPr>
          <w:p w14:paraId="2BA43B5F">
            <w:pPr>
              <w:pStyle w:val="129"/>
              <w:rPr>
                <w:rFonts w:hint="eastAsia"/>
                <w:color w:val="000000"/>
              </w:rPr>
            </w:pPr>
            <w:r>
              <w:rPr>
                <w:rFonts w:hint="eastAsia" w:ascii="Songti SC" w:hAnsi="Songti SC" w:eastAsia="Songti SC" w:cs="Songti SC"/>
                <w:color w:val="000000"/>
              </w:rPr>
              <w:t>不作为本期并发测算依据</w:t>
            </w:r>
          </w:p>
        </w:tc>
        <w:tc>
          <w:tcPr>
            <w:tcW w:w="373" w:type="pct"/>
            <w:vAlign w:val="center"/>
          </w:tcPr>
          <w:p w14:paraId="56866F78">
            <w:pPr>
              <w:pStyle w:val="129"/>
              <w:rPr>
                <w:rFonts w:hint="eastAsia"/>
                <w:color w:val="000000"/>
              </w:rPr>
            </w:pPr>
            <w:r>
              <w:rPr>
                <w:rFonts w:hint="eastAsia" w:ascii="Songti SC" w:hAnsi="Songti SC" w:eastAsia="Songti SC" w:cs="Songti SC"/>
                <w:color w:val="000000"/>
              </w:rPr>
              <w:t>替代升级/终端适配</w:t>
            </w:r>
          </w:p>
        </w:tc>
        <w:tc>
          <w:tcPr>
            <w:tcW w:w="372" w:type="pct"/>
            <w:vAlign w:val="center"/>
          </w:tcPr>
          <w:p w14:paraId="7E6F4520">
            <w:pPr>
              <w:pStyle w:val="129"/>
              <w:rPr>
                <w:rFonts w:hint="eastAsia"/>
                <w:color w:val="000000"/>
              </w:rPr>
            </w:pPr>
            <w:r>
              <w:rPr>
                <w:rFonts w:hint="eastAsia" w:ascii="Songti SC" w:hAnsi="Songti SC" w:eastAsia="Songti SC" w:cs="Songti SC"/>
                <w:color w:val="000000"/>
              </w:rPr>
              <w:t>约300万元</w:t>
            </w:r>
          </w:p>
        </w:tc>
      </w:tr>
    </w:tbl>
    <w:p w14:paraId="7D1EAB39">
      <w:pPr>
        <w:spacing w:line="540" w:lineRule="exact"/>
        <w:ind w:firstLine="638" w:firstLineChars="228"/>
        <w:rPr>
          <w:rFonts w:hint="eastAsia"/>
          <w:color w:val="000000"/>
          <w:sz w:val="28"/>
          <w:szCs w:val="28"/>
        </w:rPr>
        <w:sectPr>
          <w:pgSz w:w="16838" w:h="11906" w:orient="landscape"/>
          <w:pgMar w:top="1800" w:right="1440" w:bottom="1800" w:left="1440" w:header="851" w:footer="992" w:gutter="0"/>
          <w:cols w:space="425" w:num="1"/>
          <w:docGrid w:type="lines" w:linePitch="312" w:charSpace="0"/>
        </w:sectPr>
      </w:pPr>
    </w:p>
    <w:p w14:paraId="1C9B9B4D">
      <w:pPr>
        <w:pStyle w:val="5"/>
        <w:rPr>
          <w:rFonts w:hint="eastAsia"/>
          <w:color w:val="000000"/>
        </w:rPr>
      </w:pPr>
      <w:r>
        <w:rPr>
          <w:rFonts w:hint="eastAsia" w:ascii="Songti SC" w:hAnsi="Songti SC" w:eastAsia="Songti SC" w:cs="Songti SC"/>
          <w:color w:val="000000"/>
        </w:rPr>
        <w:t>系统逻辑架构</w:t>
      </w:r>
      <w:bookmarkEnd w:id="156"/>
    </w:p>
    <w:p w14:paraId="18A19A8A">
      <w:pPr>
        <w:pStyle w:val="115"/>
        <w:rPr>
          <w:rFonts w:hint="eastAsia"/>
          <w:color w:val="000000"/>
        </w:rPr>
      </w:pPr>
      <w:r>
        <w:rPr>
          <w:rFonts w:ascii="Songti SC" w:hAnsi="Songti SC" w:eastAsia="Songti SC" w:cs="Songti SC"/>
          <w:color w:val="000000"/>
        </w:rPr>
        <w:drawing>
          <wp:inline distT="0" distB="0" distL="0" distR="0">
            <wp:extent cx="5274310" cy="3486150"/>
            <wp:effectExtent l="0" t="0" r="2540" b="0"/>
            <wp:docPr id="75902723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9027239" name="图片 1"/>
                    <pic:cNvPicPr>
                      <a:picLocks noChangeAspect="1"/>
                    </pic:cNvPicPr>
                  </pic:nvPicPr>
                  <pic:blipFill>
                    <a:blip r:embed="rId16"/>
                    <a:stretch>
                      <a:fillRect/>
                    </a:stretch>
                  </pic:blipFill>
                  <pic:spPr>
                    <a:xfrm>
                      <a:off x="0" y="0"/>
                      <a:ext cx="5274310" cy="3486150"/>
                    </a:xfrm>
                    <a:prstGeom prst="rect">
                      <a:avLst/>
                    </a:prstGeom>
                  </pic:spPr>
                </pic:pic>
              </a:graphicData>
            </a:graphic>
          </wp:inline>
        </w:drawing>
      </w:r>
    </w:p>
    <w:p w14:paraId="0AB25124">
      <w:pPr>
        <w:pStyle w:val="14"/>
        <w:rPr>
          <w:rFonts w:hint="eastAsia"/>
          <w:color w:val="000000"/>
        </w:rPr>
      </w:pPr>
      <w:r>
        <w:rPr>
          <w:rFonts w:hint="eastAsia" w:ascii="Songti SC" w:hAnsi="Songti SC" w:eastAsia="Songti SC" w:cs="Songti SC"/>
          <w:color w:val="000000"/>
        </w:rPr>
        <w:t>图</w:t>
      </w:r>
      <w:r>
        <w:rPr>
          <w:rFonts w:ascii="Songti SC" w:hAnsi="Songti SC" w:eastAsia="Songti SC" w:cs="Songti SC"/>
          <w:color w:val="000000"/>
        </w:rPr>
        <w:fldChar w:fldCharType="begin"/>
      </w:r>
      <w:r>
        <w:rPr>
          <w:rFonts w:ascii="Songti SC" w:hAnsi="Songti SC" w:eastAsia="Songti SC" w:cs="Songti SC"/>
          <w:color w:val="000000"/>
        </w:rPr>
        <w:instrText xml:space="preserve"> </w:instrText>
      </w:r>
      <w:r>
        <w:rPr>
          <w:rFonts w:hint="eastAsia" w:ascii="Songti SC" w:hAnsi="Songti SC" w:eastAsia="Songti SC" w:cs="Songti SC"/>
          <w:color w:val="000000"/>
        </w:rPr>
        <w:instrText xml:space="preserve">STYLEREF 1 \s</w:instrText>
      </w:r>
      <w:r>
        <w:rPr>
          <w:rFonts w:ascii="Songti SC" w:hAnsi="Songti SC" w:eastAsia="Songti SC" w:cs="Songti SC"/>
          <w:color w:val="000000"/>
        </w:rPr>
        <w:instrText xml:space="preserve"> </w:instrText>
      </w:r>
      <w:r>
        <w:rPr>
          <w:rFonts w:ascii="Songti SC" w:hAnsi="Songti SC" w:eastAsia="Songti SC" w:cs="Songti SC"/>
          <w:color w:val="000000"/>
        </w:rPr>
        <w:fldChar w:fldCharType="separate"/>
      </w:r>
      <w:r>
        <w:rPr>
          <w:rFonts w:hint="eastAsia" w:ascii="Songti SC" w:hAnsi="Songti SC" w:eastAsia="Songti SC" w:cs="Songti SC"/>
          <w:color w:val="000000"/>
        </w:rPr>
        <w:t>3</w:t>
      </w:r>
      <w:r>
        <w:rPr>
          <w:rFonts w:ascii="Songti SC" w:hAnsi="Songti SC" w:eastAsia="Songti SC" w:cs="Songti SC"/>
          <w:color w:val="000000"/>
        </w:rPr>
        <w:fldChar w:fldCharType="end"/>
      </w:r>
      <w:r>
        <w:rPr>
          <w:rFonts w:ascii="Songti SC" w:hAnsi="Songti SC" w:eastAsia="Songti SC" w:cs="Songti SC"/>
          <w:color w:val="000000"/>
        </w:rPr>
        <w:t>.</w:t>
      </w:r>
      <w:r>
        <w:rPr>
          <w:rFonts w:ascii="Songti SC" w:hAnsi="Songti SC" w:eastAsia="Songti SC" w:cs="Songti SC"/>
          <w:color w:val="000000"/>
        </w:rPr>
        <w:fldChar w:fldCharType="begin"/>
      </w:r>
      <w:r>
        <w:rPr>
          <w:rFonts w:ascii="Songti SC" w:hAnsi="Songti SC" w:eastAsia="Songti SC" w:cs="Songti SC"/>
          <w:color w:val="000000"/>
        </w:rPr>
        <w:instrText xml:space="preserve"> </w:instrText>
      </w:r>
      <w:r>
        <w:rPr>
          <w:rFonts w:hint="eastAsia" w:ascii="Songti SC" w:hAnsi="Songti SC" w:eastAsia="Songti SC" w:cs="Songti SC"/>
          <w:color w:val="000000"/>
        </w:rPr>
        <w:instrText xml:space="preserve">SEQ 图 \* ARABIC \s 1</w:instrText>
      </w:r>
      <w:r>
        <w:rPr>
          <w:rFonts w:ascii="Songti SC" w:hAnsi="Songti SC" w:eastAsia="Songti SC" w:cs="Songti SC"/>
          <w:color w:val="000000"/>
        </w:rPr>
        <w:instrText xml:space="preserve"> </w:instrText>
      </w:r>
      <w:r>
        <w:rPr>
          <w:rFonts w:ascii="Songti SC" w:hAnsi="Songti SC" w:eastAsia="Songti SC" w:cs="Songti SC"/>
          <w:color w:val="000000"/>
        </w:rPr>
        <w:fldChar w:fldCharType="separate"/>
      </w:r>
      <w:r>
        <w:rPr>
          <w:rFonts w:hint="eastAsia" w:ascii="Songti SC" w:hAnsi="Songti SC" w:eastAsia="Songti SC" w:cs="Songti SC"/>
          <w:color w:val="000000"/>
        </w:rPr>
        <w:t>1</w:t>
      </w:r>
      <w:r>
        <w:rPr>
          <w:rFonts w:ascii="Songti SC" w:hAnsi="Songti SC" w:eastAsia="Songti SC" w:cs="Songti SC"/>
          <w:color w:val="000000"/>
        </w:rPr>
        <w:fldChar w:fldCharType="end"/>
      </w:r>
      <w:r>
        <w:rPr>
          <w:rFonts w:hint="eastAsia" w:ascii="Songti SC" w:hAnsi="Songti SC" w:eastAsia="Songti SC" w:cs="Songti SC"/>
          <w:color w:val="000000"/>
        </w:rPr>
        <w:t>系统逻辑架构图</w:t>
      </w:r>
    </w:p>
    <w:p w14:paraId="75DF7D9C">
      <w:pPr>
        <w:ind w:firstLine="480"/>
        <w:rPr>
          <w:rStyle w:val="79"/>
          <w:rFonts w:hint="eastAsia"/>
          <w:color w:val="000000"/>
          <w:sz w:val="24"/>
          <w:szCs w:val="24"/>
        </w:rPr>
      </w:pPr>
      <w:bookmarkStart w:id="157" w:name="_Toc5410"/>
      <w:r>
        <w:rPr>
          <w:rStyle w:val="79"/>
          <w:rFonts w:hint="eastAsia" w:ascii="Songti SC" w:hAnsi="Songti SC" w:eastAsia="Songti SC" w:cs="Songti SC"/>
          <w:color w:val="000000"/>
          <w:sz w:val="24"/>
          <w:szCs w:val="24"/>
        </w:rPr>
        <w:t>图3.1按已有建设资料和本轮部署澄清梳理原系统逻辑关系：管理及就餐入口访问原.NET业务服务，业务服务读写SQL Server数据并与充值相关系统交换信息。该图表达业务链路，不表示实测网络设备、端口或物理机数量。目标分层架构及消息、人脸等独立服务见第5章及第6章。</w:t>
      </w:r>
    </w:p>
    <w:p w14:paraId="19E2B7F8">
      <w:pPr>
        <w:ind w:firstLine="480"/>
        <w:rPr>
          <w:rStyle w:val="79"/>
          <w:rFonts w:hint="eastAsia"/>
          <w:color w:val="000000"/>
          <w:sz w:val="24"/>
          <w:szCs w:val="24"/>
        </w:rPr>
      </w:pPr>
      <w:r>
        <w:rPr>
          <w:rStyle w:val="79"/>
          <w:rFonts w:hint="eastAsia" w:ascii="Songti SC" w:hAnsi="Songti SC" w:eastAsia="Songti SC" w:cs="Songti SC"/>
          <w:color w:val="000000"/>
          <w:sz w:val="24"/>
          <w:szCs w:val="24"/>
        </w:rPr>
        <w:t>1. 服务对象：就餐人员办理消费、充值及查询；管理人员办理人员、账户、财务和餐厅业务。</w:t>
      </w:r>
    </w:p>
    <w:p w14:paraId="29B866F5">
      <w:pPr>
        <w:ind w:firstLine="480"/>
        <w:rPr>
          <w:rStyle w:val="79"/>
          <w:rFonts w:hint="eastAsia"/>
          <w:color w:val="000000"/>
          <w:sz w:val="24"/>
          <w:szCs w:val="24"/>
        </w:rPr>
      </w:pPr>
      <w:r>
        <w:rPr>
          <w:rStyle w:val="79"/>
          <w:rFonts w:hint="eastAsia" w:ascii="Songti SC" w:hAnsi="Songti SC" w:eastAsia="Songti SC" w:cs="Songti SC"/>
          <w:color w:val="000000"/>
          <w:sz w:val="24"/>
          <w:szCs w:val="24"/>
        </w:rPr>
        <w:t>2. 使用入口：管理端、移动自助入口和现场消费终端分别承接管理、充值查询和现场支付业务。</w:t>
      </w:r>
    </w:p>
    <w:p w14:paraId="225291E2">
      <w:pPr>
        <w:ind w:firstLine="480"/>
        <w:rPr>
          <w:rStyle w:val="79"/>
          <w:rFonts w:hint="eastAsia"/>
          <w:color w:val="000000"/>
          <w:sz w:val="24"/>
          <w:szCs w:val="24"/>
        </w:rPr>
      </w:pPr>
      <w:r>
        <w:rPr>
          <w:rStyle w:val="79"/>
          <w:rFonts w:hint="eastAsia" w:ascii="Songti SC" w:hAnsi="Songti SC" w:eastAsia="Songti SC" w:cs="Songti SC"/>
          <w:color w:val="000000"/>
          <w:sz w:val="24"/>
          <w:szCs w:val="24"/>
        </w:rPr>
        <w:t>3. 原业务功能：配置管理、客户管理、综合消费、报表管理、自助服务共同形成日常食堂消费业务。</w:t>
      </w:r>
    </w:p>
    <w:p w14:paraId="54B34C83">
      <w:pPr>
        <w:ind w:firstLine="480"/>
        <w:rPr>
          <w:rStyle w:val="79"/>
          <w:rFonts w:hint="eastAsia"/>
          <w:color w:val="000000"/>
          <w:sz w:val="24"/>
          <w:szCs w:val="24"/>
        </w:rPr>
      </w:pPr>
      <w:r>
        <w:rPr>
          <w:rStyle w:val="79"/>
          <w:rFonts w:hint="eastAsia" w:ascii="Songti SC" w:hAnsi="Songti SC" w:eastAsia="Songti SC" w:cs="Songti SC"/>
          <w:color w:val="000000"/>
          <w:sz w:val="24"/>
          <w:szCs w:val="24"/>
        </w:rPr>
        <w:t>4. 业务协同：原系统通过业务接口完成充值结果交换、终端交易及查询。目标系统新增的独立消息节点、缓存节点与生物识别节点不列为原系统已部署组件。</w:t>
      </w:r>
    </w:p>
    <w:p w14:paraId="7D8B2D61">
      <w:pPr>
        <w:ind w:firstLine="480"/>
        <w:rPr>
          <w:rStyle w:val="79"/>
          <w:rFonts w:hint="eastAsia"/>
          <w:color w:val="000000" w:themeColor="text1"/>
          <w:sz w:val="24"/>
          <w:szCs w:val="24"/>
          <w14:textFill>
            <w14:solidFill>
              <w14:schemeClr w14:val="tx1"/>
            </w14:solidFill>
          </w14:textFill>
        </w:rPr>
      </w:pPr>
      <w:r>
        <w:rPr>
          <w:rStyle w:val="79"/>
          <w:rFonts w:hint="eastAsia" w:ascii="Songti SC" w:hAnsi="Songti SC" w:eastAsia="Songti SC" w:cs="Songti SC"/>
          <w:color w:val="000000"/>
          <w:sz w:val="24"/>
          <w:szCs w:val="24"/>
        </w:rPr>
        <w:t>5. 原数据资源：人员档案、账户余额及充值消费等业务记录存储于原系统数据库，升级时按照源数据清单、字段映射和账务核对规则承接。</w:t>
      </w:r>
    </w:p>
    <w:p w14:paraId="5F58E2BD">
      <w:pPr>
        <w:ind w:firstLine="480"/>
        <w:rPr>
          <w:rStyle w:val="79"/>
          <w:rFonts w:hint="eastAsia"/>
          <w:color w:val="000000"/>
          <w:sz w:val="24"/>
          <w:szCs w:val="24"/>
        </w:rPr>
      </w:pPr>
      <w:r>
        <w:rPr>
          <w:rStyle w:val="79"/>
          <w:rFonts w:hint="eastAsia" w:ascii="Songti SC" w:hAnsi="Songti SC" w:eastAsia="Songti SC" w:cs="Songti SC"/>
          <w:color w:val="000000"/>
          <w:sz w:val="24"/>
          <w:szCs w:val="24"/>
        </w:rPr>
        <w:t>6. 原承载环境：按本轮现状资料，区政数局本地政务机房虚拟机承载原.NET应用和SQL Server数据服务，电子政务外网连接办公区管理端及终端。原机房拟停服是迁移背景；本期由本中心统筹目标云资源申请、业务迁移和环境交接，原资源实际数量及配置以台账核实结果为准。</w:t>
      </w:r>
    </w:p>
    <w:p w14:paraId="6FFF5A47">
      <w:pPr>
        <w:pStyle w:val="5"/>
        <w:rPr>
          <w:rFonts w:hint="eastAsia"/>
          <w:color w:val="000000"/>
        </w:rPr>
      </w:pPr>
      <w:r>
        <w:rPr>
          <w:rFonts w:hint="eastAsia" w:ascii="Songti SC" w:hAnsi="Songti SC" w:eastAsia="Songti SC" w:cs="Songti SC"/>
          <w:color w:val="000000"/>
        </w:rPr>
        <w:t>设备分布情况</w:t>
      </w:r>
      <w:bookmarkEnd w:id="157"/>
    </w:p>
    <w:p w14:paraId="32374C08">
      <w:pPr>
        <w:ind w:firstLine="480"/>
        <w:rPr>
          <w:rFonts w:hint="eastAsia"/>
          <w:color w:val="000000"/>
        </w:rPr>
      </w:pPr>
      <w:r>
        <w:rPr>
          <w:rFonts w:hint="eastAsia" w:ascii="Songti SC" w:hAnsi="Songti SC" w:eastAsia="Songti SC" w:cs="Songti SC"/>
          <w:color w:val="000000"/>
        </w:rPr>
        <w:t>1、人脸识别消费机</w:t>
      </w:r>
    </w:p>
    <w:p w14:paraId="0E6C9AA9">
      <w:pPr>
        <w:ind w:firstLine="480"/>
        <w:rPr>
          <w:rFonts w:hint="eastAsia"/>
          <w:color w:val="000000"/>
        </w:rPr>
      </w:pPr>
      <w:r>
        <w:rPr>
          <w:rFonts w:hint="eastAsia" w:ascii="Songti SC" w:hAnsi="Songti SC" w:eastAsia="Songti SC" w:cs="Songti SC"/>
          <w:color w:val="000000"/>
        </w:rPr>
        <w:t>人脸识别消费设备支持定额消费、自定义消费、菜单消费等消费模式，支持刷卡、扫码、刷脸支付，以及余额查询、订单查询、离线消费等现场业务能力。离线消费需提前联网配对并拉取人员信息，恢复联网后同步交易记录。</w:t>
      </w:r>
    </w:p>
    <w:p w14:paraId="7776115E">
      <w:pPr>
        <w:ind w:firstLine="480"/>
        <w:rPr>
          <w:rFonts w:hint="eastAsia"/>
          <w:color w:val="000000"/>
        </w:rPr>
      </w:pPr>
      <w:r>
        <w:rPr>
          <w:rFonts w:hint="eastAsia" w:ascii="Songti SC" w:hAnsi="Songti SC" w:eastAsia="Songti SC" w:cs="Songti SC"/>
          <w:color w:val="000000"/>
        </w:rPr>
        <w:t>现有前端设备（消费机）共计55台，覆盖17个集中办公区，设备现状见下表。相关设备按照兼容适配、参数配置和联调验证口径开展终端服务参数配置、网络连通性核验、消费交易联调、交易核对联调、余额查询联调、离线记录同步验证和异常日志回传验证。</w:t>
      </w:r>
    </w:p>
    <w:p w14:paraId="07854A66">
      <w:pPr>
        <w:pStyle w:val="14"/>
        <w:rPr>
          <w:rFonts w:hint="eastAsia"/>
          <w:color w:val="000000"/>
        </w:rPr>
      </w:pPr>
      <w:r>
        <w:rPr>
          <w:rFonts w:hint="eastAsia" w:ascii="Songti SC" w:hAnsi="Songti SC" w:eastAsia="Songti SC" w:cs="Songti SC"/>
          <w:color w:val="000000"/>
        </w:rPr>
        <w:t>表</w:t>
      </w:r>
      <w:r>
        <w:rPr>
          <w:rFonts w:ascii="Songti SC" w:hAnsi="Songti SC" w:eastAsia="Songti SC" w:cs="Songti SC"/>
          <w:color w:val="000000"/>
        </w:rPr>
        <w:fldChar w:fldCharType="begin"/>
      </w:r>
      <w:r>
        <w:rPr>
          <w:rFonts w:ascii="Songti SC" w:hAnsi="Songti SC" w:eastAsia="Songti SC" w:cs="Songti SC"/>
          <w:color w:val="000000"/>
        </w:rPr>
        <w:instrText xml:space="preserve"> </w:instrText>
      </w:r>
      <w:r>
        <w:rPr>
          <w:rFonts w:hint="eastAsia" w:ascii="Songti SC" w:hAnsi="Songti SC" w:eastAsia="Songti SC" w:cs="Songti SC"/>
          <w:color w:val="000000"/>
        </w:rPr>
        <w:instrText xml:space="preserve">STYLEREF 1 \s</w:instrText>
      </w:r>
      <w:r>
        <w:rPr>
          <w:rFonts w:ascii="Songti SC" w:hAnsi="Songti SC" w:eastAsia="Songti SC" w:cs="Songti SC"/>
          <w:color w:val="000000"/>
        </w:rPr>
        <w:instrText xml:space="preserve"> </w:instrText>
      </w:r>
      <w:r>
        <w:rPr>
          <w:rFonts w:hint="eastAsia" w:ascii="Songti SC" w:hAnsi="Songti SC" w:eastAsia="Songti SC" w:cs="Songti SC"/>
          <w:color w:val="000000"/>
        </w:rPr>
        <w:fldChar w:fldCharType="separate"/>
      </w:r>
      <w:r>
        <w:rPr>
          <w:rFonts w:hint="eastAsia" w:ascii="Songti SC" w:hAnsi="Songti SC" w:eastAsia="Songti SC" w:cs="Songti SC"/>
          <w:color w:val="000000"/>
        </w:rPr>
        <w:t>3</w:t>
      </w:r>
      <w:r>
        <w:rPr>
          <w:rFonts w:ascii="Songti SC" w:hAnsi="Songti SC" w:eastAsia="Songti SC" w:cs="Songti SC"/>
          <w:color w:val="000000"/>
        </w:rPr>
        <w:fldChar w:fldCharType="end"/>
      </w:r>
      <w:r>
        <w:rPr>
          <w:rFonts w:hint="eastAsia" w:ascii="Songti SC" w:hAnsi="Songti SC" w:eastAsia="Songti SC" w:cs="Songti SC"/>
          <w:color w:val="000000"/>
        </w:rPr>
        <w:t>.</w:t>
      </w:r>
      <w:r>
        <w:rPr>
          <w:rFonts w:ascii="Songti SC" w:hAnsi="Songti SC" w:eastAsia="Songti SC" w:cs="Songti SC"/>
          <w:color w:val="000000"/>
        </w:rPr>
        <w:fldChar w:fldCharType="begin"/>
      </w:r>
      <w:r>
        <w:rPr>
          <w:rFonts w:ascii="Songti SC" w:hAnsi="Songti SC" w:eastAsia="Songti SC" w:cs="Songti SC"/>
          <w:color w:val="000000"/>
        </w:rPr>
        <w:instrText xml:space="preserve"> </w:instrText>
      </w:r>
      <w:r>
        <w:rPr>
          <w:rFonts w:hint="eastAsia" w:ascii="Songti SC" w:hAnsi="Songti SC" w:eastAsia="Songti SC" w:cs="Songti SC"/>
          <w:color w:val="000000"/>
        </w:rPr>
        <w:instrText xml:space="preserve">SEQ 表 \* ARABIC \s 1</w:instrText>
      </w:r>
      <w:r>
        <w:rPr>
          <w:rFonts w:ascii="Songti SC" w:hAnsi="Songti SC" w:eastAsia="Songti SC" w:cs="Songti SC"/>
          <w:color w:val="000000"/>
        </w:rPr>
        <w:instrText xml:space="preserve"> </w:instrText>
      </w:r>
      <w:r>
        <w:rPr>
          <w:rFonts w:hint="eastAsia" w:ascii="Songti SC" w:hAnsi="Songti SC" w:eastAsia="Songti SC" w:cs="Songti SC"/>
          <w:color w:val="000000"/>
        </w:rPr>
        <w:fldChar w:fldCharType="separate"/>
      </w:r>
      <w:r>
        <w:rPr>
          <w:rFonts w:hint="eastAsia" w:ascii="Songti SC" w:hAnsi="Songti SC" w:eastAsia="Songti SC" w:cs="Songti SC"/>
          <w:color w:val="000000"/>
        </w:rPr>
        <w:t>1</w:t>
      </w:r>
      <w:r>
        <w:rPr>
          <w:rFonts w:ascii="Songti SC" w:hAnsi="Songti SC" w:eastAsia="Songti SC" w:cs="Songti SC"/>
          <w:color w:val="000000"/>
        </w:rPr>
        <w:fldChar w:fldCharType="end"/>
      </w:r>
      <w:r>
        <w:rPr>
          <w:rFonts w:hint="eastAsia" w:ascii="Songti SC" w:hAnsi="Songti SC" w:eastAsia="Songti SC" w:cs="Songti SC"/>
          <w:color w:val="000000"/>
        </w:rPr>
        <w:t xml:space="preserve"> 大兴区17个集中办公区食堂消费系统前端设备现状表</w:t>
      </w:r>
    </w:p>
    <w:tbl>
      <w:tblPr>
        <w:tblStyle w:val="62"/>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42"/>
        <w:gridCol w:w="1227"/>
        <w:gridCol w:w="1014"/>
        <w:gridCol w:w="660"/>
        <w:gridCol w:w="2059"/>
        <w:gridCol w:w="990"/>
        <w:gridCol w:w="1417"/>
        <w:gridCol w:w="613"/>
      </w:tblGrid>
      <w:tr w14:paraId="196C24A1">
        <w:trPr>
          <w:trHeight w:val="454" w:hRule="atLeast"/>
          <w:jc w:val="center"/>
        </w:trPr>
        <w:tc>
          <w:tcPr>
            <w:tcW w:w="389" w:type="pct"/>
            <w:tcBorders>
              <w:top w:val="single" w:color="auto" w:sz="4" w:space="0"/>
              <w:left w:val="single" w:color="auto" w:sz="4" w:space="0"/>
              <w:bottom w:val="single" w:color="auto" w:sz="4" w:space="0"/>
              <w:right w:val="single" w:color="auto" w:sz="4" w:space="0"/>
            </w:tcBorders>
            <w:vAlign w:val="center"/>
          </w:tcPr>
          <w:p w14:paraId="1F83D94A">
            <w:pPr>
              <w:pStyle w:val="128"/>
              <w:rPr>
                <w:rFonts w:hint="eastAsia"/>
                <w:color w:val="000000"/>
                <w:sz w:val="21"/>
              </w:rPr>
            </w:pPr>
            <w:r>
              <w:rPr>
                <w:rFonts w:hint="eastAsia" w:ascii="Songti SC" w:hAnsi="Songti SC" w:eastAsia="Songti SC" w:cs="Songti SC"/>
                <w:color w:val="000000"/>
                <w:sz w:val="21"/>
              </w:rPr>
              <w:t>序号</w:t>
            </w:r>
          </w:p>
        </w:tc>
        <w:tc>
          <w:tcPr>
            <w:tcW w:w="791" w:type="pct"/>
            <w:tcBorders>
              <w:top w:val="single" w:color="auto" w:sz="4" w:space="0"/>
              <w:left w:val="nil"/>
              <w:bottom w:val="single" w:color="auto" w:sz="4" w:space="0"/>
              <w:right w:val="single" w:color="auto" w:sz="4" w:space="0"/>
            </w:tcBorders>
            <w:vAlign w:val="center"/>
          </w:tcPr>
          <w:p w14:paraId="2033A222">
            <w:pPr>
              <w:pStyle w:val="128"/>
              <w:rPr>
                <w:rFonts w:hint="eastAsia"/>
                <w:color w:val="000000"/>
                <w:sz w:val="21"/>
              </w:rPr>
            </w:pPr>
            <w:r>
              <w:rPr>
                <w:rFonts w:hint="eastAsia" w:ascii="Songti SC" w:hAnsi="Songti SC" w:eastAsia="Songti SC" w:cs="Songti SC"/>
                <w:color w:val="000000"/>
                <w:sz w:val="21"/>
              </w:rPr>
              <w:t>办公区</w:t>
            </w:r>
          </w:p>
        </w:tc>
        <w:tc>
          <w:tcPr>
            <w:tcW w:w="666" w:type="pct"/>
            <w:tcBorders>
              <w:top w:val="single" w:color="auto" w:sz="4" w:space="0"/>
              <w:left w:val="nil"/>
              <w:bottom w:val="single" w:color="auto" w:sz="4" w:space="0"/>
              <w:right w:val="single" w:color="auto" w:sz="4" w:space="0"/>
            </w:tcBorders>
            <w:vAlign w:val="center"/>
          </w:tcPr>
          <w:p w14:paraId="77DFB94E">
            <w:pPr>
              <w:pStyle w:val="128"/>
              <w:rPr>
                <w:rFonts w:hint="eastAsia"/>
                <w:color w:val="000000"/>
                <w:sz w:val="21"/>
              </w:rPr>
            </w:pPr>
            <w:r>
              <w:rPr>
                <w:rFonts w:hint="eastAsia" w:ascii="Songti SC" w:hAnsi="Songti SC" w:eastAsia="Songti SC" w:cs="Songti SC"/>
                <w:color w:val="000000"/>
                <w:sz w:val="21"/>
              </w:rPr>
              <w:t>设备名称</w:t>
            </w:r>
          </w:p>
        </w:tc>
        <w:tc>
          <w:tcPr>
            <w:tcW w:w="458" w:type="pct"/>
            <w:tcBorders>
              <w:top w:val="single" w:color="auto" w:sz="4" w:space="0"/>
              <w:left w:val="nil"/>
              <w:bottom w:val="single" w:color="auto" w:sz="4" w:space="0"/>
              <w:right w:val="single" w:color="auto" w:sz="4" w:space="0"/>
            </w:tcBorders>
            <w:vAlign w:val="center"/>
          </w:tcPr>
          <w:p w14:paraId="5CD4E610">
            <w:pPr>
              <w:pStyle w:val="128"/>
              <w:rPr>
                <w:rFonts w:hint="eastAsia"/>
                <w:color w:val="000000"/>
                <w:sz w:val="21"/>
              </w:rPr>
            </w:pPr>
            <w:r>
              <w:rPr>
                <w:rFonts w:hint="eastAsia" w:ascii="Songti SC" w:hAnsi="Songti SC" w:eastAsia="Songti SC" w:cs="Songti SC"/>
                <w:color w:val="000000"/>
                <w:sz w:val="21"/>
              </w:rPr>
              <w:t>数量</w:t>
            </w:r>
          </w:p>
        </w:tc>
        <w:tc>
          <w:tcPr>
            <w:tcW w:w="712" w:type="pct"/>
            <w:tcBorders>
              <w:top w:val="single" w:color="auto" w:sz="4" w:space="0"/>
              <w:left w:val="nil"/>
              <w:bottom w:val="single" w:color="auto" w:sz="4" w:space="0"/>
              <w:right w:val="single" w:color="auto" w:sz="4" w:space="0"/>
            </w:tcBorders>
            <w:vAlign w:val="center"/>
          </w:tcPr>
          <w:p w14:paraId="6E8AD00C">
            <w:pPr>
              <w:pStyle w:val="128"/>
              <w:rPr>
                <w:rFonts w:hint="eastAsia"/>
                <w:color w:val="000000"/>
                <w:sz w:val="21"/>
              </w:rPr>
            </w:pPr>
            <w:r>
              <w:rPr>
                <w:rFonts w:hint="eastAsia" w:ascii="Songti SC" w:hAnsi="Songti SC" w:eastAsia="Songti SC" w:cs="Songti SC"/>
                <w:color w:val="000000"/>
                <w:sz w:val="21"/>
              </w:rPr>
              <w:t>型号</w:t>
            </w:r>
          </w:p>
        </w:tc>
        <w:tc>
          <w:tcPr>
            <w:tcW w:w="652" w:type="pct"/>
            <w:tcBorders>
              <w:top w:val="single" w:color="auto" w:sz="4" w:space="0"/>
              <w:left w:val="nil"/>
              <w:bottom w:val="single" w:color="auto" w:sz="4" w:space="0"/>
              <w:right w:val="single" w:color="auto" w:sz="4" w:space="0"/>
            </w:tcBorders>
            <w:vAlign w:val="center"/>
          </w:tcPr>
          <w:p w14:paraId="5E5C4D33">
            <w:pPr>
              <w:pStyle w:val="128"/>
              <w:rPr>
                <w:rFonts w:hint="eastAsia"/>
                <w:color w:val="000000"/>
                <w:sz w:val="21"/>
              </w:rPr>
            </w:pPr>
            <w:r>
              <w:rPr>
                <w:rFonts w:hint="eastAsia" w:ascii="Songti SC" w:hAnsi="Songti SC" w:eastAsia="Songti SC" w:cs="Songti SC"/>
                <w:color w:val="000000"/>
                <w:sz w:val="21"/>
              </w:rPr>
              <w:t>安装位置</w:t>
            </w:r>
          </w:p>
        </w:tc>
        <w:tc>
          <w:tcPr>
            <w:tcW w:w="902" w:type="pct"/>
            <w:tcBorders>
              <w:top w:val="single" w:color="auto" w:sz="4" w:space="0"/>
              <w:left w:val="nil"/>
              <w:bottom w:val="single" w:color="auto" w:sz="4" w:space="0"/>
              <w:right w:val="single" w:color="auto" w:sz="4" w:space="0"/>
            </w:tcBorders>
            <w:vAlign w:val="center"/>
          </w:tcPr>
          <w:p w14:paraId="160A8CA6">
            <w:pPr>
              <w:pStyle w:val="128"/>
              <w:rPr>
                <w:rFonts w:hint="eastAsia"/>
                <w:color w:val="000000"/>
                <w:sz w:val="21"/>
              </w:rPr>
            </w:pPr>
            <w:r>
              <w:rPr>
                <w:rFonts w:hint="eastAsia" w:ascii="Songti SC" w:hAnsi="Songti SC" w:eastAsia="Songti SC" w:cs="Songti SC"/>
                <w:color w:val="000000"/>
                <w:sz w:val="21"/>
              </w:rPr>
              <w:t>投入使用时间</w:t>
            </w:r>
          </w:p>
        </w:tc>
        <w:tc>
          <w:tcPr>
            <w:tcW w:w="430" w:type="pct"/>
            <w:tcBorders>
              <w:top w:val="single" w:color="auto" w:sz="4" w:space="0"/>
              <w:left w:val="nil"/>
              <w:bottom w:val="single" w:color="auto" w:sz="4" w:space="0"/>
              <w:right w:val="single" w:color="auto" w:sz="4" w:space="0"/>
            </w:tcBorders>
            <w:vAlign w:val="center"/>
          </w:tcPr>
          <w:p w14:paraId="2DC27E18">
            <w:pPr>
              <w:pStyle w:val="128"/>
              <w:rPr>
                <w:rFonts w:hint="eastAsia"/>
                <w:color w:val="000000"/>
                <w:sz w:val="21"/>
              </w:rPr>
            </w:pPr>
            <w:r>
              <w:rPr>
                <w:rFonts w:hint="eastAsia" w:ascii="Songti SC" w:hAnsi="Songti SC" w:eastAsia="Songti SC" w:cs="Songti SC"/>
                <w:color w:val="000000"/>
                <w:sz w:val="21"/>
              </w:rPr>
              <w:t>备注</w:t>
            </w:r>
          </w:p>
        </w:tc>
      </w:tr>
      <w:tr w14:paraId="478D640A">
        <w:trPr>
          <w:trHeight w:val="454" w:hRule="atLeast"/>
          <w:jc w:val="center"/>
        </w:trPr>
        <w:tc>
          <w:tcPr>
            <w:tcW w:w="389" w:type="pct"/>
            <w:vMerge w:val="restart"/>
            <w:tcBorders>
              <w:top w:val="single" w:color="auto" w:sz="4" w:space="0"/>
              <w:left w:val="single" w:color="auto" w:sz="4" w:space="0"/>
              <w:bottom w:val="single" w:color="auto" w:sz="4" w:space="0"/>
              <w:right w:val="single" w:color="auto" w:sz="4" w:space="0"/>
            </w:tcBorders>
            <w:vAlign w:val="center"/>
          </w:tcPr>
          <w:p w14:paraId="64C5FA05">
            <w:pPr>
              <w:pStyle w:val="129"/>
              <w:rPr>
                <w:rFonts w:hint="eastAsia"/>
                <w:color w:val="000000"/>
                <w:sz w:val="21"/>
              </w:rPr>
            </w:pPr>
            <w:r>
              <w:rPr>
                <w:rFonts w:hint="eastAsia" w:ascii="Songti SC" w:hAnsi="Songti SC" w:eastAsia="Songti SC" w:cs="Songti SC"/>
                <w:color w:val="000000"/>
                <w:sz w:val="21"/>
              </w:rPr>
              <w:t>1</w:t>
            </w:r>
          </w:p>
        </w:tc>
        <w:tc>
          <w:tcPr>
            <w:tcW w:w="791" w:type="pct"/>
            <w:vMerge w:val="restart"/>
            <w:tcBorders>
              <w:top w:val="single" w:color="auto" w:sz="4" w:space="0"/>
              <w:left w:val="nil"/>
              <w:bottom w:val="single" w:color="auto" w:sz="4" w:space="0"/>
              <w:right w:val="single" w:color="auto" w:sz="4" w:space="0"/>
            </w:tcBorders>
            <w:vAlign w:val="center"/>
          </w:tcPr>
          <w:p w14:paraId="1A15813D">
            <w:pPr>
              <w:pStyle w:val="129"/>
              <w:rPr>
                <w:rFonts w:hint="eastAsia"/>
                <w:color w:val="000000"/>
                <w:sz w:val="21"/>
              </w:rPr>
            </w:pPr>
            <w:r>
              <w:rPr>
                <w:rFonts w:hint="eastAsia" w:ascii="Songti SC" w:hAnsi="Songti SC" w:eastAsia="Songti SC" w:cs="Songti SC"/>
                <w:color w:val="000000"/>
                <w:sz w:val="21"/>
              </w:rPr>
              <w:t>区政府</w:t>
            </w:r>
          </w:p>
        </w:tc>
        <w:tc>
          <w:tcPr>
            <w:tcW w:w="666" w:type="pct"/>
            <w:vMerge w:val="restart"/>
            <w:tcBorders>
              <w:top w:val="single" w:color="auto" w:sz="4" w:space="0"/>
              <w:left w:val="nil"/>
              <w:bottom w:val="single" w:color="auto" w:sz="4" w:space="0"/>
              <w:right w:val="single" w:color="auto" w:sz="4" w:space="0"/>
            </w:tcBorders>
            <w:vAlign w:val="center"/>
          </w:tcPr>
          <w:p w14:paraId="460BB875">
            <w:pPr>
              <w:pStyle w:val="129"/>
              <w:rPr>
                <w:rFonts w:hint="eastAsia"/>
                <w:color w:val="000000"/>
                <w:sz w:val="21"/>
              </w:rPr>
            </w:pPr>
            <w:r>
              <w:rPr>
                <w:rFonts w:hint="eastAsia" w:ascii="Songti SC" w:hAnsi="Songti SC" w:eastAsia="Songti SC" w:cs="Songti SC"/>
                <w:color w:val="000000"/>
                <w:sz w:val="21"/>
              </w:rPr>
              <w:t>消费机</w:t>
            </w:r>
          </w:p>
        </w:tc>
        <w:tc>
          <w:tcPr>
            <w:tcW w:w="458" w:type="pct"/>
            <w:tcBorders>
              <w:top w:val="single" w:color="auto" w:sz="4" w:space="0"/>
              <w:left w:val="nil"/>
              <w:bottom w:val="single" w:color="auto" w:sz="4" w:space="0"/>
              <w:right w:val="single" w:color="auto" w:sz="4" w:space="0"/>
            </w:tcBorders>
            <w:vAlign w:val="center"/>
          </w:tcPr>
          <w:p w14:paraId="4AB03C4A">
            <w:pPr>
              <w:pStyle w:val="129"/>
              <w:rPr>
                <w:rFonts w:hint="eastAsia"/>
                <w:color w:val="000000"/>
                <w:sz w:val="21"/>
              </w:rPr>
            </w:pPr>
            <w:r>
              <w:rPr>
                <w:rFonts w:hint="eastAsia" w:ascii="Songti SC" w:hAnsi="Songti SC" w:eastAsia="Songti SC" w:cs="Songti SC"/>
                <w:color w:val="000000"/>
                <w:sz w:val="21"/>
              </w:rPr>
              <w:t>4</w:t>
            </w:r>
          </w:p>
        </w:tc>
        <w:tc>
          <w:tcPr>
            <w:tcW w:w="712" w:type="pct"/>
            <w:tcBorders>
              <w:top w:val="single" w:color="auto" w:sz="4" w:space="0"/>
              <w:left w:val="nil"/>
              <w:bottom w:val="single" w:color="auto" w:sz="4" w:space="0"/>
              <w:right w:val="single" w:color="auto" w:sz="4" w:space="0"/>
            </w:tcBorders>
            <w:vAlign w:val="center"/>
          </w:tcPr>
          <w:p w14:paraId="6605D047">
            <w:pPr>
              <w:pStyle w:val="129"/>
              <w:rPr>
                <w:rFonts w:hint="eastAsia"/>
                <w:color w:val="000000"/>
                <w:sz w:val="21"/>
              </w:rPr>
            </w:pPr>
            <w:r>
              <w:rPr>
                <w:rFonts w:hint="eastAsia" w:ascii="Songti SC" w:hAnsi="Songti SC" w:eastAsia="Songti SC" w:cs="Songti SC"/>
                <w:color w:val="000000"/>
                <w:sz w:val="21"/>
              </w:rPr>
              <w:t>GYE-E10-T1007FCQ</w:t>
            </w:r>
          </w:p>
        </w:tc>
        <w:tc>
          <w:tcPr>
            <w:tcW w:w="652" w:type="pct"/>
            <w:tcBorders>
              <w:top w:val="single" w:color="auto" w:sz="4" w:space="0"/>
              <w:left w:val="nil"/>
              <w:bottom w:val="single" w:color="auto" w:sz="4" w:space="0"/>
              <w:right w:val="single" w:color="auto" w:sz="4" w:space="0"/>
            </w:tcBorders>
            <w:vAlign w:val="center"/>
          </w:tcPr>
          <w:p w14:paraId="08141521">
            <w:pPr>
              <w:pStyle w:val="129"/>
              <w:rPr>
                <w:rFonts w:hint="eastAsia"/>
                <w:color w:val="000000"/>
                <w:sz w:val="21"/>
              </w:rPr>
            </w:pPr>
            <w:r>
              <w:rPr>
                <w:rFonts w:hint="eastAsia" w:ascii="Songti SC" w:hAnsi="Songti SC" w:eastAsia="Songti SC" w:cs="Songti SC"/>
                <w:color w:val="000000"/>
                <w:sz w:val="21"/>
              </w:rPr>
              <w:t>餐厅</w:t>
            </w:r>
          </w:p>
        </w:tc>
        <w:tc>
          <w:tcPr>
            <w:tcW w:w="902" w:type="pct"/>
            <w:tcBorders>
              <w:top w:val="single" w:color="auto" w:sz="4" w:space="0"/>
              <w:left w:val="nil"/>
              <w:bottom w:val="single" w:color="auto" w:sz="4" w:space="0"/>
              <w:right w:val="single" w:color="auto" w:sz="4" w:space="0"/>
            </w:tcBorders>
            <w:vAlign w:val="center"/>
          </w:tcPr>
          <w:p w14:paraId="057B4498">
            <w:pPr>
              <w:pStyle w:val="129"/>
              <w:rPr>
                <w:rFonts w:hint="eastAsia"/>
                <w:color w:val="000000"/>
                <w:sz w:val="21"/>
              </w:rPr>
            </w:pPr>
            <w:r>
              <w:rPr>
                <w:rFonts w:hint="eastAsia" w:ascii="Songti SC" w:hAnsi="Songti SC" w:eastAsia="Songti SC" w:cs="Songti SC"/>
                <w:color w:val="000000"/>
                <w:sz w:val="21"/>
              </w:rPr>
              <w:t>2025年</w:t>
            </w:r>
          </w:p>
        </w:tc>
        <w:tc>
          <w:tcPr>
            <w:tcW w:w="430" w:type="pct"/>
            <w:tcBorders>
              <w:top w:val="single" w:color="auto" w:sz="4" w:space="0"/>
              <w:left w:val="nil"/>
              <w:bottom w:val="single" w:color="auto" w:sz="4" w:space="0"/>
              <w:right w:val="single" w:color="auto" w:sz="4" w:space="0"/>
            </w:tcBorders>
            <w:vAlign w:val="center"/>
          </w:tcPr>
          <w:p w14:paraId="65033822">
            <w:pPr>
              <w:pStyle w:val="129"/>
              <w:rPr>
                <w:rFonts w:hint="eastAsia"/>
                <w:color w:val="000000"/>
                <w:sz w:val="21"/>
              </w:rPr>
            </w:pPr>
          </w:p>
        </w:tc>
      </w:tr>
      <w:tr w14:paraId="07BE64F2">
        <w:trPr>
          <w:trHeight w:val="454" w:hRule="atLeast"/>
          <w:jc w:val="center"/>
        </w:trPr>
        <w:tc>
          <w:tcPr>
            <w:tcW w:w="389" w:type="pct"/>
            <w:vMerge w:val="continue"/>
            <w:tcBorders>
              <w:top w:val="single" w:color="auto" w:sz="4" w:space="0"/>
              <w:left w:val="single" w:color="auto" w:sz="4" w:space="0"/>
              <w:bottom w:val="single" w:color="auto" w:sz="4" w:space="0"/>
              <w:right w:val="single" w:color="auto" w:sz="4" w:space="0"/>
            </w:tcBorders>
            <w:vAlign w:val="center"/>
          </w:tcPr>
          <w:p w14:paraId="1643BEDC">
            <w:pPr>
              <w:pStyle w:val="129"/>
              <w:rPr>
                <w:rFonts w:hint="eastAsia"/>
                <w:color w:val="000000"/>
                <w:sz w:val="21"/>
              </w:rPr>
            </w:pPr>
          </w:p>
        </w:tc>
        <w:tc>
          <w:tcPr>
            <w:tcW w:w="791" w:type="pct"/>
            <w:vMerge w:val="continue"/>
            <w:tcBorders>
              <w:top w:val="single" w:color="auto" w:sz="4" w:space="0"/>
              <w:left w:val="nil"/>
              <w:bottom w:val="single" w:color="auto" w:sz="4" w:space="0"/>
              <w:right w:val="single" w:color="auto" w:sz="4" w:space="0"/>
            </w:tcBorders>
            <w:vAlign w:val="center"/>
          </w:tcPr>
          <w:p w14:paraId="3FFDAEA0">
            <w:pPr>
              <w:pStyle w:val="129"/>
              <w:rPr>
                <w:rFonts w:hint="eastAsia"/>
                <w:color w:val="000000"/>
                <w:sz w:val="21"/>
              </w:rPr>
            </w:pPr>
          </w:p>
        </w:tc>
        <w:tc>
          <w:tcPr>
            <w:tcW w:w="666" w:type="pct"/>
            <w:vMerge w:val="continue"/>
            <w:tcBorders>
              <w:top w:val="single" w:color="auto" w:sz="4" w:space="0"/>
              <w:left w:val="nil"/>
              <w:bottom w:val="single" w:color="auto" w:sz="4" w:space="0"/>
              <w:right w:val="single" w:color="auto" w:sz="4" w:space="0"/>
            </w:tcBorders>
            <w:vAlign w:val="center"/>
          </w:tcPr>
          <w:p w14:paraId="02210C84">
            <w:pPr>
              <w:pStyle w:val="129"/>
              <w:rPr>
                <w:rFonts w:hint="eastAsia"/>
                <w:color w:val="000000"/>
                <w:sz w:val="21"/>
              </w:rPr>
            </w:pPr>
          </w:p>
        </w:tc>
        <w:tc>
          <w:tcPr>
            <w:tcW w:w="458" w:type="pct"/>
            <w:tcBorders>
              <w:top w:val="single" w:color="auto" w:sz="4" w:space="0"/>
              <w:left w:val="nil"/>
              <w:bottom w:val="single" w:color="auto" w:sz="4" w:space="0"/>
              <w:right w:val="single" w:color="auto" w:sz="4" w:space="0"/>
            </w:tcBorders>
            <w:vAlign w:val="center"/>
          </w:tcPr>
          <w:p w14:paraId="48E9D601">
            <w:pPr>
              <w:pStyle w:val="129"/>
              <w:rPr>
                <w:rFonts w:hint="eastAsia"/>
                <w:color w:val="000000"/>
                <w:sz w:val="21"/>
              </w:rPr>
            </w:pPr>
            <w:r>
              <w:rPr>
                <w:rFonts w:hint="eastAsia" w:ascii="Songti SC" w:hAnsi="Songti SC" w:eastAsia="Songti SC" w:cs="Songti SC"/>
                <w:color w:val="000000"/>
                <w:sz w:val="21"/>
              </w:rPr>
              <w:t>1</w:t>
            </w:r>
          </w:p>
        </w:tc>
        <w:tc>
          <w:tcPr>
            <w:tcW w:w="712" w:type="pct"/>
            <w:tcBorders>
              <w:top w:val="single" w:color="auto" w:sz="4" w:space="0"/>
              <w:left w:val="nil"/>
              <w:bottom w:val="single" w:color="auto" w:sz="4" w:space="0"/>
              <w:right w:val="single" w:color="auto" w:sz="4" w:space="0"/>
            </w:tcBorders>
            <w:vAlign w:val="center"/>
          </w:tcPr>
          <w:p w14:paraId="4DC3CB17">
            <w:pPr>
              <w:pStyle w:val="129"/>
              <w:rPr>
                <w:rFonts w:hint="eastAsia"/>
                <w:color w:val="000000"/>
                <w:sz w:val="21"/>
              </w:rPr>
            </w:pPr>
            <w:r>
              <w:rPr>
                <w:rFonts w:hint="eastAsia" w:ascii="Songti SC" w:hAnsi="Songti SC" w:eastAsia="Songti SC" w:cs="Songti SC"/>
                <w:color w:val="000000"/>
                <w:sz w:val="21"/>
              </w:rPr>
              <w:t>GYE-F10-A08FCQ</w:t>
            </w:r>
          </w:p>
        </w:tc>
        <w:tc>
          <w:tcPr>
            <w:tcW w:w="652" w:type="pct"/>
            <w:tcBorders>
              <w:top w:val="single" w:color="auto" w:sz="4" w:space="0"/>
              <w:left w:val="nil"/>
              <w:bottom w:val="single" w:color="auto" w:sz="4" w:space="0"/>
              <w:right w:val="single" w:color="auto" w:sz="4" w:space="0"/>
            </w:tcBorders>
            <w:vAlign w:val="center"/>
          </w:tcPr>
          <w:p w14:paraId="6B532352">
            <w:pPr>
              <w:pStyle w:val="129"/>
              <w:rPr>
                <w:rFonts w:hint="eastAsia"/>
                <w:color w:val="000000"/>
                <w:sz w:val="21"/>
              </w:rPr>
            </w:pPr>
            <w:r>
              <w:rPr>
                <w:rFonts w:hint="eastAsia" w:ascii="Songti SC" w:hAnsi="Songti SC" w:eastAsia="Songti SC" w:cs="Songti SC"/>
                <w:color w:val="000000"/>
                <w:sz w:val="21"/>
              </w:rPr>
              <w:t>小餐厅</w:t>
            </w:r>
          </w:p>
        </w:tc>
        <w:tc>
          <w:tcPr>
            <w:tcW w:w="902" w:type="pct"/>
            <w:tcBorders>
              <w:top w:val="single" w:color="auto" w:sz="4" w:space="0"/>
              <w:left w:val="nil"/>
              <w:bottom w:val="single" w:color="auto" w:sz="4" w:space="0"/>
              <w:right w:val="single" w:color="auto" w:sz="4" w:space="0"/>
            </w:tcBorders>
            <w:vAlign w:val="center"/>
          </w:tcPr>
          <w:p w14:paraId="6F7EE531">
            <w:pPr>
              <w:pStyle w:val="129"/>
              <w:rPr>
                <w:rFonts w:hint="eastAsia"/>
                <w:color w:val="000000"/>
                <w:sz w:val="21"/>
              </w:rPr>
            </w:pPr>
            <w:r>
              <w:rPr>
                <w:rFonts w:hint="eastAsia" w:ascii="Songti SC" w:hAnsi="Songti SC" w:eastAsia="Songti SC" w:cs="Songti SC"/>
                <w:color w:val="000000"/>
                <w:sz w:val="21"/>
              </w:rPr>
              <w:t>2025年</w:t>
            </w:r>
          </w:p>
        </w:tc>
        <w:tc>
          <w:tcPr>
            <w:tcW w:w="430" w:type="pct"/>
            <w:tcBorders>
              <w:top w:val="single" w:color="auto" w:sz="4" w:space="0"/>
              <w:left w:val="nil"/>
              <w:bottom w:val="single" w:color="auto" w:sz="4" w:space="0"/>
              <w:right w:val="single" w:color="auto" w:sz="4" w:space="0"/>
            </w:tcBorders>
            <w:vAlign w:val="center"/>
          </w:tcPr>
          <w:p w14:paraId="722B71EC">
            <w:pPr>
              <w:pStyle w:val="129"/>
              <w:rPr>
                <w:rFonts w:hint="eastAsia"/>
                <w:color w:val="000000"/>
                <w:sz w:val="21"/>
              </w:rPr>
            </w:pPr>
          </w:p>
        </w:tc>
      </w:tr>
      <w:tr w14:paraId="466598EA">
        <w:trPr>
          <w:trHeight w:val="454" w:hRule="atLeast"/>
          <w:jc w:val="center"/>
        </w:trPr>
        <w:tc>
          <w:tcPr>
            <w:tcW w:w="389" w:type="pct"/>
            <w:vMerge w:val="restart"/>
            <w:tcBorders>
              <w:top w:val="single" w:color="auto" w:sz="4" w:space="0"/>
              <w:left w:val="single" w:color="auto" w:sz="4" w:space="0"/>
              <w:bottom w:val="single" w:color="auto" w:sz="4" w:space="0"/>
              <w:right w:val="single" w:color="auto" w:sz="4" w:space="0"/>
            </w:tcBorders>
            <w:vAlign w:val="center"/>
          </w:tcPr>
          <w:p w14:paraId="2E335548">
            <w:pPr>
              <w:pStyle w:val="129"/>
              <w:rPr>
                <w:rFonts w:hint="eastAsia"/>
                <w:color w:val="000000"/>
                <w:sz w:val="21"/>
              </w:rPr>
            </w:pPr>
            <w:r>
              <w:rPr>
                <w:rFonts w:hint="eastAsia" w:ascii="Songti SC" w:hAnsi="Songti SC" w:eastAsia="Songti SC" w:cs="Songti SC"/>
                <w:color w:val="000000"/>
                <w:sz w:val="21"/>
              </w:rPr>
              <w:t>2</w:t>
            </w:r>
          </w:p>
        </w:tc>
        <w:tc>
          <w:tcPr>
            <w:tcW w:w="791" w:type="pct"/>
            <w:vMerge w:val="restart"/>
            <w:tcBorders>
              <w:top w:val="single" w:color="auto" w:sz="4" w:space="0"/>
              <w:left w:val="nil"/>
              <w:bottom w:val="single" w:color="auto" w:sz="4" w:space="0"/>
              <w:right w:val="single" w:color="auto" w:sz="4" w:space="0"/>
            </w:tcBorders>
            <w:vAlign w:val="center"/>
          </w:tcPr>
          <w:p w14:paraId="025B7BEF">
            <w:pPr>
              <w:pStyle w:val="129"/>
              <w:rPr>
                <w:rFonts w:hint="eastAsia"/>
                <w:color w:val="000000"/>
                <w:sz w:val="21"/>
              </w:rPr>
            </w:pPr>
            <w:r>
              <w:rPr>
                <w:rFonts w:hint="eastAsia" w:ascii="Songti SC" w:hAnsi="Songti SC" w:eastAsia="Songti SC" w:cs="Songti SC"/>
                <w:color w:val="000000"/>
                <w:sz w:val="21"/>
              </w:rPr>
              <w:t>城指中心</w:t>
            </w:r>
          </w:p>
        </w:tc>
        <w:tc>
          <w:tcPr>
            <w:tcW w:w="666" w:type="pct"/>
            <w:vMerge w:val="restart"/>
            <w:tcBorders>
              <w:top w:val="single" w:color="auto" w:sz="4" w:space="0"/>
              <w:left w:val="nil"/>
              <w:bottom w:val="single" w:color="auto" w:sz="4" w:space="0"/>
              <w:right w:val="single" w:color="auto" w:sz="4" w:space="0"/>
            </w:tcBorders>
            <w:vAlign w:val="center"/>
          </w:tcPr>
          <w:p w14:paraId="0AAE2BF6">
            <w:pPr>
              <w:pStyle w:val="129"/>
              <w:rPr>
                <w:rFonts w:hint="eastAsia"/>
                <w:color w:val="000000"/>
                <w:sz w:val="21"/>
              </w:rPr>
            </w:pPr>
            <w:r>
              <w:rPr>
                <w:rFonts w:hint="eastAsia" w:ascii="Songti SC" w:hAnsi="Songti SC" w:eastAsia="Songti SC" w:cs="Songti SC"/>
                <w:color w:val="000000"/>
                <w:sz w:val="21"/>
              </w:rPr>
              <w:t>消费机</w:t>
            </w:r>
          </w:p>
        </w:tc>
        <w:tc>
          <w:tcPr>
            <w:tcW w:w="458" w:type="pct"/>
            <w:tcBorders>
              <w:top w:val="single" w:color="auto" w:sz="4" w:space="0"/>
              <w:left w:val="nil"/>
              <w:bottom w:val="single" w:color="auto" w:sz="4" w:space="0"/>
              <w:right w:val="single" w:color="auto" w:sz="4" w:space="0"/>
            </w:tcBorders>
            <w:vAlign w:val="center"/>
          </w:tcPr>
          <w:p w14:paraId="56D92F52">
            <w:pPr>
              <w:pStyle w:val="129"/>
              <w:rPr>
                <w:rFonts w:hint="eastAsia"/>
                <w:color w:val="000000"/>
                <w:sz w:val="21"/>
              </w:rPr>
            </w:pPr>
            <w:r>
              <w:rPr>
                <w:rFonts w:hint="eastAsia" w:ascii="Songti SC" w:hAnsi="Songti SC" w:eastAsia="Songti SC" w:cs="Songti SC"/>
                <w:color w:val="000000"/>
                <w:sz w:val="21"/>
              </w:rPr>
              <w:t>2</w:t>
            </w:r>
          </w:p>
        </w:tc>
        <w:tc>
          <w:tcPr>
            <w:tcW w:w="712" w:type="pct"/>
            <w:tcBorders>
              <w:top w:val="single" w:color="auto" w:sz="4" w:space="0"/>
              <w:left w:val="nil"/>
              <w:bottom w:val="single" w:color="auto" w:sz="4" w:space="0"/>
              <w:right w:val="single" w:color="auto" w:sz="4" w:space="0"/>
            </w:tcBorders>
            <w:vAlign w:val="center"/>
          </w:tcPr>
          <w:p w14:paraId="64F93B0A">
            <w:pPr>
              <w:pStyle w:val="129"/>
              <w:rPr>
                <w:rFonts w:hint="eastAsia"/>
                <w:color w:val="000000"/>
                <w:sz w:val="21"/>
              </w:rPr>
            </w:pPr>
            <w:r>
              <w:rPr>
                <w:rFonts w:hint="eastAsia" w:ascii="Songti SC" w:hAnsi="Songti SC" w:eastAsia="Songti SC" w:cs="Songti SC"/>
                <w:color w:val="000000"/>
                <w:sz w:val="21"/>
              </w:rPr>
              <w:t>GYE-E10-T1111FCQ</w:t>
            </w:r>
          </w:p>
        </w:tc>
        <w:tc>
          <w:tcPr>
            <w:tcW w:w="652" w:type="pct"/>
            <w:tcBorders>
              <w:top w:val="single" w:color="auto" w:sz="4" w:space="0"/>
              <w:left w:val="nil"/>
              <w:bottom w:val="single" w:color="auto" w:sz="4" w:space="0"/>
              <w:right w:val="single" w:color="auto" w:sz="4" w:space="0"/>
            </w:tcBorders>
            <w:vAlign w:val="center"/>
          </w:tcPr>
          <w:p w14:paraId="485ACC85">
            <w:pPr>
              <w:pStyle w:val="129"/>
              <w:rPr>
                <w:rFonts w:hint="eastAsia"/>
                <w:color w:val="000000"/>
                <w:sz w:val="21"/>
              </w:rPr>
            </w:pPr>
            <w:r>
              <w:rPr>
                <w:rFonts w:hint="eastAsia" w:ascii="Songti SC" w:hAnsi="Songti SC" w:eastAsia="Songti SC" w:cs="Songti SC"/>
                <w:color w:val="000000"/>
                <w:sz w:val="21"/>
              </w:rPr>
              <w:t>餐厅</w:t>
            </w:r>
          </w:p>
        </w:tc>
        <w:tc>
          <w:tcPr>
            <w:tcW w:w="902" w:type="pct"/>
            <w:tcBorders>
              <w:top w:val="single" w:color="auto" w:sz="4" w:space="0"/>
              <w:left w:val="nil"/>
              <w:bottom w:val="single" w:color="auto" w:sz="4" w:space="0"/>
              <w:right w:val="single" w:color="auto" w:sz="4" w:space="0"/>
            </w:tcBorders>
            <w:vAlign w:val="center"/>
          </w:tcPr>
          <w:p w14:paraId="5E64D4A5">
            <w:pPr>
              <w:pStyle w:val="129"/>
              <w:rPr>
                <w:rFonts w:hint="eastAsia"/>
                <w:color w:val="000000"/>
                <w:sz w:val="21"/>
              </w:rPr>
            </w:pPr>
            <w:r>
              <w:rPr>
                <w:rFonts w:hint="eastAsia" w:ascii="Songti SC" w:hAnsi="Songti SC" w:eastAsia="Songti SC" w:cs="Songti SC"/>
                <w:color w:val="000000"/>
                <w:sz w:val="21"/>
              </w:rPr>
              <w:t>2021年</w:t>
            </w:r>
          </w:p>
        </w:tc>
        <w:tc>
          <w:tcPr>
            <w:tcW w:w="430" w:type="pct"/>
            <w:tcBorders>
              <w:top w:val="single" w:color="auto" w:sz="4" w:space="0"/>
              <w:left w:val="nil"/>
              <w:bottom w:val="single" w:color="auto" w:sz="4" w:space="0"/>
              <w:right w:val="single" w:color="auto" w:sz="4" w:space="0"/>
            </w:tcBorders>
            <w:vAlign w:val="center"/>
          </w:tcPr>
          <w:p w14:paraId="5D3E9EF9">
            <w:pPr>
              <w:pStyle w:val="129"/>
              <w:rPr>
                <w:rFonts w:hint="eastAsia"/>
                <w:color w:val="000000"/>
                <w:sz w:val="21"/>
              </w:rPr>
            </w:pPr>
          </w:p>
        </w:tc>
      </w:tr>
      <w:tr w14:paraId="4F63C476">
        <w:trPr>
          <w:trHeight w:val="454" w:hRule="atLeast"/>
          <w:jc w:val="center"/>
        </w:trPr>
        <w:tc>
          <w:tcPr>
            <w:tcW w:w="389" w:type="pct"/>
            <w:vMerge w:val="continue"/>
            <w:tcBorders>
              <w:top w:val="single" w:color="auto" w:sz="4" w:space="0"/>
              <w:left w:val="single" w:color="auto" w:sz="4" w:space="0"/>
              <w:bottom w:val="single" w:color="auto" w:sz="4" w:space="0"/>
              <w:right w:val="single" w:color="auto" w:sz="4" w:space="0"/>
            </w:tcBorders>
            <w:vAlign w:val="center"/>
          </w:tcPr>
          <w:p w14:paraId="42A81669">
            <w:pPr>
              <w:pStyle w:val="129"/>
              <w:rPr>
                <w:rFonts w:hint="eastAsia"/>
                <w:color w:val="000000"/>
                <w:sz w:val="21"/>
              </w:rPr>
            </w:pPr>
          </w:p>
        </w:tc>
        <w:tc>
          <w:tcPr>
            <w:tcW w:w="791" w:type="pct"/>
            <w:vMerge w:val="continue"/>
            <w:tcBorders>
              <w:top w:val="single" w:color="auto" w:sz="4" w:space="0"/>
              <w:left w:val="nil"/>
              <w:bottom w:val="single" w:color="auto" w:sz="4" w:space="0"/>
              <w:right w:val="single" w:color="auto" w:sz="4" w:space="0"/>
            </w:tcBorders>
            <w:vAlign w:val="center"/>
          </w:tcPr>
          <w:p w14:paraId="457085F9">
            <w:pPr>
              <w:pStyle w:val="129"/>
              <w:rPr>
                <w:rFonts w:hint="eastAsia"/>
                <w:color w:val="000000"/>
                <w:sz w:val="21"/>
              </w:rPr>
            </w:pPr>
          </w:p>
        </w:tc>
        <w:tc>
          <w:tcPr>
            <w:tcW w:w="666" w:type="pct"/>
            <w:vMerge w:val="continue"/>
            <w:tcBorders>
              <w:top w:val="single" w:color="auto" w:sz="4" w:space="0"/>
              <w:left w:val="nil"/>
              <w:bottom w:val="single" w:color="auto" w:sz="4" w:space="0"/>
              <w:right w:val="single" w:color="auto" w:sz="4" w:space="0"/>
            </w:tcBorders>
            <w:vAlign w:val="center"/>
          </w:tcPr>
          <w:p w14:paraId="08D07468">
            <w:pPr>
              <w:pStyle w:val="129"/>
              <w:rPr>
                <w:rFonts w:hint="eastAsia"/>
                <w:color w:val="000000"/>
                <w:sz w:val="21"/>
              </w:rPr>
            </w:pPr>
          </w:p>
        </w:tc>
        <w:tc>
          <w:tcPr>
            <w:tcW w:w="458" w:type="pct"/>
            <w:tcBorders>
              <w:top w:val="single" w:color="auto" w:sz="4" w:space="0"/>
              <w:left w:val="nil"/>
              <w:bottom w:val="single" w:color="auto" w:sz="4" w:space="0"/>
              <w:right w:val="single" w:color="auto" w:sz="4" w:space="0"/>
            </w:tcBorders>
            <w:vAlign w:val="center"/>
          </w:tcPr>
          <w:p w14:paraId="400E702E">
            <w:pPr>
              <w:pStyle w:val="129"/>
              <w:rPr>
                <w:rFonts w:hint="eastAsia"/>
                <w:color w:val="000000"/>
                <w:sz w:val="21"/>
              </w:rPr>
            </w:pPr>
            <w:r>
              <w:rPr>
                <w:rFonts w:hint="eastAsia" w:ascii="Songti SC" w:hAnsi="Songti SC" w:eastAsia="Songti SC" w:cs="Songti SC"/>
                <w:color w:val="000000"/>
                <w:sz w:val="21"/>
              </w:rPr>
              <w:t>2</w:t>
            </w:r>
          </w:p>
        </w:tc>
        <w:tc>
          <w:tcPr>
            <w:tcW w:w="712" w:type="pct"/>
            <w:tcBorders>
              <w:top w:val="single" w:color="auto" w:sz="4" w:space="0"/>
              <w:left w:val="nil"/>
              <w:bottom w:val="single" w:color="auto" w:sz="4" w:space="0"/>
              <w:right w:val="single" w:color="auto" w:sz="4" w:space="0"/>
            </w:tcBorders>
            <w:vAlign w:val="center"/>
          </w:tcPr>
          <w:p w14:paraId="04F2699C">
            <w:pPr>
              <w:pStyle w:val="129"/>
              <w:rPr>
                <w:rFonts w:hint="eastAsia"/>
                <w:color w:val="000000"/>
                <w:sz w:val="21"/>
              </w:rPr>
            </w:pPr>
            <w:r>
              <w:rPr>
                <w:rFonts w:hint="eastAsia" w:ascii="Songti SC" w:hAnsi="Songti SC" w:eastAsia="Songti SC" w:cs="Songti SC"/>
                <w:color w:val="000000"/>
                <w:sz w:val="21"/>
              </w:rPr>
              <w:t>GYE-F20</w:t>
            </w:r>
          </w:p>
        </w:tc>
        <w:tc>
          <w:tcPr>
            <w:tcW w:w="652" w:type="pct"/>
            <w:tcBorders>
              <w:top w:val="single" w:color="auto" w:sz="4" w:space="0"/>
              <w:left w:val="nil"/>
              <w:bottom w:val="single" w:color="auto" w:sz="4" w:space="0"/>
              <w:right w:val="single" w:color="auto" w:sz="4" w:space="0"/>
            </w:tcBorders>
            <w:vAlign w:val="center"/>
          </w:tcPr>
          <w:p w14:paraId="62CA316E">
            <w:pPr>
              <w:pStyle w:val="129"/>
              <w:rPr>
                <w:rFonts w:hint="eastAsia"/>
                <w:color w:val="000000"/>
                <w:sz w:val="21"/>
              </w:rPr>
            </w:pPr>
            <w:r>
              <w:rPr>
                <w:rFonts w:hint="eastAsia" w:ascii="Songti SC" w:hAnsi="Songti SC" w:eastAsia="Songti SC" w:cs="Songti SC"/>
                <w:color w:val="000000"/>
                <w:sz w:val="21"/>
              </w:rPr>
              <w:t>餐厅</w:t>
            </w:r>
          </w:p>
        </w:tc>
        <w:tc>
          <w:tcPr>
            <w:tcW w:w="902" w:type="pct"/>
            <w:tcBorders>
              <w:top w:val="single" w:color="auto" w:sz="4" w:space="0"/>
              <w:left w:val="nil"/>
              <w:bottom w:val="single" w:color="auto" w:sz="4" w:space="0"/>
              <w:right w:val="single" w:color="auto" w:sz="4" w:space="0"/>
            </w:tcBorders>
            <w:vAlign w:val="center"/>
          </w:tcPr>
          <w:p w14:paraId="01D725CD">
            <w:pPr>
              <w:pStyle w:val="129"/>
              <w:rPr>
                <w:rFonts w:hint="eastAsia"/>
                <w:color w:val="000000"/>
                <w:sz w:val="21"/>
              </w:rPr>
            </w:pPr>
            <w:r>
              <w:rPr>
                <w:rFonts w:hint="eastAsia" w:ascii="Songti SC" w:hAnsi="Songti SC" w:eastAsia="Songti SC" w:cs="Songti SC"/>
                <w:color w:val="000000"/>
                <w:sz w:val="21"/>
              </w:rPr>
              <w:t>2021年</w:t>
            </w:r>
          </w:p>
        </w:tc>
        <w:tc>
          <w:tcPr>
            <w:tcW w:w="430" w:type="pct"/>
            <w:tcBorders>
              <w:top w:val="single" w:color="auto" w:sz="4" w:space="0"/>
              <w:left w:val="nil"/>
              <w:bottom w:val="single" w:color="auto" w:sz="4" w:space="0"/>
              <w:right w:val="single" w:color="auto" w:sz="4" w:space="0"/>
            </w:tcBorders>
            <w:vAlign w:val="center"/>
          </w:tcPr>
          <w:p w14:paraId="35D1DEF9">
            <w:pPr>
              <w:pStyle w:val="129"/>
              <w:rPr>
                <w:rFonts w:hint="eastAsia"/>
                <w:color w:val="000000"/>
                <w:sz w:val="21"/>
              </w:rPr>
            </w:pPr>
          </w:p>
        </w:tc>
      </w:tr>
      <w:tr w14:paraId="638B8A9A">
        <w:trPr>
          <w:trHeight w:val="454" w:hRule="atLeast"/>
          <w:jc w:val="center"/>
        </w:trPr>
        <w:tc>
          <w:tcPr>
            <w:tcW w:w="389" w:type="pct"/>
            <w:vMerge w:val="restart"/>
            <w:tcBorders>
              <w:top w:val="single" w:color="auto" w:sz="4" w:space="0"/>
              <w:left w:val="single" w:color="auto" w:sz="4" w:space="0"/>
              <w:bottom w:val="single" w:color="auto" w:sz="4" w:space="0"/>
              <w:right w:val="single" w:color="auto" w:sz="4" w:space="0"/>
            </w:tcBorders>
            <w:vAlign w:val="center"/>
          </w:tcPr>
          <w:p w14:paraId="4174B0B8">
            <w:pPr>
              <w:pStyle w:val="129"/>
              <w:rPr>
                <w:rFonts w:hint="eastAsia"/>
                <w:color w:val="000000"/>
                <w:sz w:val="21"/>
              </w:rPr>
            </w:pPr>
            <w:r>
              <w:rPr>
                <w:rFonts w:hint="eastAsia" w:ascii="Songti SC" w:hAnsi="Songti SC" w:eastAsia="Songti SC" w:cs="Songti SC"/>
                <w:color w:val="000000"/>
                <w:sz w:val="21"/>
              </w:rPr>
              <w:t>3</w:t>
            </w:r>
          </w:p>
        </w:tc>
        <w:tc>
          <w:tcPr>
            <w:tcW w:w="791" w:type="pct"/>
            <w:vMerge w:val="restart"/>
            <w:tcBorders>
              <w:top w:val="single" w:color="auto" w:sz="4" w:space="0"/>
              <w:left w:val="nil"/>
              <w:bottom w:val="single" w:color="auto" w:sz="4" w:space="0"/>
              <w:right w:val="single" w:color="auto" w:sz="4" w:space="0"/>
            </w:tcBorders>
            <w:vAlign w:val="center"/>
          </w:tcPr>
          <w:p w14:paraId="34AC521E">
            <w:pPr>
              <w:pStyle w:val="129"/>
              <w:rPr>
                <w:rFonts w:hint="eastAsia"/>
                <w:color w:val="000000"/>
                <w:sz w:val="21"/>
              </w:rPr>
            </w:pPr>
            <w:r>
              <w:rPr>
                <w:rFonts w:hint="eastAsia" w:ascii="Songti SC" w:hAnsi="Songti SC" w:eastAsia="Songti SC" w:cs="Songti SC"/>
                <w:color w:val="000000"/>
                <w:sz w:val="21"/>
              </w:rPr>
              <w:t>桐城办公区</w:t>
            </w:r>
          </w:p>
        </w:tc>
        <w:tc>
          <w:tcPr>
            <w:tcW w:w="666" w:type="pct"/>
            <w:vMerge w:val="restart"/>
            <w:tcBorders>
              <w:top w:val="single" w:color="auto" w:sz="4" w:space="0"/>
              <w:left w:val="nil"/>
              <w:bottom w:val="single" w:color="auto" w:sz="4" w:space="0"/>
              <w:right w:val="single" w:color="auto" w:sz="4" w:space="0"/>
            </w:tcBorders>
            <w:vAlign w:val="center"/>
          </w:tcPr>
          <w:p w14:paraId="51D7297B">
            <w:pPr>
              <w:pStyle w:val="129"/>
              <w:rPr>
                <w:rFonts w:hint="eastAsia"/>
                <w:color w:val="000000"/>
                <w:sz w:val="21"/>
              </w:rPr>
            </w:pPr>
            <w:r>
              <w:rPr>
                <w:rFonts w:hint="eastAsia" w:ascii="Songti SC" w:hAnsi="Songti SC" w:eastAsia="Songti SC" w:cs="Songti SC"/>
                <w:color w:val="000000"/>
                <w:sz w:val="21"/>
              </w:rPr>
              <w:t>消费机</w:t>
            </w:r>
          </w:p>
        </w:tc>
        <w:tc>
          <w:tcPr>
            <w:tcW w:w="458" w:type="pct"/>
            <w:tcBorders>
              <w:top w:val="single" w:color="auto" w:sz="4" w:space="0"/>
              <w:left w:val="nil"/>
              <w:bottom w:val="single" w:color="auto" w:sz="4" w:space="0"/>
              <w:right w:val="single" w:color="auto" w:sz="4" w:space="0"/>
            </w:tcBorders>
            <w:vAlign w:val="center"/>
          </w:tcPr>
          <w:p w14:paraId="465F32B1">
            <w:pPr>
              <w:pStyle w:val="129"/>
              <w:rPr>
                <w:rFonts w:hint="eastAsia"/>
                <w:color w:val="000000"/>
                <w:sz w:val="21"/>
              </w:rPr>
            </w:pPr>
            <w:r>
              <w:rPr>
                <w:rFonts w:hint="eastAsia" w:ascii="Songti SC" w:hAnsi="Songti SC" w:eastAsia="Songti SC" w:cs="Songti SC"/>
                <w:color w:val="000000"/>
                <w:sz w:val="21"/>
              </w:rPr>
              <w:t>5</w:t>
            </w:r>
          </w:p>
        </w:tc>
        <w:tc>
          <w:tcPr>
            <w:tcW w:w="712" w:type="pct"/>
            <w:tcBorders>
              <w:top w:val="single" w:color="auto" w:sz="4" w:space="0"/>
              <w:left w:val="nil"/>
              <w:bottom w:val="single" w:color="auto" w:sz="4" w:space="0"/>
              <w:right w:val="single" w:color="auto" w:sz="4" w:space="0"/>
            </w:tcBorders>
            <w:vAlign w:val="center"/>
          </w:tcPr>
          <w:p w14:paraId="4D28966D">
            <w:pPr>
              <w:pStyle w:val="129"/>
              <w:rPr>
                <w:rFonts w:hint="eastAsia"/>
                <w:color w:val="000000"/>
                <w:sz w:val="21"/>
              </w:rPr>
            </w:pPr>
            <w:r>
              <w:rPr>
                <w:rFonts w:hint="eastAsia" w:ascii="Songti SC" w:hAnsi="Songti SC" w:eastAsia="Songti SC" w:cs="Songti SC"/>
                <w:color w:val="000000"/>
                <w:sz w:val="21"/>
              </w:rPr>
              <w:t>GYE-E10-T1007FCQ</w:t>
            </w:r>
          </w:p>
        </w:tc>
        <w:tc>
          <w:tcPr>
            <w:tcW w:w="652" w:type="pct"/>
            <w:tcBorders>
              <w:top w:val="single" w:color="auto" w:sz="4" w:space="0"/>
              <w:left w:val="nil"/>
              <w:bottom w:val="single" w:color="auto" w:sz="4" w:space="0"/>
              <w:right w:val="single" w:color="auto" w:sz="4" w:space="0"/>
            </w:tcBorders>
            <w:vAlign w:val="center"/>
          </w:tcPr>
          <w:p w14:paraId="291FC38B">
            <w:pPr>
              <w:pStyle w:val="129"/>
              <w:rPr>
                <w:rFonts w:hint="eastAsia"/>
                <w:color w:val="000000"/>
                <w:sz w:val="21"/>
              </w:rPr>
            </w:pPr>
            <w:r>
              <w:rPr>
                <w:rFonts w:hint="eastAsia" w:ascii="Songti SC" w:hAnsi="Songti SC" w:eastAsia="Songti SC" w:cs="Songti SC"/>
                <w:color w:val="000000"/>
                <w:sz w:val="21"/>
              </w:rPr>
              <w:t>餐厅</w:t>
            </w:r>
          </w:p>
        </w:tc>
        <w:tc>
          <w:tcPr>
            <w:tcW w:w="902" w:type="pct"/>
            <w:tcBorders>
              <w:top w:val="single" w:color="auto" w:sz="4" w:space="0"/>
              <w:left w:val="nil"/>
              <w:bottom w:val="single" w:color="auto" w:sz="4" w:space="0"/>
              <w:right w:val="single" w:color="auto" w:sz="4" w:space="0"/>
            </w:tcBorders>
            <w:vAlign w:val="center"/>
          </w:tcPr>
          <w:p w14:paraId="429D6D35">
            <w:pPr>
              <w:pStyle w:val="129"/>
              <w:rPr>
                <w:rFonts w:hint="eastAsia"/>
                <w:color w:val="000000"/>
                <w:sz w:val="21"/>
              </w:rPr>
            </w:pPr>
            <w:r>
              <w:rPr>
                <w:rFonts w:hint="eastAsia" w:ascii="Songti SC" w:hAnsi="Songti SC" w:eastAsia="Songti SC" w:cs="Songti SC"/>
                <w:color w:val="000000"/>
                <w:sz w:val="21"/>
              </w:rPr>
              <w:t>2024年</w:t>
            </w:r>
          </w:p>
        </w:tc>
        <w:tc>
          <w:tcPr>
            <w:tcW w:w="430" w:type="pct"/>
            <w:tcBorders>
              <w:top w:val="single" w:color="auto" w:sz="4" w:space="0"/>
              <w:left w:val="nil"/>
              <w:bottom w:val="single" w:color="auto" w:sz="4" w:space="0"/>
              <w:right w:val="single" w:color="auto" w:sz="4" w:space="0"/>
            </w:tcBorders>
            <w:vAlign w:val="center"/>
          </w:tcPr>
          <w:p w14:paraId="2C736F8F">
            <w:pPr>
              <w:pStyle w:val="129"/>
              <w:rPr>
                <w:rFonts w:hint="eastAsia"/>
                <w:color w:val="000000"/>
                <w:sz w:val="21"/>
              </w:rPr>
            </w:pPr>
          </w:p>
        </w:tc>
      </w:tr>
      <w:tr w14:paraId="676555AE">
        <w:trPr>
          <w:trHeight w:val="454" w:hRule="atLeast"/>
          <w:jc w:val="center"/>
        </w:trPr>
        <w:tc>
          <w:tcPr>
            <w:tcW w:w="389" w:type="pct"/>
            <w:vMerge w:val="continue"/>
            <w:tcBorders>
              <w:top w:val="single" w:color="auto" w:sz="4" w:space="0"/>
              <w:left w:val="single" w:color="auto" w:sz="4" w:space="0"/>
              <w:bottom w:val="single" w:color="auto" w:sz="4" w:space="0"/>
              <w:right w:val="single" w:color="auto" w:sz="4" w:space="0"/>
            </w:tcBorders>
            <w:vAlign w:val="center"/>
          </w:tcPr>
          <w:p w14:paraId="7B5124FC">
            <w:pPr>
              <w:pStyle w:val="129"/>
              <w:rPr>
                <w:rFonts w:hint="eastAsia"/>
                <w:color w:val="000000"/>
                <w:sz w:val="21"/>
              </w:rPr>
            </w:pPr>
          </w:p>
        </w:tc>
        <w:tc>
          <w:tcPr>
            <w:tcW w:w="791" w:type="pct"/>
            <w:vMerge w:val="continue"/>
            <w:tcBorders>
              <w:top w:val="single" w:color="auto" w:sz="4" w:space="0"/>
              <w:left w:val="nil"/>
              <w:bottom w:val="single" w:color="auto" w:sz="4" w:space="0"/>
              <w:right w:val="single" w:color="auto" w:sz="4" w:space="0"/>
            </w:tcBorders>
            <w:vAlign w:val="center"/>
          </w:tcPr>
          <w:p w14:paraId="7304DF17">
            <w:pPr>
              <w:pStyle w:val="129"/>
              <w:rPr>
                <w:rFonts w:hint="eastAsia"/>
                <w:color w:val="000000"/>
                <w:sz w:val="21"/>
              </w:rPr>
            </w:pPr>
          </w:p>
        </w:tc>
        <w:tc>
          <w:tcPr>
            <w:tcW w:w="666" w:type="pct"/>
            <w:vMerge w:val="continue"/>
            <w:tcBorders>
              <w:top w:val="single" w:color="auto" w:sz="4" w:space="0"/>
              <w:left w:val="nil"/>
              <w:bottom w:val="single" w:color="auto" w:sz="4" w:space="0"/>
              <w:right w:val="single" w:color="auto" w:sz="4" w:space="0"/>
            </w:tcBorders>
            <w:vAlign w:val="center"/>
          </w:tcPr>
          <w:p w14:paraId="1CEF65D3">
            <w:pPr>
              <w:pStyle w:val="129"/>
              <w:rPr>
                <w:rFonts w:hint="eastAsia"/>
                <w:color w:val="000000"/>
                <w:sz w:val="21"/>
              </w:rPr>
            </w:pPr>
          </w:p>
        </w:tc>
        <w:tc>
          <w:tcPr>
            <w:tcW w:w="458" w:type="pct"/>
            <w:tcBorders>
              <w:top w:val="single" w:color="auto" w:sz="4" w:space="0"/>
              <w:left w:val="nil"/>
              <w:bottom w:val="single" w:color="auto" w:sz="4" w:space="0"/>
              <w:right w:val="single" w:color="auto" w:sz="4" w:space="0"/>
            </w:tcBorders>
            <w:vAlign w:val="center"/>
          </w:tcPr>
          <w:p w14:paraId="27221BDB">
            <w:pPr>
              <w:pStyle w:val="129"/>
              <w:rPr>
                <w:rFonts w:hint="eastAsia"/>
                <w:color w:val="000000"/>
                <w:sz w:val="21"/>
              </w:rPr>
            </w:pPr>
            <w:r>
              <w:rPr>
                <w:rFonts w:hint="eastAsia" w:ascii="Songti SC" w:hAnsi="Songti SC" w:eastAsia="Songti SC" w:cs="Songti SC"/>
                <w:color w:val="000000"/>
                <w:sz w:val="21"/>
              </w:rPr>
              <w:t>8</w:t>
            </w:r>
          </w:p>
        </w:tc>
        <w:tc>
          <w:tcPr>
            <w:tcW w:w="712" w:type="pct"/>
            <w:tcBorders>
              <w:top w:val="single" w:color="auto" w:sz="4" w:space="0"/>
              <w:left w:val="nil"/>
              <w:bottom w:val="single" w:color="auto" w:sz="4" w:space="0"/>
              <w:right w:val="single" w:color="auto" w:sz="4" w:space="0"/>
            </w:tcBorders>
            <w:vAlign w:val="center"/>
          </w:tcPr>
          <w:p w14:paraId="62936FFB">
            <w:pPr>
              <w:pStyle w:val="129"/>
              <w:rPr>
                <w:rFonts w:hint="eastAsia"/>
                <w:color w:val="000000"/>
                <w:sz w:val="21"/>
              </w:rPr>
            </w:pPr>
            <w:r>
              <w:rPr>
                <w:rFonts w:hint="eastAsia" w:ascii="Songti SC" w:hAnsi="Songti SC" w:eastAsia="Songti SC" w:cs="Songti SC"/>
                <w:color w:val="000000"/>
                <w:sz w:val="21"/>
              </w:rPr>
              <w:t>GYE-F20</w:t>
            </w:r>
          </w:p>
        </w:tc>
        <w:tc>
          <w:tcPr>
            <w:tcW w:w="652" w:type="pct"/>
            <w:tcBorders>
              <w:top w:val="single" w:color="auto" w:sz="4" w:space="0"/>
              <w:left w:val="nil"/>
              <w:bottom w:val="single" w:color="auto" w:sz="4" w:space="0"/>
              <w:right w:val="single" w:color="auto" w:sz="4" w:space="0"/>
            </w:tcBorders>
            <w:vAlign w:val="center"/>
          </w:tcPr>
          <w:p w14:paraId="4D3BDEB4">
            <w:pPr>
              <w:pStyle w:val="129"/>
              <w:rPr>
                <w:rFonts w:hint="eastAsia"/>
                <w:color w:val="000000"/>
                <w:sz w:val="21"/>
              </w:rPr>
            </w:pPr>
            <w:r>
              <w:rPr>
                <w:rFonts w:hint="eastAsia" w:ascii="Songti SC" w:hAnsi="Songti SC" w:eastAsia="Songti SC" w:cs="Songti SC"/>
                <w:color w:val="000000"/>
                <w:sz w:val="21"/>
              </w:rPr>
              <w:t>餐厅</w:t>
            </w:r>
          </w:p>
        </w:tc>
        <w:tc>
          <w:tcPr>
            <w:tcW w:w="902" w:type="pct"/>
            <w:tcBorders>
              <w:top w:val="single" w:color="auto" w:sz="4" w:space="0"/>
              <w:left w:val="nil"/>
              <w:bottom w:val="single" w:color="auto" w:sz="4" w:space="0"/>
              <w:right w:val="single" w:color="auto" w:sz="4" w:space="0"/>
            </w:tcBorders>
            <w:vAlign w:val="center"/>
          </w:tcPr>
          <w:p w14:paraId="0CDB7629">
            <w:pPr>
              <w:pStyle w:val="129"/>
              <w:rPr>
                <w:rFonts w:hint="eastAsia"/>
                <w:color w:val="000000"/>
                <w:sz w:val="21"/>
              </w:rPr>
            </w:pPr>
            <w:r>
              <w:rPr>
                <w:rFonts w:hint="eastAsia" w:ascii="Songti SC" w:hAnsi="Songti SC" w:eastAsia="Songti SC" w:cs="Songti SC"/>
                <w:color w:val="000000"/>
                <w:sz w:val="21"/>
              </w:rPr>
              <w:t>2020年</w:t>
            </w:r>
          </w:p>
        </w:tc>
        <w:tc>
          <w:tcPr>
            <w:tcW w:w="430" w:type="pct"/>
            <w:tcBorders>
              <w:top w:val="single" w:color="auto" w:sz="4" w:space="0"/>
              <w:left w:val="nil"/>
              <w:bottom w:val="single" w:color="auto" w:sz="4" w:space="0"/>
              <w:right w:val="single" w:color="auto" w:sz="4" w:space="0"/>
            </w:tcBorders>
            <w:vAlign w:val="center"/>
          </w:tcPr>
          <w:p w14:paraId="5A50C368">
            <w:pPr>
              <w:pStyle w:val="129"/>
              <w:rPr>
                <w:rFonts w:hint="eastAsia"/>
                <w:color w:val="000000"/>
                <w:sz w:val="21"/>
              </w:rPr>
            </w:pPr>
          </w:p>
        </w:tc>
      </w:tr>
      <w:tr w14:paraId="5B28C3DE">
        <w:trPr>
          <w:trHeight w:val="454" w:hRule="atLeast"/>
          <w:jc w:val="center"/>
        </w:trPr>
        <w:tc>
          <w:tcPr>
            <w:tcW w:w="389" w:type="pct"/>
            <w:tcBorders>
              <w:top w:val="single" w:color="auto" w:sz="4" w:space="0"/>
              <w:left w:val="single" w:color="auto" w:sz="4" w:space="0"/>
              <w:bottom w:val="single" w:color="auto" w:sz="4" w:space="0"/>
              <w:right w:val="single" w:color="auto" w:sz="4" w:space="0"/>
            </w:tcBorders>
            <w:vAlign w:val="center"/>
          </w:tcPr>
          <w:p w14:paraId="3594D971">
            <w:pPr>
              <w:pStyle w:val="129"/>
              <w:rPr>
                <w:rFonts w:hint="eastAsia"/>
                <w:color w:val="000000"/>
                <w:sz w:val="21"/>
              </w:rPr>
            </w:pPr>
            <w:r>
              <w:rPr>
                <w:rFonts w:hint="eastAsia" w:ascii="Songti SC" w:hAnsi="Songti SC" w:eastAsia="Songti SC" w:cs="Songti SC"/>
                <w:color w:val="000000"/>
                <w:sz w:val="21"/>
              </w:rPr>
              <w:t>4</w:t>
            </w:r>
          </w:p>
        </w:tc>
        <w:tc>
          <w:tcPr>
            <w:tcW w:w="791" w:type="pct"/>
            <w:tcBorders>
              <w:top w:val="single" w:color="auto" w:sz="4" w:space="0"/>
              <w:left w:val="nil"/>
              <w:bottom w:val="single" w:color="auto" w:sz="4" w:space="0"/>
              <w:right w:val="single" w:color="auto" w:sz="4" w:space="0"/>
            </w:tcBorders>
            <w:vAlign w:val="center"/>
          </w:tcPr>
          <w:p w14:paraId="2A6686BD">
            <w:pPr>
              <w:pStyle w:val="129"/>
              <w:rPr>
                <w:rFonts w:hint="eastAsia"/>
                <w:color w:val="000000"/>
                <w:sz w:val="21"/>
              </w:rPr>
            </w:pPr>
            <w:r>
              <w:rPr>
                <w:rFonts w:hint="eastAsia" w:ascii="Songti SC" w:hAnsi="Songti SC" w:eastAsia="Songti SC" w:cs="Songti SC"/>
                <w:color w:val="000000"/>
                <w:sz w:val="21"/>
              </w:rPr>
              <w:t>清城办公区</w:t>
            </w:r>
          </w:p>
        </w:tc>
        <w:tc>
          <w:tcPr>
            <w:tcW w:w="666" w:type="pct"/>
            <w:tcBorders>
              <w:top w:val="single" w:color="auto" w:sz="4" w:space="0"/>
              <w:left w:val="nil"/>
              <w:bottom w:val="single" w:color="auto" w:sz="4" w:space="0"/>
              <w:right w:val="single" w:color="auto" w:sz="4" w:space="0"/>
            </w:tcBorders>
            <w:vAlign w:val="center"/>
          </w:tcPr>
          <w:p w14:paraId="3A4BCD76">
            <w:pPr>
              <w:pStyle w:val="129"/>
              <w:rPr>
                <w:rFonts w:hint="eastAsia"/>
                <w:color w:val="000000"/>
                <w:sz w:val="21"/>
              </w:rPr>
            </w:pPr>
            <w:r>
              <w:rPr>
                <w:rFonts w:hint="eastAsia" w:ascii="Songti SC" w:hAnsi="Songti SC" w:eastAsia="Songti SC" w:cs="Songti SC"/>
                <w:color w:val="000000"/>
                <w:sz w:val="21"/>
              </w:rPr>
              <w:t>消费机</w:t>
            </w:r>
          </w:p>
        </w:tc>
        <w:tc>
          <w:tcPr>
            <w:tcW w:w="458" w:type="pct"/>
            <w:tcBorders>
              <w:top w:val="single" w:color="auto" w:sz="4" w:space="0"/>
              <w:left w:val="nil"/>
              <w:bottom w:val="single" w:color="auto" w:sz="4" w:space="0"/>
              <w:right w:val="single" w:color="auto" w:sz="4" w:space="0"/>
            </w:tcBorders>
            <w:vAlign w:val="center"/>
          </w:tcPr>
          <w:p w14:paraId="091608AE">
            <w:pPr>
              <w:pStyle w:val="129"/>
              <w:rPr>
                <w:rFonts w:hint="eastAsia"/>
                <w:color w:val="000000"/>
                <w:sz w:val="21"/>
              </w:rPr>
            </w:pPr>
            <w:r>
              <w:rPr>
                <w:rFonts w:hint="eastAsia" w:ascii="Songti SC" w:hAnsi="Songti SC" w:eastAsia="Songti SC" w:cs="Songti SC"/>
                <w:color w:val="000000"/>
                <w:sz w:val="21"/>
              </w:rPr>
              <w:t>6</w:t>
            </w:r>
          </w:p>
        </w:tc>
        <w:tc>
          <w:tcPr>
            <w:tcW w:w="712" w:type="pct"/>
            <w:tcBorders>
              <w:top w:val="single" w:color="auto" w:sz="4" w:space="0"/>
              <w:left w:val="nil"/>
              <w:bottom w:val="single" w:color="auto" w:sz="4" w:space="0"/>
              <w:right w:val="single" w:color="auto" w:sz="4" w:space="0"/>
            </w:tcBorders>
            <w:vAlign w:val="center"/>
          </w:tcPr>
          <w:p w14:paraId="2D57A266">
            <w:pPr>
              <w:pStyle w:val="129"/>
              <w:rPr>
                <w:rFonts w:hint="eastAsia"/>
                <w:color w:val="000000"/>
                <w:sz w:val="21"/>
              </w:rPr>
            </w:pPr>
            <w:r>
              <w:rPr>
                <w:rFonts w:hint="eastAsia" w:ascii="Songti SC" w:hAnsi="Songti SC" w:eastAsia="Songti SC" w:cs="Songti SC"/>
                <w:color w:val="000000"/>
                <w:sz w:val="21"/>
              </w:rPr>
              <w:t>GYE-F20</w:t>
            </w:r>
          </w:p>
        </w:tc>
        <w:tc>
          <w:tcPr>
            <w:tcW w:w="652" w:type="pct"/>
            <w:tcBorders>
              <w:top w:val="single" w:color="auto" w:sz="4" w:space="0"/>
              <w:left w:val="nil"/>
              <w:bottom w:val="single" w:color="auto" w:sz="4" w:space="0"/>
              <w:right w:val="single" w:color="auto" w:sz="4" w:space="0"/>
            </w:tcBorders>
            <w:vAlign w:val="center"/>
          </w:tcPr>
          <w:p w14:paraId="15FDFCD2">
            <w:pPr>
              <w:pStyle w:val="129"/>
              <w:rPr>
                <w:rFonts w:hint="eastAsia"/>
                <w:color w:val="000000"/>
                <w:sz w:val="21"/>
              </w:rPr>
            </w:pPr>
            <w:r>
              <w:rPr>
                <w:rFonts w:hint="eastAsia" w:ascii="Songti SC" w:hAnsi="Songti SC" w:eastAsia="Songti SC" w:cs="Songti SC"/>
                <w:color w:val="000000"/>
                <w:sz w:val="21"/>
              </w:rPr>
              <w:t>餐厅</w:t>
            </w:r>
          </w:p>
        </w:tc>
        <w:tc>
          <w:tcPr>
            <w:tcW w:w="902" w:type="pct"/>
            <w:tcBorders>
              <w:top w:val="single" w:color="auto" w:sz="4" w:space="0"/>
              <w:left w:val="nil"/>
              <w:bottom w:val="single" w:color="auto" w:sz="4" w:space="0"/>
              <w:right w:val="single" w:color="auto" w:sz="4" w:space="0"/>
            </w:tcBorders>
            <w:vAlign w:val="center"/>
          </w:tcPr>
          <w:p w14:paraId="4BD8CEFE">
            <w:pPr>
              <w:pStyle w:val="129"/>
              <w:rPr>
                <w:rFonts w:hint="eastAsia"/>
                <w:color w:val="000000"/>
                <w:sz w:val="21"/>
              </w:rPr>
            </w:pPr>
            <w:r>
              <w:rPr>
                <w:rFonts w:hint="eastAsia" w:ascii="Songti SC" w:hAnsi="Songti SC" w:eastAsia="Songti SC" w:cs="Songti SC"/>
                <w:color w:val="000000"/>
                <w:sz w:val="21"/>
              </w:rPr>
              <w:t>2020年</w:t>
            </w:r>
          </w:p>
        </w:tc>
        <w:tc>
          <w:tcPr>
            <w:tcW w:w="430" w:type="pct"/>
            <w:tcBorders>
              <w:top w:val="single" w:color="auto" w:sz="4" w:space="0"/>
              <w:left w:val="nil"/>
              <w:bottom w:val="single" w:color="auto" w:sz="4" w:space="0"/>
              <w:right w:val="single" w:color="auto" w:sz="4" w:space="0"/>
            </w:tcBorders>
            <w:vAlign w:val="center"/>
          </w:tcPr>
          <w:p w14:paraId="5789C3C8">
            <w:pPr>
              <w:pStyle w:val="129"/>
              <w:rPr>
                <w:rFonts w:hint="eastAsia"/>
                <w:color w:val="000000"/>
                <w:sz w:val="21"/>
              </w:rPr>
            </w:pPr>
          </w:p>
        </w:tc>
      </w:tr>
      <w:tr w14:paraId="528AA708">
        <w:trPr>
          <w:trHeight w:val="454" w:hRule="atLeast"/>
          <w:jc w:val="center"/>
        </w:trPr>
        <w:tc>
          <w:tcPr>
            <w:tcW w:w="389" w:type="pct"/>
            <w:tcBorders>
              <w:top w:val="single" w:color="auto" w:sz="4" w:space="0"/>
              <w:left w:val="single" w:color="auto" w:sz="4" w:space="0"/>
              <w:bottom w:val="single" w:color="auto" w:sz="4" w:space="0"/>
              <w:right w:val="single" w:color="auto" w:sz="4" w:space="0"/>
            </w:tcBorders>
            <w:vAlign w:val="center"/>
          </w:tcPr>
          <w:p w14:paraId="45EF1149">
            <w:pPr>
              <w:pStyle w:val="129"/>
              <w:rPr>
                <w:rFonts w:hint="eastAsia"/>
                <w:color w:val="000000"/>
                <w:sz w:val="21"/>
              </w:rPr>
            </w:pPr>
            <w:r>
              <w:rPr>
                <w:rFonts w:hint="eastAsia" w:ascii="Songti SC" w:hAnsi="Songti SC" w:eastAsia="Songti SC" w:cs="Songti SC"/>
                <w:color w:val="000000"/>
                <w:sz w:val="21"/>
              </w:rPr>
              <w:t>5</w:t>
            </w:r>
          </w:p>
        </w:tc>
        <w:tc>
          <w:tcPr>
            <w:tcW w:w="791" w:type="pct"/>
            <w:tcBorders>
              <w:top w:val="single" w:color="auto" w:sz="4" w:space="0"/>
              <w:left w:val="nil"/>
              <w:bottom w:val="single" w:color="auto" w:sz="4" w:space="0"/>
              <w:right w:val="single" w:color="auto" w:sz="4" w:space="0"/>
            </w:tcBorders>
            <w:vAlign w:val="center"/>
          </w:tcPr>
          <w:p w14:paraId="7F76FE19">
            <w:pPr>
              <w:pStyle w:val="129"/>
              <w:rPr>
                <w:rFonts w:hint="eastAsia"/>
                <w:color w:val="000000"/>
                <w:sz w:val="21"/>
              </w:rPr>
            </w:pPr>
            <w:r>
              <w:rPr>
                <w:rFonts w:hint="eastAsia" w:ascii="Songti SC" w:hAnsi="Songti SC" w:eastAsia="Songti SC" w:cs="Songti SC"/>
                <w:color w:val="000000"/>
                <w:sz w:val="21"/>
              </w:rPr>
              <w:t>第六办公区</w:t>
            </w:r>
          </w:p>
        </w:tc>
        <w:tc>
          <w:tcPr>
            <w:tcW w:w="666" w:type="pct"/>
            <w:tcBorders>
              <w:top w:val="single" w:color="auto" w:sz="4" w:space="0"/>
              <w:left w:val="nil"/>
              <w:bottom w:val="single" w:color="auto" w:sz="4" w:space="0"/>
              <w:right w:val="single" w:color="auto" w:sz="4" w:space="0"/>
            </w:tcBorders>
            <w:vAlign w:val="center"/>
          </w:tcPr>
          <w:p w14:paraId="12FF0A75">
            <w:pPr>
              <w:pStyle w:val="129"/>
              <w:rPr>
                <w:rFonts w:hint="eastAsia"/>
                <w:color w:val="000000"/>
                <w:sz w:val="21"/>
              </w:rPr>
            </w:pPr>
            <w:r>
              <w:rPr>
                <w:rFonts w:hint="eastAsia" w:ascii="Songti SC" w:hAnsi="Songti SC" w:eastAsia="Songti SC" w:cs="Songti SC"/>
                <w:color w:val="000000"/>
                <w:sz w:val="21"/>
              </w:rPr>
              <w:t>消费机</w:t>
            </w:r>
          </w:p>
        </w:tc>
        <w:tc>
          <w:tcPr>
            <w:tcW w:w="458" w:type="pct"/>
            <w:tcBorders>
              <w:top w:val="single" w:color="auto" w:sz="4" w:space="0"/>
              <w:left w:val="nil"/>
              <w:bottom w:val="single" w:color="auto" w:sz="4" w:space="0"/>
              <w:right w:val="single" w:color="auto" w:sz="4" w:space="0"/>
            </w:tcBorders>
            <w:vAlign w:val="center"/>
          </w:tcPr>
          <w:p w14:paraId="5D40EA44">
            <w:pPr>
              <w:pStyle w:val="129"/>
              <w:rPr>
                <w:rFonts w:hint="eastAsia"/>
                <w:color w:val="000000"/>
                <w:sz w:val="21"/>
              </w:rPr>
            </w:pPr>
            <w:r>
              <w:rPr>
                <w:rFonts w:hint="eastAsia" w:ascii="Songti SC" w:hAnsi="Songti SC" w:eastAsia="Songti SC" w:cs="Songti SC"/>
                <w:color w:val="000000"/>
                <w:sz w:val="21"/>
              </w:rPr>
              <w:t>3</w:t>
            </w:r>
          </w:p>
        </w:tc>
        <w:tc>
          <w:tcPr>
            <w:tcW w:w="712" w:type="pct"/>
            <w:tcBorders>
              <w:top w:val="single" w:color="auto" w:sz="4" w:space="0"/>
              <w:left w:val="nil"/>
              <w:bottom w:val="single" w:color="auto" w:sz="4" w:space="0"/>
              <w:right w:val="single" w:color="auto" w:sz="4" w:space="0"/>
            </w:tcBorders>
            <w:vAlign w:val="center"/>
          </w:tcPr>
          <w:p w14:paraId="1E6822A6">
            <w:pPr>
              <w:pStyle w:val="129"/>
              <w:rPr>
                <w:rFonts w:hint="eastAsia"/>
                <w:color w:val="000000"/>
                <w:sz w:val="21"/>
              </w:rPr>
            </w:pPr>
            <w:r>
              <w:rPr>
                <w:rFonts w:hint="eastAsia" w:ascii="Songti SC" w:hAnsi="Songti SC" w:eastAsia="Songti SC" w:cs="Songti SC"/>
                <w:color w:val="000000"/>
                <w:sz w:val="21"/>
              </w:rPr>
              <w:t>GYE-E10-T1007FCQ</w:t>
            </w:r>
          </w:p>
        </w:tc>
        <w:tc>
          <w:tcPr>
            <w:tcW w:w="652" w:type="pct"/>
            <w:tcBorders>
              <w:top w:val="single" w:color="auto" w:sz="4" w:space="0"/>
              <w:left w:val="nil"/>
              <w:bottom w:val="single" w:color="auto" w:sz="4" w:space="0"/>
              <w:right w:val="single" w:color="auto" w:sz="4" w:space="0"/>
            </w:tcBorders>
            <w:vAlign w:val="center"/>
          </w:tcPr>
          <w:p w14:paraId="1C05FC05">
            <w:pPr>
              <w:pStyle w:val="129"/>
              <w:rPr>
                <w:rFonts w:hint="eastAsia"/>
                <w:color w:val="000000"/>
                <w:sz w:val="21"/>
              </w:rPr>
            </w:pPr>
            <w:r>
              <w:rPr>
                <w:rFonts w:hint="eastAsia" w:ascii="Songti SC" w:hAnsi="Songti SC" w:eastAsia="Songti SC" w:cs="Songti SC"/>
                <w:color w:val="000000"/>
                <w:sz w:val="21"/>
              </w:rPr>
              <w:t>餐厅</w:t>
            </w:r>
          </w:p>
        </w:tc>
        <w:tc>
          <w:tcPr>
            <w:tcW w:w="902" w:type="pct"/>
            <w:tcBorders>
              <w:top w:val="single" w:color="auto" w:sz="4" w:space="0"/>
              <w:left w:val="nil"/>
              <w:bottom w:val="single" w:color="auto" w:sz="4" w:space="0"/>
              <w:right w:val="single" w:color="auto" w:sz="4" w:space="0"/>
            </w:tcBorders>
            <w:vAlign w:val="center"/>
          </w:tcPr>
          <w:p w14:paraId="2CA20AC2">
            <w:pPr>
              <w:pStyle w:val="129"/>
              <w:rPr>
                <w:rFonts w:hint="eastAsia"/>
                <w:color w:val="000000"/>
                <w:sz w:val="21"/>
              </w:rPr>
            </w:pPr>
            <w:r>
              <w:rPr>
                <w:rFonts w:hint="eastAsia" w:ascii="Songti SC" w:hAnsi="Songti SC" w:eastAsia="Songti SC" w:cs="Songti SC"/>
                <w:color w:val="000000"/>
                <w:sz w:val="21"/>
              </w:rPr>
              <w:t>2024年</w:t>
            </w:r>
          </w:p>
        </w:tc>
        <w:tc>
          <w:tcPr>
            <w:tcW w:w="430" w:type="pct"/>
            <w:tcBorders>
              <w:top w:val="single" w:color="auto" w:sz="4" w:space="0"/>
              <w:left w:val="nil"/>
              <w:bottom w:val="single" w:color="auto" w:sz="4" w:space="0"/>
              <w:right w:val="single" w:color="auto" w:sz="4" w:space="0"/>
            </w:tcBorders>
            <w:vAlign w:val="center"/>
          </w:tcPr>
          <w:p w14:paraId="5F837E21">
            <w:pPr>
              <w:pStyle w:val="129"/>
              <w:rPr>
                <w:rFonts w:hint="eastAsia"/>
                <w:color w:val="000000"/>
                <w:sz w:val="21"/>
              </w:rPr>
            </w:pPr>
          </w:p>
        </w:tc>
      </w:tr>
      <w:tr w14:paraId="4AB62278">
        <w:trPr>
          <w:trHeight w:val="454" w:hRule="atLeast"/>
          <w:jc w:val="center"/>
        </w:trPr>
        <w:tc>
          <w:tcPr>
            <w:tcW w:w="389" w:type="pct"/>
            <w:vMerge w:val="restart"/>
            <w:tcBorders>
              <w:top w:val="single" w:color="auto" w:sz="4" w:space="0"/>
              <w:left w:val="single" w:color="auto" w:sz="4" w:space="0"/>
              <w:bottom w:val="single" w:color="auto" w:sz="4" w:space="0"/>
              <w:right w:val="single" w:color="auto" w:sz="4" w:space="0"/>
            </w:tcBorders>
            <w:vAlign w:val="center"/>
          </w:tcPr>
          <w:p w14:paraId="2C36BF17">
            <w:pPr>
              <w:pStyle w:val="129"/>
              <w:rPr>
                <w:rFonts w:hint="eastAsia"/>
                <w:color w:val="000000"/>
                <w:sz w:val="21"/>
              </w:rPr>
            </w:pPr>
            <w:r>
              <w:rPr>
                <w:rFonts w:hint="eastAsia" w:ascii="Songti SC" w:hAnsi="Songti SC" w:eastAsia="Songti SC" w:cs="Songti SC"/>
                <w:color w:val="000000"/>
                <w:sz w:val="21"/>
              </w:rPr>
              <w:t>6</w:t>
            </w:r>
          </w:p>
        </w:tc>
        <w:tc>
          <w:tcPr>
            <w:tcW w:w="791" w:type="pct"/>
            <w:vMerge w:val="restart"/>
            <w:tcBorders>
              <w:top w:val="single" w:color="auto" w:sz="4" w:space="0"/>
              <w:left w:val="nil"/>
              <w:bottom w:val="single" w:color="auto" w:sz="4" w:space="0"/>
              <w:right w:val="single" w:color="auto" w:sz="4" w:space="0"/>
            </w:tcBorders>
            <w:vAlign w:val="center"/>
          </w:tcPr>
          <w:p w14:paraId="4B4D9F62">
            <w:pPr>
              <w:pStyle w:val="129"/>
              <w:rPr>
                <w:rFonts w:hint="eastAsia"/>
                <w:color w:val="000000"/>
                <w:sz w:val="21"/>
              </w:rPr>
            </w:pPr>
            <w:r>
              <w:rPr>
                <w:rFonts w:hint="eastAsia" w:ascii="Songti SC" w:hAnsi="Songti SC" w:eastAsia="Songti SC" w:cs="Songti SC"/>
                <w:color w:val="000000"/>
                <w:sz w:val="21"/>
              </w:rPr>
              <w:t>第七办公区</w:t>
            </w:r>
          </w:p>
        </w:tc>
        <w:tc>
          <w:tcPr>
            <w:tcW w:w="666" w:type="pct"/>
            <w:vMerge w:val="restart"/>
            <w:tcBorders>
              <w:top w:val="single" w:color="auto" w:sz="4" w:space="0"/>
              <w:left w:val="nil"/>
              <w:bottom w:val="single" w:color="auto" w:sz="4" w:space="0"/>
              <w:right w:val="single" w:color="auto" w:sz="4" w:space="0"/>
            </w:tcBorders>
            <w:vAlign w:val="center"/>
          </w:tcPr>
          <w:p w14:paraId="7BE85E1F">
            <w:pPr>
              <w:pStyle w:val="129"/>
              <w:rPr>
                <w:rFonts w:hint="eastAsia"/>
                <w:color w:val="000000"/>
                <w:sz w:val="21"/>
              </w:rPr>
            </w:pPr>
            <w:r>
              <w:rPr>
                <w:rFonts w:hint="eastAsia" w:ascii="Songti SC" w:hAnsi="Songti SC" w:eastAsia="Songti SC" w:cs="Songti SC"/>
                <w:color w:val="000000"/>
                <w:sz w:val="21"/>
              </w:rPr>
              <w:t>消费机</w:t>
            </w:r>
          </w:p>
        </w:tc>
        <w:tc>
          <w:tcPr>
            <w:tcW w:w="458" w:type="pct"/>
            <w:tcBorders>
              <w:top w:val="single" w:color="auto" w:sz="4" w:space="0"/>
              <w:left w:val="nil"/>
              <w:bottom w:val="single" w:color="auto" w:sz="4" w:space="0"/>
              <w:right w:val="single" w:color="auto" w:sz="4" w:space="0"/>
            </w:tcBorders>
            <w:vAlign w:val="center"/>
          </w:tcPr>
          <w:p w14:paraId="1C6FBE34">
            <w:pPr>
              <w:pStyle w:val="129"/>
              <w:rPr>
                <w:rFonts w:hint="eastAsia"/>
                <w:color w:val="000000"/>
                <w:sz w:val="21"/>
              </w:rPr>
            </w:pPr>
            <w:r>
              <w:rPr>
                <w:rFonts w:hint="eastAsia" w:ascii="Songti SC" w:hAnsi="Songti SC" w:eastAsia="Songti SC" w:cs="Songti SC"/>
                <w:color w:val="000000"/>
                <w:sz w:val="21"/>
              </w:rPr>
              <w:t>1</w:t>
            </w:r>
          </w:p>
        </w:tc>
        <w:tc>
          <w:tcPr>
            <w:tcW w:w="712" w:type="pct"/>
            <w:tcBorders>
              <w:top w:val="single" w:color="auto" w:sz="4" w:space="0"/>
              <w:left w:val="nil"/>
              <w:bottom w:val="single" w:color="auto" w:sz="4" w:space="0"/>
              <w:right w:val="single" w:color="auto" w:sz="4" w:space="0"/>
            </w:tcBorders>
            <w:vAlign w:val="center"/>
          </w:tcPr>
          <w:p w14:paraId="05E09CF2">
            <w:pPr>
              <w:pStyle w:val="129"/>
              <w:rPr>
                <w:rFonts w:hint="eastAsia"/>
                <w:color w:val="000000"/>
                <w:sz w:val="21"/>
              </w:rPr>
            </w:pPr>
            <w:r>
              <w:rPr>
                <w:rFonts w:hint="eastAsia" w:ascii="Songti SC" w:hAnsi="Songti SC" w:eastAsia="Songti SC" w:cs="Songti SC"/>
                <w:color w:val="000000"/>
                <w:sz w:val="21"/>
              </w:rPr>
              <w:t>GYE-E10-T1007FCQ</w:t>
            </w:r>
          </w:p>
        </w:tc>
        <w:tc>
          <w:tcPr>
            <w:tcW w:w="652" w:type="pct"/>
            <w:tcBorders>
              <w:top w:val="single" w:color="auto" w:sz="4" w:space="0"/>
              <w:left w:val="nil"/>
              <w:bottom w:val="single" w:color="auto" w:sz="4" w:space="0"/>
              <w:right w:val="single" w:color="auto" w:sz="4" w:space="0"/>
            </w:tcBorders>
            <w:vAlign w:val="center"/>
          </w:tcPr>
          <w:p w14:paraId="14F1B168">
            <w:pPr>
              <w:pStyle w:val="129"/>
              <w:rPr>
                <w:rFonts w:hint="eastAsia"/>
                <w:color w:val="000000"/>
                <w:sz w:val="21"/>
              </w:rPr>
            </w:pPr>
            <w:r>
              <w:rPr>
                <w:rFonts w:hint="eastAsia" w:ascii="Songti SC" w:hAnsi="Songti SC" w:eastAsia="Songti SC" w:cs="Songti SC"/>
                <w:color w:val="000000"/>
                <w:sz w:val="21"/>
              </w:rPr>
              <w:t>餐厅</w:t>
            </w:r>
          </w:p>
        </w:tc>
        <w:tc>
          <w:tcPr>
            <w:tcW w:w="902" w:type="pct"/>
            <w:tcBorders>
              <w:top w:val="single" w:color="auto" w:sz="4" w:space="0"/>
              <w:left w:val="nil"/>
              <w:bottom w:val="single" w:color="auto" w:sz="4" w:space="0"/>
              <w:right w:val="single" w:color="auto" w:sz="4" w:space="0"/>
            </w:tcBorders>
            <w:vAlign w:val="center"/>
          </w:tcPr>
          <w:p w14:paraId="172F8CD2">
            <w:pPr>
              <w:pStyle w:val="129"/>
              <w:rPr>
                <w:rFonts w:hint="eastAsia"/>
                <w:color w:val="000000"/>
                <w:sz w:val="21"/>
              </w:rPr>
            </w:pPr>
            <w:r>
              <w:rPr>
                <w:rFonts w:hint="eastAsia" w:ascii="Songti SC" w:hAnsi="Songti SC" w:eastAsia="Songti SC" w:cs="Songti SC"/>
                <w:color w:val="000000"/>
                <w:sz w:val="21"/>
              </w:rPr>
              <w:t>2025年</w:t>
            </w:r>
          </w:p>
        </w:tc>
        <w:tc>
          <w:tcPr>
            <w:tcW w:w="430" w:type="pct"/>
            <w:tcBorders>
              <w:top w:val="single" w:color="auto" w:sz="4" w:space="0"/>
              <w:left w:val="nil"/>
              <w:bottom w:val="single" w:color="auto" w:sz="4" w:space="0"/>
              <w:right w:val="single" w:color="auto" w:sz="4" w:space="0"/>
            </w:tcBorders>
            <w:vAlign w:val="center"/>
          </w:tcPr>
          <w:p w14:paraId="163A03F2">
            <w:pPr>
              <w:pStyle w:val="129"/>
              <w:rPr>
                <w:rFonts w:hint="eastAsia"/>
                <w:color w:val="000000"/>
                <w:sz w:val="21"/>
              </w:rPr>
            </w:pPr>
          </w:p>
        </w:tc>
      </w:tr>
      <w:tr w14:paraId="78F4CAFC">
        <w:trPr>
          <w:trHeight w:val="454" w:hRule="atLeast"/>
          <w:jc w:val="center"/>
        </w:trPr>
        <w:tc>
          <w:tcPr>
            <w:tcW w:w="389" w:type="pct"/>
            <w:vMerge w:val="continue"/>
            <w:tcBorders>
              <w:top w:val="single" w:color="auto" w:sz="4" w:space="0"/>
              <w:left w:val="single" w:color="auto" w:sz="4" w:space="0"/>
              <w:bottom w:val="single" w:color="auto" w:sz="4" w:space="0"/>
              <w:right w:val="single" w:color="auto" w:sz="4" w:space="0"/>
            </w:tcBorders>
            <w:vAlign w:val="center"/>
          </w:tcPr>
          <w:p w14:paraId="48554157">
            <w:pPr>
              <w:pStyle w:val="129"/>
              <w:rPr>
                <w:rFonts w:hint="eastAsia"/>
                <w:color w:val="000000"/>
                <w:sz w:val="21"/>
              </w:rPr>
            </w:pPr>
          </w:p>
        </w:tc>
        <w:tc>
          <w:tcPr>
            <w:tcW w:w="791" w:type="pct"/>
            <w:vMerge w:val="continue"/>
            <w:tcBorders>
              <w:top w:val="single" w:color="auto" w:sz="4" w:space="0"/>
              <w:left w:val="nil"/>
              <w:bottom w:val="single" w:color="auto" w:sz="4" w:space="0"/>
              <w:right w:val="single" w:color="auto" w:sz="4" w:space="0"/>
            </w:tcBorders>
            <w:vAlign w:val="center"/>
          </w:tcPr>
          <w:p w14:paraId="09B88817">
            <w:pPr>
              <w:pStyle w:val="129"/>
              <w:rPr>
                <w:rFonts w:hint="eastAsia"/>
                <w:color w:val="000000"/>
                <w:sz w:val="21"/>
              </w:rPr>
            </w:pPr>
          </w:p>
        </w:tc>
        <w:tc>
          <w:tcPr>
            <w:tcW w:w="666" w:type="pct"/>
            <w:vMerge w:val="continue"/>
            <w:tcBorders>
              <w:top w:val="single" w:color="auto" w:sz="4" w:space="0"/>
              <w:left w:val="nil"/>
              <w:bottom w:val="single" w:color="auto" w:sz="4" w:space="0"/>
              <w:right w:val="single" w:color="auto" w:sz="4" w:space="0"/>
            </w:tcBorders>
            <w:vAlign w:val="center"/>
          </w:tcPr>
          <w:p w14:paraId="074999E6">
            <w:pPr>
              <w:pStyle w:val="129"/>
              <w:rPr>
                <w:rFonts w:hint="eastAsia"/>
                <w:color w:val="000000"/>
                <w:sz w:val="21"/>
              </w:rPr>
            </w:pPr>
          </w:p>
        </w:tc>
        <w:tc>
          <w:tcPr>
            <w:tcW w:w="458" w:type="pct"/>
            <w:tcBorders>
              <w:top w:val="single" w:color="auto" w:sz="4" w:space="0"/>
              <w:left w:val="nil"/>
              <w:bottom w:val="single" w:color="auto" w:sz="4" w:space="0"/>
              <w:right w:val="single" w:color="auto" w:sz="4" w:space="0"/>
            </w:tcBorders>
            <w:vAlign w:val="center"/>
          </w:tcPr>
          <w:p w14:paraId="2DA1C13B">
            <w:pPr>
              <w:pStyle w:val="129"/>
              <w:rPr>
                <w:rFonts w:hint="eastAsia"/>
                <w:color w:val="000000"/>
                <w:sz w:val="21"/>
              </w:rPr>
            </w:pPr>
            <w:r>
              <w:rPr>
                <w:rFonts w:hint="eastAsia" w:ascii="Songti SC" w:hAnsi="Songti SC" w:eastAsia="Songti SC" w:cs="Songti SC"/>
                <w:color w:val="000000"/>
                <w:sz w:val="21"/>
              </w:rPr>
              <w:t>3</w:t>
            </w:r>
          </w:p>
        </w:tc>
        <w:tc>
          <w:tcPr>
            <w:tcW w:w="712" w:type="pct"/>
            <w:tcBorders>
              <w:top w:val="single" w:color="auto" w:sz="4" w:space="0"/>
              <w:left w:val="nil"/>
              <w:bottom w:val="single" w:color="auto" w:sz="4" w:space="0"/>
              <w:right w:val="single" w:color="auto" w:sz="4" w:space="0"/>
            </w:tcBorders>
            <w:vAlign w:val="center"/>
          </w:tcPr>
          <w:p w14:paraId="317EC283">
            <w:pPr>
              <w:pStyle w:val="129"/>
              <w:rPr>
                <w:rFonts w:hint="eastAsia"/>
                <w:color w:val="000000"/>
                <w:sz w:val="21"/>
              </w:rPr>
            </w:pPr>
            <w:r>
              <w:rPr>
                <w:rFonts w:hint="eastAsia" w:ascii="Songti SC" w:hAnsi="Songti SC" w:eastAsia="Songti SC" w:cs="Songti SC"/>
                <w:color w:val="000000"/>
                <w:sz w:val="21"/>
              </w:rPr>
              <w:t>GYE-F20</w:t>
            </w:r>
          </w:p>
        </w:tc>
        <w:tc>
          <w:tcPr>
            <w:tcW w:w="652" w:type="pct"/>
            <w:tcBorders>
              <w:top w:val="single" w:color="auto" w:sz="4" w:space="0"/>
              <w:left w:val="nil"/>
              <w:bottom w:val="single" w:color="auto" w:sz="4" w:space="0"/>
              <w:right w:val="single" w:color="auto" w:sz="4" w:space="0"/>
            </w:tcBorders>
            <w:vAlign w:val="center"/>
          </w:tcPr>
          <w:p w14:paraId="66F8D967">
            <w:pPr>
              <w:pStyle w:val="129"/>
              <w:rPr>
                <w:rFonts w:hint="eastAsia"/>
                <w:color w:val="000000"/>
                <w:sz w:val="21"/>
              </w:rPr>
            </w:pPr>
            <w:r>
              <w:rPr>
                <w:rFonts w:hint="eastAsia" w:ascii="Songti SC" w:hAnsi="Songti SC" w:eastAsia="Songti SC" w:cs="Songti SC"/>
                <w:color w:val="000000"/>
                <w:sz w:val="21"/>
              </w:rPr>
              <w:t>餐厅</w:t>
            </w:r>
          </w:p>
        </w:tc>
        <w:tc>
          <w:tcPr>
            <w:tcW w:w="902" w:type="pct"/>
            <w:tcBorders>
              <w:top w:val="single" w:color="auto" w:sz="4" w:space="0"/>
              <w:left w:val="nil"/>
              <w:bottom w:val="single" w:color="auto" w:sz="4" w:space="0"/>
              <w:right w:val="single" w:color="auto" w:sz="4" w:space="0"/>
            </w:tcBorders>
            <w:vAlign w:val="center"/>
          </w:tcPr>
          <w:p w14:paraId="73B93EFF">
            <w:pPr>
              <w:pStyle w:val="129"/>
              <w:rPr>
                <w:rFonts w:hint="eastAsia"/>
                <w:color w:val="000000"/>
                <w:sz w:val="21"/>
              </w:rPr>
            </w:pPr>
            <w:r>
              <w:rPr>
                <w:rFonts w:hint="eastAsia" w:ascii="Songti SC" w:hAnsi="Songti SC" w:eastAsia="Songti SC" w:cs="Songti SC"/>
                <w:color w:val="000000"/>
                <w:sz w:val="21"/>
              </w:rPr>
              <w:t>2020年</w:t>
            </w:r>
          </w:p>
        </w:tc>
        <w:tc>
          <w:tcPr>
            <w:tcW w:w="430" w:type="pct"/>
            <w:tcBorders>
              <w:top w:val="single" w:color="auto" w:sz="4" w:space="0"/>
              <w:left w:val="nil"/>
              <w:bottom w:val="single" w:color="auto" w:sz="4" w:space="0"/>
              <w:right w:val="single" w:color="auto" w:sz="4" w:space="0"/>
            </w:tcBorders>
            <w:vAlign w:val="center"/>
          </w:tcPr>
          <w:p w14:paraId="24B2C323">
            <w:pPr>
              <w:pStyle w:val="129"/>
              <w:rPr>
                <w:rFonts w:hint="eastAsia"/>
                <w:color w:val="000000"/>
                <w:sz w:val="21"/>
              </w:rPr>
            </w:pPr>
          </w:p>
        </w:tc>
      </w:tr>
      <w:tr w14:paraId="0B7BB4AD">
        <w:trPr>
          <w:trHeight w:val="454" w:hRule="atLeast"/>
          <w:jc w:val="center"/>
        </w:trPr>
        <w:tc>
          <w:tcPr>
            <w:tcW w:w="389" w:type="pct"/>
            <w:vMerge w:val="restart"/>
            <w:tcBorders>
              <w:top w:val="single" w:color="auto" w:sz="4" w:space="0"/>
              <w:left w:val="single" w:color="auto" w:sz="4" w:space="0"/>
              <w:bottom w:val="single" w:color="auto" w:sz="4" w:space="0"/>
              <w:right w:val="single" w:color="auto" w:sz="4" w:space="0"/>
            </w:tcBorders>
            <w:vAlign w:val="center"/>
          </w:tcPr>
          <w:p w14:paraId="621C2B5E">
            <w:pPr>
              <w:pStyle w:val="129"/>
              <w:rPr>
                <w:rFonts w:hint="eastAsia"/>
                <w:color w:val="000000"/>
                <w:sz w:val="21"/>
              </w:rPr>
            </w:pPr>
            <w:r>
              <w:rPr>
                <w:rFonts w:hint="eastAsia" w:ascii="Songti SC" w:hAnsi="Songti SC" w:eastAsia="Songti SC" w:cs="Songti SC"/>
                <w:color w:val="000000"/>
                <w:sz w:val="21"/>
              </w:rPr>
              <w:t>7</w:t>
            </w:r>
          </w:p>
        </w:tc>
        <w:tc>
          <w:tcPr>
            <w:tcW w:w="791" w:type="pct"/>
            <w:vMerge w:val="restart"/>
            <w:tcBorders>
              <w:top w:val="single" w:color="auto" w:sz="4" w:space="0"/>
              <w:left w:val="nil"/>
              <w:bottom w:val="single" w:color="auto" w:sz="4" w:space="0"/>
              <w:right w:val="single" w:color="auto" w:sz="4" w:space="0"/>
            </w:tcBorders>
            <w:vAlign w:val="center"/>
          </w:tcPr>
          <w:p w14:paraId="6DB89EDF">
            <w:pPr>
              <w:pStyle w:val="129"/>
              <w:rPr>
                <w:rFonts w:hint="eastAsia"/>
                <w:color w:val="000000"/>
                <w:sz w:val="21"/>
              </w:rPr>
            </w:pPr>
            <w:r>
              <w:rPr>
                <w:rFonts w:hint="eastAsia" w:ascii="Songti SC" w:hAnsi="Songti SC" w:eastAsia="Songti SC" w:cs="Songti SC"/>
                <w:color w:val="000000"/>
                <w:sz w:val="21"/>
              </w:rPr>
              <w:t>市场局</w:t>
            </w:r>
          </w:p>
        </w:tc>
        <w:tc>
          <w:tcPr>
            <w:tcW w:w="666" w:type="pct"/>
            <w:vMerge w:val="restart"/>
            <w:tcBorders>
              <w:top w:val="single" w:color="auto" w:sz="4" w:space="0"/>
              <w:left w:val="nil"/>
              <w:bottom w:val="single" w:color="auto" w:sz="4" w:space="0"/>
              <w:right w:val="single" w:color="auto" w:sz="4" w:space="0"/>
            </w:tcBorders>
            <w:vAlign w:val="center"/>
          </w:tcPr>
          <w:p w14:paraId="5EB3B62A">
            <w:pPr>
              <w:pStyle w:val="129"/>
              <w:rPr>
                <w:rFonts w:hint="eastAsia"/>
                <w:color w:val="000000"/>
                <w:sz w:val="21"/>
              </w:rPr>
            </w:pPr>
            <w:r>
              <w:rPr>
                <w:rFonts w:hint="eastAsia" w:ascii="Songti SC" w:hAnsi="Songti SC" w:eastAsia="Songti SC" w:cs="Songti SC"/>
                <w:color w:val="000000"/>
                <w:sz w:val="21"/>
              </w:rPr>
              <w:t>消费机</w:t>
            </w:r>
          </w:p>
        </w:tc>
        <w:tc>
          <w:tcPr>
            <w:tcW w:w="458" w:type="pct"/>
            <w:tcBorders>
              <w:top w:val="single" w:color="auto" w:sz="4" w:space="0"/>
              <w:left w:val="nil"/>
              <w:bottom w:val="single" w:color="auto" w:sz="4" w:space="0"/>
              <w:right w:val="single" w:color="auto" w:sz="4" w:space="0"/>
            </w:tcBorders>
            <w:vAlign w:val="center"/>
          </w:tcPr>
          <w:p w14:paraId="2F604B7D">
            <w:pPr>
              <w:pStyle w:val="129"/>
              <w:rPr>
                <w:rFonts w:hint="eastAsia"/>
                <w:color w:val="000000"/>
                <w:sz w:val="21"/>
              </w:rPr>
            </w:pPr>
            <w:r>
              <w:rPr>
                <w:rFonts w:hint="eastAsia" w:ascii="Songti SC" w:hAnsi="Songti SC" w:eastAsia="Songti SC" w:cs="Songti SC"/>
                <w:color w:val="000000"/>
                <w:sz w:val="21"/>
              </w:rPr>
              <w:t>2</w:t>
            </w:r>
          </w:p>
        </w:tc>
        <w:tc>
          <w:tcPr>
            <w:tcW w:w="712" w:type="pct"/>
            <w:tcBorders>
              <w:top w:val="single" w:color="auto" w:sz="4" w:space="0"/>
              <w:left w:val="nil"/>
              <w:bottom w:val="single" w:color="auto" w:sz="4" w:space="0"/>
              <w:right w:val="single" w:color="auto" w:sz="4" w:space="0"/>
            </w:tcBorders>
            <w:vAlign w:val="center"/>
          </w:tcPr>
          <w:p w14:paraId="1C3CD946">
            <w:pPr>
              <w:pStyle w:val="129"/>
              <w:rPr>
                <w:rFonts w:hint="eastAsia"/>
                <w:color w:val="000000"/>
                <w:sz w:val="21"/>
              </w:rPr>
            </w:pPr>
            <w:r>
              <w:rPr>
                <w:rFonts w:hint="eastAsia" w:ascii="Songti SC" w:hAnsi="Songti SC" w:eastAsia="Songti SC" w:cs="Songti SC"/>
                <w:color w:val="000000"/>
                <w:sz w:val="21"/>
              </w:rPr>
              <w:t>GYE-F20</w:t>
            </w:r>
          </w:p>
        </w:tc>
        <w:tc>
          <w:tcPr>
            <w:tcW w:w="652" w:type="pct"/>
            <w:tcBorders>
              <w:top w:val="single" w:color="auto" w:sz="4" w:space="0"/>
              <w:left w:val="nil"/>
              <w:bottom w:val="single" w:color="auto" w:sz="4" w:space="0"/>
              <w:right w:val="single" w:color="auto" w:sz="4" w:space="0"/>
            </w:tcBorders>
            <w:vAlign w:val="center"/>
          </w:tcPr>
          <w:p w14:paraId="65680441">
            <w:pPr>
              <w:pStyle w:val="129"/>
              <w:rPr>
                <w:rFonts w:hint="eastAsia"/>
                <w:color w:val="000000"/>
                <w:sz w:val="21"/>
              </w:rPr>
            </w:pPr>
            <w:r>
              <w:rPr>
                <w:rFonts w:hint="eastAsia" w:ascii="Songti SC" w:hAnsi="Songti SC" w:eastAsia="Songti SC" w:cs="Songti SC"/>
                <w:color w:val="000000"/>
                <w:sz w:val="21"/>
              </w:rPr>
              <w:t>餐厅</w:t>
            </w:r>
          </w:p>
        </w:tc>
        <w:tc>
          <w:tcPr>
            <w:tcW w:w="902" w:type="pct"/>
            <w:tcBorders>
              <w:top w:val="single" w:color="auto" w:sz="4" w:space="0"/>
              <w:left w:val="nil"/>
              <w:bottom w:val="single" w:color="auto" w:sz="4" w:space="0"/>
              <w:right w:val="single" w:color="auto" w:sz="4" w:space="0"/>
            </w:tcBorders>
            <w:vAlign w:val="center"/>
          </w:tcPr>
          <w:p w14:paraId="627829CC">
            <w:pPr>
              <w:pStyle w:val="129"/>
              <w:rPr>
                <w:rFonts w:hint="eastAsia"/>
                <w:color w:val="000000"/>
                <w:sz w:val="21"/>
              </w:rPr>
            </w:pPr>
            <w:r>
              <w:rPr>
                <w:rFonts w:hint="eastAsia" w:ascii="Songti SC" w:hAnsi="Songti SC" w:eastAsia="Songti SC" w:cs="Songti SC"/>
                <w:color w:val="000000"/>
                <w:sz w:val="21"/>
              </w:rPr>
              <w:t>2021年</w:t>
            </w:r>
          </w:p>
        </w:tc>
        <w:tc>
          <w:tcPr>
            <w:tcW w:w="430" w:type="pct"/>
            <w:tcBorders>
              <w:top w:val="single" w:color="auto" w:sz="4" w:space="0"/>
              <w:left w:val="nil"/>
              <w:bottom w:val="single" w:color="auto" w:sz="4" w:space="0"/>
              <w:right w:val="single" w:color="auto" w:sz="4" w:space="0"/>
            </w:tcBorders>
            <w:vAlign w:val="center"/>
          </w:tcPr>
          <w:p w14:paraId="36E85E70">
            <w:pPr>
              <w:pStyle w:val="129"/>
              <w:rPr>
                <w:rFonts w:hint="eastAsia"/>
                <w:color w:val="000000"/>
                <w:sz w:val="21"/>
              </w:rPr>
            </w:pPr>
          </w:p>
        </w:tc>
      </w:tr>
      <w:tr w14:paraId="4CB3BB8D">
        <w:trPr>
          <w:trHeight w:val="454" w:hRule="atLeast"/>
          <w:jc w:val="center"/>
        </w:trPr>
        <w:tc>
          <w:tcPr>
            <w:tcW w:w="389" w:type="pct"/>
            <w:vMerge w:val="continue"/>
            <w:tcBorders>
              <w:top w:val="single" w:color="auto" w:sz="4" w:space="0"/>
              <w:left w:val="single" w:color="auto" w:sz="4" w:space="0"/>
              <w:bottom w:val="single" w:color="auto" w:sz="4" w:space="0"/>
              <w:right w:val="single" w:color="auto" w:sz="4" w:space="0"/>
            </w:tcBorders>
            <w:vAlign w:val="center"/>
          </w:tcPr>
          <w:p w14:paraId="23CEF6FD">
            <w:pPr>
              <w:pStyle w:val="129"/>
              <w:rPr>
                <w:rFonts w:hint="eastAsia"/>
                <w:color w:val="000000"/>
                <w:sz w:val="21"/>
              </w:rPr>
            </w:pPr>
          </w:p>
        </w:tc>
        <w:tc>
          <w:tcPr>
            <w:tcW w:w="791" w:type="pct"/>
            <w:vMerge w:val="continue"/>
            <w:tcBorders>
              <w:top w:val="single" w:color="auto" w:sz="4" w:space="0"/>
              <w:left w:val="nil"/>
              <w:bottom w:val="single" w:color="auto" w:sz="4" w:space="0"/>
              <w:right w:val="single" w:color="auto" w:sz="4" w:space="0"/>
            </w:tcBorders>
            <w:vAlign w:val="center"/>
          </w:tcPr>
          <w:p w14:paraId="55E60CD8">
            <w:pPr>
              <w:pStyle w:val="129"/>
              <w:rPr>
                <w:rFonts w:hint="eastAsia"/>
                <w:color w:val="000000"/>
                <w:sz w:val="21"/>
              </w:rPr>
            </w:pPr>
          </w:p>
        </w:tc>
        <w:tc>
          <w:tcPr>
            <w:tcW w:w="666" w:type="pct"/>
            <w:vMerge w:val="continue"/>
            <w:tcBorders>
              <w:top w:val="single" w:color="auto" w:sz="4" w:space="0"/>
              <w:left w:val="nil"/>
              <w:bottom w:val="single" w:color="auto" w:sz="4" w:space="0"/>
              <w:right w:val="single" w:color="auto" w:sz="4" w:space="0"/>
            </w:tcBorders>
            <w:vAlign w:val="center"/>
          </w:tcPr>
          <w:p w14:paraId="75879880">
            <w:pPr>
              <w:pStyle w:val="129"/>
              <w:rPr>
                <w:rFonts w:hint="eastAsia"/>
                <w:color w:val="000000"/>
                <w:sz w:val="21"/>
              </w:rPr>
            </w:pPr>
          </w:p>
        </w:tc>
        <w:tc>
          <w:tcPr>
            <w:tcW w:w="458" w:type="pct"/>
            <w:tcBorders>
              <w:top w:val="single" w:color="auto" w:sz="4" w:space="0"/>
              <w:left w:val="nil"/>
              <w:bottom w:val="single" w:color="auto" w:sz="4" w:space="0"/>
              <w:right w:val="single" w:color="auto" w:sz="4" w:space="0"/>
            </w:tcBorders>
            <w:vAlign w:val="center"/>
          </w:tcPr>
          <w:p w14:paraId="6DF26520">
            <w:pPr>
              <w:pStyle w:val="129"/>
              <w:rPr>
                <w:rFonts w:hint="eastAsia"/>
                <w:color w:val="000000"/>
                <w:sz w:val="21"/>
              </w:rPr>
            </w:pPr>
            <w:r>
              <w:rPr>
                <w:rFonts w:hint="eastAsia" w:ascii="Songti SC" w:hAnsi="Songti SC" w:eastAsia="Songti SC" w:cs="Songti SC"/>
                <w:color w:val="000000"/>
                <w:sz w:val="21"/>
              </w:rPr>
              <w:t>1</w:t>
            </w:r>
          </w:p>
        </w:tc>
        <w:tc>
          <w:tcPr>
            <w:tcW w:w="712" w:type="pct"/>
            <w:tcBorders>
              <w:top w:val="single" w:color="auto" w:sz="4" w:space="0"/>
              <w:left w:val="nil"/>
              <w:bottom w:val="single" w:color="auto" w:sz="4" w:space="0"/>
              <w:right w:val="single" w:color="auto" w:sz="4" w:space="0"/>
            </w:tcBorders>
            <w:vAlign w:val="center"/>
          </w:tcPr>
          <w:p w14:paraId="071E7BEF">
            <w:pPr>
              <w:pStyle w:val="129"/>
              <w:rPr>
                <w:rFonts w:hint="eastAsia"/>
                <w:color w:val="000000"/>
                <w:sz w:val="21"/>
              </w:rPr>
            </w:pPr>
            <w:r>
              <w:rPr>
                <w:rFonts w:hint="eastAsia" w:ascii="Songti SC" w:hAnsi="Songti SC" w:eastAsia="Songti SC" w:cs="Songti SC"/>
                <w:color w:val="000000"/>
                <w:sz w:val="21"/>
              </w:rPr>
              <w:t>GYE-E10-T1007FCQ</w:t>
            </w:r>
          </w:p>
        </w:tc>
        <w:tc>
          <w:tcPr>
            <w:tcW w:w="652" w:type="pct"/>
            <w:tcBorders>
              <w:top w:val="single" w:color="auto" w:sz="4" w:space="0"/>
              <w:left w:val="nil"/>
              <w:bottom w:val="single" w:color="auto" w:sz="4" w:space="0"/>
              <w:right w:val="single" w:color="auto" w:sz="4" w:space="0"/>
            </w:tcBorders>
            <w:vAlign w:val="center"/>
          </w:tcPr>
          <w:p w14:paraId="37852451">
            <w:pPr>
              <w:pStyle w:val="129"/>
              <w:rPr>
                <w:rFonts w:hint="eastAsia"/>
                <w:color w:val="000000"/>
                <w:sz w:val="21"/>
              </w:rPr>
            </w:pPr>
            <w:r>
              <w:rPr>
                <w:rFonts w:hint="eastAsia" w:ascii="Songti SC" w:hAnsi="Songti SC" w:eastAsia="Songti SC" w:cs="Songti SC"/>
                <w:color w:val="000000"/>
                <w:sz w:val="21"/>
              </w:rPr>
              <w:t>餐厅</w:t>
            </w:r>
          </w:p>
        </w:tc>
        <w:tc>
          <w:tcPr>
            <w:tcW w:w="902" w:type="pct"/>
            <w:tcBorders>
              <w:top w:val="single" w:color="auto" w:sz="4" w:space="0"/>
              <w:left w:val="nil"/>
              <w:bottom w:val="single" w:color="auto" w:sz="4" w:space="0"/>
              <w:right w:val="single" w:color="auto" w:sz="4" w:space="0"/>
            </w:tcBorders>
            <w:vAlign w:val="center"/>
          </w:tcPr>
          <w:p w14:paraId="09CEFC83">
            <w:pPr>
              <w:pStyle w:val="129"/>
              <w:rPr>
                <w:rFonts w:hint="eastAsia"/>
                <w:color w:val="000000"/>
                <w:sz w:val="21"/>
              </w:rPr>
            </w:pPr>
            <w:r>
              <w:rPr>
                <w:rFonts w:hint="eastAsia" w:ascii="Songti SC" w:hAnsi="Songti SC" w:eastAsia="Songti SC" w:cs="Songti SC"/>
                <w:color w:val="000000"/>
                <w:sz w:val="21"/>
              </w:rPr>
              <w:t>2025年</w:t>
            </w:r>
          </w:p>
        </w:tc>
        <w:tc>
          <w:tcPr>
            <w:tcW w:w="430" w:type="pct"/>
            <w:tcBorders>
              <w:top w:val="single" w:color="auto" w:sz="4" w:space="0"/>
              <w:left w:val="nil"/>
              <w:bottom w:val="single" w:color="auto" w:sz="4" w:space="0"/>
              <w:right w:val="single" w:color="auto" w:sz="4" w:space="0"/>
            </w:tcBorders>
            <w:vAlign w:val="center"/>
          </w:tcPr>
          <w:p w14:paraId="64B9F332">
            <w:pPr>
              <w:pStyle w:val="129"/>
              <w:rPr>
                <w:rFonts w:hint="eastAsia"/>
                <w:color w:val="000000"/>
                <w:sz w:val="21"/>
              </w:rPr>
            </w:pPr>
          </w:p>
        </w:tc>
      </w:tr>
      <w:tr w14:paraId="3D8C2447">
        <w:trPr>
          <w:trHeight w:val="454" w:hRule="atLeast"/>
          <w:jc w:val="center"/>
        </w:trPr>
        <w:tc>
          <w:tcPr>
            <w:tcW w:w="389" w:type="pct"/>
            <w:tcBorders>
              <w:top w:val="single" w:color="auto" w:sz="4" w:space="0"/>
              <w:left w:val="single" w:color="auto" w:sz="4" w:space="0"/>
              <w:bottom w:val="single" w:color="auto" w:sz="4" w:space="0"/>
              <w:right w:val="single" w:color="auto" w:sz="4" w:space="0"/>
            </w:tcBorders>
            <w:vAlign w:val="center"/>
          </w:tcPr>
          <w:p w14:paraId="262EE9C4">
            <w:pPr>
              <w:pStyle w:val="129"/>
              <w:rPr>
                <w:rFonts w:hint="eastAsia"/>
                <w:color w:val="000000"/>
                <w:sz w:val="21"/>
              </w:rPr>
            </w:pPr>
            <w:r>
              <w:rPr>
                <w:rFonts w:hint="eastAsia" w:ascii="Songti SC" w:hAnsi="Songti SC" w:eastAsia="Songti SC" w:cs="Songti SC"/>
                <w:color w:val="000000"/>
                <w:sz w:val="21"/>
              </w:rPr>
              <w:t>8</w:t>
            </w:r>
          </w:p>
        </w:tc>
        <w:tc>
          <w:tcPr>
            <w:tcW w:w="791" w:type="pct"/>
            <w:tcBorders>
              <w:top w:val="single" w:color="auto" w:sz="4" w:space="0"/>
              <w:left w:val="nil"/>
              <w:bottom w:val="single" w:color="auto" w:sz="4" w:space="0"/>
              <w:right w:val="single" w:color="auto" w:sz="4" w:space="0"/>
            </w:tcBorders>
            <w:vAlign w:val="center"/>
          </w:tcPr>
          <w:p w14:paraId="70CABA00">
            <w:pPr>
              <w:pStyle w:val="129"/>
              <w:rPr>
                <w:rFonts w:hint="eastAsia"/>
                <w:color w:val="000000"/>
                <w:sz w:val="21"/>
              </w:rPr>
            </w:pPr>
            <w:r>
              <w:rPr>
                <w:rFonts w:hint="eastAsia" w:ascii="Songti SC" w:hAnsi="Songti SC" w:eastAsia="Songti SC" w:cs="Songti SC"/>
                <w:color w:val="000000"/>
                <w:sz w:val="21"/>
              </w:rPr>
              <w:t>住建委</w:t>
            </w:r>
          </w:p>
        </w:tc>
        <w:tc>
          <w:tcPr>
            <w:tcW w:w="666" w:type="pct"/>
            <w:tcBorders>
              <w:top w:val="single" w:color="auto" w:sz="4" w:space="0"/>
              <w:left w:val="nil"/>
              <w:bottom w:val="single" w:color="auto" w:sz="4" w:space="0"/>
              <w:right w:val="single" w:color="auto" w:sz="4" w:space="0"/>
            </w:tcBorders>
            <w:vAlign w:val="center"/>
          </w:tcPr>
          <w:p w14:paraId="2C4E7BE0">
            <w:pPr>
              <w:pStyle w:val="129"/>
              <w:rPr>
                <w:rFonts w:hint="eastAsia"/>
                <w:color w:val="000000"/>
                <w:sz w:val="21"/>
              </w:rPr>
            </w:pPr>
            <w:r>
              <w:rPr>
                <w:rFonts w:hint="eastAsia" w:ascii="Songti SC" w:hAnsi="Songti SC" w:eastAsia="Songti SC" w:cs="Songti SC"/>
                <w:color w:val="000000"/>
                <w:sz w:val="21"/>
              </w:rPr>
              <w:t>消费机</w:t>
            </w:r>
          </w:p>
        </w:tc>
        <w:tc>
          <w:tcPr>
            <w:tcW w:w="458" w:type="pct"/>
            <w:tcBorders>
              <w:top w:val="single" w:color="auto" w:sz="4" w:space="0"/>
              <w:left w:val="nil"/>
              <w:bottom w:val="single" w:color="auto" w:sz="4" w:space="0"/>
              <w:right w:val="single" w:color="auto" w:sz="4" w:space="0"/>
            </w:tcBorders>
            <w:vAlign w:val="center"/>
          </w:tcPr>
          <w:p w14:paraId="59F30D2D">
            <w:pPr>
              <w:pStyle w:val="129"/>
              <w:rPr>
                <w:rFonts w:hint="eastAsia"/>
                <w:color w:val="000000"/>
                <w:sz w:val="21"/>
              </w:rPr>
            </w:pPr>
            <w:r>
              <w:rPr>
                <w:rFonts w:hint="eastAsia" w:ascii="Songti SC" w:hAnsi="Songti SC" w:eastAsia="Songti SC" w:cs="Songti SC"/>
                <w:color w:val="000000"/>
                <w:sz w:val="21"/>
              </w:rPr>
              <w:t>3</w:t>
            </w:r>
          </w:p>
        </w:tc>
        <w:tc>
          <w:tcPr>
            <w:tcW w:w="712" w:type="pct"/>
            <w:tcBorders>
              <w:top w:val="single" w:color="auto" w:sz="4" w:space="0"/>
              <w:left w:val="nil"/>
              <w:bottom w:val="single" w:color="auto" w:sz="4" w:space="0"/>
              <w:right w:val="single" w:color="auto" w:sz="4" w:space="0"/>
            </w:tcBorders>
            <w:vAlign w:val="center"/>
          </w:tcPr>
          <w:p w14:paraId="5C4D5827">
            <w:pPr>
              <w:pStyle w:val="129"/>
              <w:rPr>
                <w:rFonts w:hint="eastAsia"/>
                <w:color w:val="000000"/>
                <w:sz w:val="21"/>
              </w:rPr>
            </w:pPr>
            <w:r>
              <w:rPr>
                <w:rFonts w:hint="eastAsia" w:ascii="Songti SC" w:hAnsi="Songti SC" w:eastAsia="Songti SC" w:cs="Songti SC"/>
                <w:color w:val="000000"/>
                <w:sz w:val="21"/>
              </w:rPr>
              <w:t>GYE-F20</w:t>
            </w:r>
          </w:p>
        </w:tc>
        <w:tc>
          <w:tcPr>
            <w:tcW w:w="652" w:type="pct"/>
            <w:tcBorders>
              <w:top w:val="single" w:color="auto" w:sz="4" w:space="0"/>
              <w:left w:val="nil"/>
              <w:bottom w:val="single" w:color="auto" w:sz="4" w:space="0"/>
              <w:right w:val="single" w:color="auto" w:sz="4" w:space="0"/>
            </w:tcBorders>
            <w:vAlign w:val="center"/>
          </w:tcPr>
          <w:p w14:paraId="1E3BC416">
            <w:pPr>
              <w:pStyle w:val="129"/>
              <w:rPr>
                <w:rFonts w:hint="eastAsia"/>
                <w:color w:val="000000"/>
                <w:sz w:val="21"/>
              </w:rPr>
            </w:pPr>
            <w:r>
              <w:rPr>
                <w:rFonts w:hint="eastAsia" w:ascii="Songti SC" w:hAnsi="Songti SC" w:eastAsia="Songti SC" w:cs="Songti SC"/>
                <w:color w:val="000000"/>
                <w:sz w:val="21"/>
              </w:rPr>
              <w:t>餐厅</w:t>
            </w:r>
          </w:p>
        </w:tc>
        <w:tc>
          <w:tcPr>
            <w:tcW w:w="902" w:type="pct"/>
            <w:tcBorders>
              <w:top w:val="single" w:color="auto" w:sz="4" w:space="0"/>
              <w:left w:val="nil"/>
              <w:bottom w:val="single" w:color="auto" w:sz="4" w:space="0"/>
              <w:right w:val="single" w:color="auto" w:sz="4" w:space="0"/>
            </w:tcBorders>
            <w:vAlign w:val="center"/>
          </w:tcPr>
          <w:p w14:paraId="75DE3364">
            <w:pPr>
              <w:pStyle w:val="129"/>
              <w:rPr>
                <w:rFonts w:hint="eastAsia"/>
                <w:color w:val="000000"/>
                <w:sz w:val="21"/>
              </w:rPr>
            </w:pPr>
            <w:r>
              <w:rPr>
                <w:rFonts w:hint="eastAsia" w:ascii="Songti SC" w:hAnsi="Songti SC" w:eastAsia="Songti SC" w:cs="Songti SC"/>
                <w:color w:val="000000"/>
                <w:sz w:val="21"/>
              </w:rPr>
              <w:t>2021年</w:t>
            </w:r>
          </w:p>
        </w:tc>
        <w:tc>
          <w:tcPr>
            <w:tcW w:w="430" w:type="pct"/>
            <w:tcBorders>
              <w:top w:val="single" w:color="auto" w:sz="4" w:space="0"/>
              <w:left w:val="nil"/>
              <w:bottom w:val="single" w:color="auto" w:sz="4" w:space="0"/>
              <w:right w:val="single" w:color="auto" w:sz="4" w:space="0"/>
            </w:tcBorders>
            <w:vAlign w:val="center"/>
          </w:tcPr>
          <w:p w14:paraId="68667465">
            <w:pPr>
              <w:pStyle w:val="129"/>
              <w:rPr>
                <w:rFonts w:hint="eastAsia"/>
                <w:color w:val="000000"/>
                <w:sz w:val="21"/>
              </w:rPr>
            </w:pPr>
          </w:p>
        </w:tc>
      </w:tr>
      <w:tr w14:paraId="03A0E6DB">
        <w:trPr>
          <w:trHeight w:val="454" w:hRule="atLeast"/>
          <w:jc w:val="center"/>
        </w:trPr>
        <w:tc>
          <w:tcPr>
            <w:tcW w:w="389" w:type="pct"/>
            <w:tcBorders>
              <w:top w:val="single" w:color="auto" w:sz="4" w:space="0"/>
              <w:left w:val="single" w:color="auto" w:sz="4" w:space="0"/>
              <w:bottom w:val="single" w:color="auto" w:sz="4" w:space="0"/>
              <w:right w:val="single" w:color="auto" w:sz="4" w:space="0"/>
            </w:tcBorders>
            <w:vAlign w:val="center"/>
          </w:tcPr>
          <w:p w14:paraId="44588C9D">
            <w:pPr>
              <w:pStyle w:val="129"/>
              <w:rPr>
                <w:rFonts w:hint="eastAsia"/>
                <w:color w:val="000000"/>
                <w:sz w:val="21"/>
              </w:rPr>
            </w:pPr>
            <w:r>
              <w:rPr>
                <w:rFonts w:hint="eastAsia" w:ascii="Songti SC" w:hAnsi="Songti SC" w:eastAsia="Songti SC" w:cs="Songti SC"/>
                <w:color w:val="000000"/>
                <w:sz w:val="21"/>
              </w:rPr>
              <w:t>9</w:t>
            </w:r>
          </w:p>
        </w:tc>
        <w:tc>
          <w:tcPr>
            <w:tcW w:w="791" w:type="pct"/>
            <w:tcBorders>
              <w:top w:val="single" w:color="auto" w:sz="4" w:space="0"/>
              <w:left w:val="nil"/>
              <w:bottom w:val="single" w:color="auto" w:sz="4" w:space="0"/>
              <w:right w:val="single" w:color="auto" w:sz="4" w:space="0"/>
            </w:tcBorders>
            <w:vAlign w:val="center"/>
          </w:tcPr>
          <w:p w14:paraId="14172E31">
            <w:pPr>
              <w:pStyle w:val="129"/>
              <w:rPr>
                <w:rFonts w:hint="eastAsia"/>
                <w:color w:val="000000"/>
                <w:sz w:val="21"/>
              </w:rPr>
            </w:pPr>
            <w:r>
              <w:rPr>
                <w:rFonts w:hint="eastAsia" w:ascii="Songti SC" w:hAnsi="Songti SC" w:eastAsia="Songti SC" w:cs="Songti SC"/>
                <w:color w:val="000000"/>
                <w:sz w:val="21"/>
              </w:rPr>
              <w:t>统计局</w:t>
            </w:r>
          </w:p>
        </w:tc>
        <w:tc>
          <w:tcPr>
            <w:tcW w:w="666" w:type="pct"/>
            <w:tcBorders>
              <w:top w:val="single" w:color="auto" w:sz="4" w:space="0"/>
              <w:left w:val="nil"/>
              <w:bottom w:val="single" w:color="auto" w:sz="4" w:space="0"/>
              <w:right w:val="single" w:color="auto" w:sz="4" w:space="0"/>
            </w:tcBorders>
            <w:vAlign w:val="center"/>
          </w:tcPr>
          <w:p w14:paraId="5853C865">
            <w:pPr>
              <w:pStyle w:val="129"/>
              <w:rPr>
                <w:rFonts w:hint="eastAsia"/>
                <w:color w:val="000000"/>
                <w:sz w:val="21"/>
              </w:rPr>
            </w:pPr>
            <w:r>
              <w:rPr>
                <w:rFonts w:hint="eastAsia" w:ascii="Songti SC" w:hAnsi="Songti SC" w:eastAsia="Songti SC" w:cs="Songti SC"/>
                <w:color w:val="000000"/>
                <w:sz w:val="21"/>
              </w:rPr>
              <w:t>消费机</w:t>
            </w:r>
          </w:p>
        </w:tc>
        <w:tc>
          <w:tcPr>
            <w:tcW w:w="458" w:type="pct"/>
            <w:tcBorders>
              <w:top w:val="single" w:color="auto" w:sz="4" w:space="0"/>
              <w:left w:val="nil"/>
              <w:bottom w:val="single" w:color="auto" w:sz="4" w:space="0"/>
              <w:right w:val="single" w:color="auto" w:sz="4" w:space="0"/>
            </w:tcBorders>
            <w:vAlign w:val="center"/>
          </w:tcPr>
          <w:p w14:paraId="213BA62E">
            <w:pPr>
              <w:pStyle w:val="129"/>
              <w:rPr>
                <w:rFonts w:hint="eastAsia"/>
                <w:color w:val="000000"/>
                <w:sz w:val="21"/>
              </w:rPr>
            </w:pPr>
            <w:r>
              <w:rPr>
                <w:rFonts w:hint="eastAsia" w:ascii="Songti SC" w:hAnsi="Songti SC" w:eastAsia="Songti SC" w:cs="Songti SC"/>
                <w:color w:val="000000"/>
                <w:sz w:val="21"/>
              </w:rPr>
              <w:t>2</w:t>
            </w:r>
          </w:p>
        </w:tc>
        <w:tc>
          <w:tcPr>
            <w:tcW w:w="712" w:type="pct"/>
            <w:tcBorders>
              <w:top w:val="single" w:color="auto" w:sz="4" w:space="0"/>
              <w:left w:val="nil"/>
              <w:bottom w:val="single" w:color="auto" w:sz="4" w:space="0"/>
              <w:right w:val="single" w:color="auto" w:sz="4" w:space="0"/>
            </w:tcBorders>
            <w:vAlign w:val="center"/>
          </w:tcPr>
          <w:p w14:paraId="0863043D">
            <w:pPr>
              <w:pStyle w:val="129"/>
              <w:rPr>
                <w:rFonts w:hint="eastAsia"/>
                <w:color w:val="000000"/>
                <w:sz w:val="21"/>
              </w:rPr>
            </w:pPr>
            <w:r>
              <w:rPr>
                <w:rFonts w:hint="eastAsia" w:ascii="Songti SC" w:hAnsi="Songti SC" w:eastAsia="Songti SC" w:cs="Songti SC"/>
                <w:color w:val="000000"/>
                <w:sz w:val="21"/>
              </w:rPr>
              <w:t>GYE-F20</w:t>
            </w:r>
          </w:p>
        </w:tc>
        <w:tc>
          <w:tcPr>
            <w:tcW w:w="652" w:type="pct"/>
            <w:tcBorders>
              <w:top w:val="single" w:color="auto" w:sz="4" w:space="0"/>
              <w:left w:val="nil"/>
              <w:bottom w:val="single" w:color="auto" w:sz="4" w:space="0"/>
              <w:right w:val="single" w:color="auto" w:sz="4" w:space="0"/>
            </w:tcBorders>
            <w:vAlign w:val="center"/>
          </w:tcPr>
          <w:p w14:paraId="59A63D40">
            <w:pPr>
              <w:pStyle w:val="129"/>
              <w:rPr>
                <w:rFonts w:hint="eastAsia"/>
                <w:color w:val="000000"/>
                <w:sz w:val="21"/>
              </w:rPr>
            </w:pPr>
            <w:r>
              <w:rPr>
                <w:rFonts w:hint="eastAsia" w:ascii="Songti SC" w:hAnsi="Songti SC" w:eastAsia="Songti SC" w:cs="Songti SC"/>
                <w:color w:val="000000"/>
                <w:sz w:val="21"/>
              </w:rPr>
              <w:t>餐厅</w:t>
            </w:r>
          </w:p>
        </w:tc>
        <w:tc>
          <w:tcPr>
            <w:tcW w:w="902" w:type="pct"/>
            <w:tcBorders>
              <w:top w:val="single" w:color="auto" w:sz="4" w:space="0"/>
              <w:left w:val="nil"/>
              <w:bottom w:val="single" w:color="auto" w:sz="4" w:space="0"/>
              <w:right w:val="single" w:color="auto" w:sz="4" w:space="0"/>
            </w:tcBorders>
            <w:vAlign w:val="center"/>
          </w:tcPr>
          <w:p w14:paraId="598896B7">
            <w:pPr>
              <w:pStyle w:val="129"/>
              <w:rPr>
                <w:rFonts w:hint="eastAsia"/>
                <w:color w:val="000000"/>
                <w:sz w:val="21"/>
              </w:rPr>
            </w:pPr>
            <w:r>
              <w:rPr>
                <w:rFonts w:hint="eastAsia" w:ascii="Songti SC" w:hAnsi="Songti SC" w:eastAsia="Songti SC" w:cs="Songti SC"/>
                <w:color w:val="000000"/>
                <w:sz w:val="21"/>
              </w:rPr>
              <w:t>2022年</w:t>
            </w:r>
          </w:p>
        </w:tc>
        <w:tc>
          <w:tcPr>
            <w:tcW w:w="430" w:type="pct"/>
            <w:tcBorders>
              <w:top w:val="single" w:color="auto" w:sz="4" w:space="0"/>
              <w:left w:val="nil"/>
              <w:bottom w:val="single" w:color="auto" w:sz="4" w:space="0"/>
              <w:right w:val="single" w:color="auto" w:sz="4" w:space="0"/>
            </w:tcBorders>
            <w:vAlign w:val="center"/>
          </w:tcPr>
          <w:p w14:paraId="680ADBD8">
            <w:pPr>
              <w:pStyle w:val="129"/>
              <w:rPr>
                <w:rFonts w:hint="eastAsia"/>
                <w:color w:val="000000"/>
                <w:sz w:val="21"/>
              </w:rPr>
            </w:pPr>
          </w:p>
        </w:tc>
      </w:tr>
      <w:tr w14:paraId="4D7ED50C">
        <w:trPr>
          <w:trHeight w:val="454" w:hRule="atLeast"/>
          <w:jc w:val="center"/>
        </w:trPr>
        <w:tc>
          <w:tcPr>
            <w:tcW w:w="389" w:type="pct"/>
            <w:tcBorders>
              <w:top w:val="single" w:color="auto" w:sz="4" w:space="0"/>
              <w:left w:val="single" w:color="auto" w:sz="4" w:space="0"/>
              <w:bottom w:val="single" w:color="auto" w:sz="4" w:space="0"/>
              <w:right w:val="single" w:color="auto" w:sz="4" w:space="0"/>
            </w:tcBorders>
            <w:vAlign w:val="center"/>
          </w:tcPr>
          <w:p w14:paraId="4EC51CED">
            <w:pPr>
              <w:pStyle w:val="129"/>
              <w:rPr>
                <w:rFonts w:hint="eastAsia"/>
                <w:color w:val="000000"/>
                <w:sz w:val="21"/>
              </w:rPr>
            </w:pPr>
            <w:r>
              <w:rPr>
                <w:rFonts w:hint="eastAsia" w:ascii="Songti SC" w:hAnsi="Songti SC" w:eastAsia="Songti SC" w:cs="Songti SC"/>
                <w:color w:val="000000"/>
                <w:sz w:val="21"/>
              </w:rPr>
              <w:t>10</w:t>
            </w:r>
          </w:p>
        </w:tc>
        <w:tc>
          <w:tcPr>
            <w:tcW w:w="791" w:type="pct"/>
            <w:tcBorders>
              <w:top w:val="single" w:color="auto" w:sz="4" w:space="0"/>
              <w:left w:val="nil"/>
              <w:bottom w:val="single" w:color="auto" w:sz="4" w:space="0"/>
              <w:right w:val="single" w:color="auto" w:sz="4" w:space="0"/>
            </w:tcBorders>
            <w:vAlign w:val="center"/>
          </w:tcPr>
          <w:p w14:paraId="7AF380DE">
            <w:pPr>
              <w:pStyle w:val="129"/>
              <w:rPr>
                <w:rFonts w:hint="eastAsia"/>
                <w:color w:val="000000"/>
                <w:sz w:val="21"/>
              </w:rPr>
            </w:pPr>
            <w:r>
              <w:rPr>
                <w:rFonts w:hint="eastAsia" w:ascii="Songti SC" w:hAnsi="Songti SC" w:eastAsia="Songti SC" w:cs="Songti SC"/>
                <w:color w:val="000000"/>
                <w:sz w:val="21"/>
              </w:rPr>
              <w:t>交通局</w:t>
            </w:r>
          </w:p>
        </w:tc>
        <w:tc>
          <w:tcPr>
            <w:tcW w:w="666" w:type="pct"/>
            <w:tcBorders>
              <w:top w:val="single" w:color="auto" w:sz="4" w:space="0"/>
              <w:left w:val="nil"/>
              <w:bottom w:val="single" w:color="auto" w:sz="4" w:space="0"/>
              <w:right w:val="single" w:color="auto" w:sz="4" w:space="0"/>
            </w:tcBorders>
            <w:vAlign w:val="center"/>
          </w:tcPr>
          <w:p w14:paraId="6AA3BD81">
            <w:pPr>
              <w:pStyle w:val="129"/>
              <w:rPr>
                <w:rFonts w:hint="eastAsia"/>
                <w:color w:val="000000"/>
                <w:sz w:val="21"/>
              </w:rPr>
            </w:pPr>
            <w:r>
              <w:rPr>
                <w:rFonts w:hint="eastAsia" w:ascii="Songti SC" w:hAnsi="Songti SC" w:eastAsia="Songti SC" w:cs="Songti SC"/>
                <w:color w:val="000000"/>
                <w:sz w:val="21"/>
              </w:rPr>
              <w:t>消费机</w:t>
            </w:r>
          </w:p>
        </w:tc>
        <w:tc>
          <w:tcPr>
            <w:tcW w:w="458" w:type="pct"/>
            <w:tcBorders>
              <w:top w:val="single" w:color="auto" w:sz="4" w:space="0"/>
              <w:left w:val="nil"/>
              <w:bottom w:val="single" w:color="auto" w:sz="4" w:space="0"/>
              <w:right w:val="single" w:color="auto" w:sz="4" w:space="0"/>
            </w:tcBorders>
            <w:vAlign w:val="center"/>
          </w:tcPr>
          <w:p w14:paraId="26A9FD9E">
            <w:pPr>
              <w:pStyle w:val="129"/>
              <w:rPr>
                <w:rFonts w:hint="eastAsia"/>
                <w:color w:val="000000"/>
                <w:sz w:val="21"/>
              </w:rPr>
            </w:pPr>
            <w:r>
              <w:rPr>
                <w:rFonts w:hint="eastAsia" w:ascii="Songti SC" w:hAnsi="Songti SC" w:eastAsia="Songti SC" w:cs="Songti SC"/>
                <w:color w:val="000000"/>
                <w:sz w:val="21"/>
              </w:rPr>
              <w:t>2</w:t>
            </w:r>
          </w:p>
        </w:tc>
        <w:tc>
          <w:tcPr>
            <w:tcW w:w="712" w:type="pct"/>
            <w:tcBorders>
              <w:top w:val="single" w:color="auto" w:sz="4" w:space="0"/>
              <w:left w:val="nil"/>
              <w:bottom w:val="single" w:color="auto" w:sz="4" w:space="0"/>
              <w:right w:val="single" w:color="auto" w:sz="4" w:space="0"/>
            </w:tcBorders>
            <w:vAlign w:val="center"/>
          </w:tcPr>
          <w:p w14:paraId="6273649F">
            <w:pPr>
              <w:pStyle w:val="129"/>
              <w:rPr>
                <w:rFonts w:hint="eastAsia"/>
                <w:color w:val="000000"/>
                <w:sz w:val="21"/>
              </w:rPr>
            </w:pPr>
            <w:r>
              <w:rPr>
                <w:rFonts w:hint="eastAsia" w:ascii="Songti SC" w:hAnsi="Songti SC" w:eastAsia="Songti SC" w:cs="Songti SC"/>
                <w:color w:val="000000"/>
                <w:sz w:val="21"/>
              </w:rPr>
              <w:t>GYE-F20</w:t>
            </w:r>
          </w:p>
        </w:tc>
        <w:tc>
          <w:tcPr>
            <w:tcW w:w="652" w:type="pct"/>
            <w:tcBorders>
              <w:top w:val="single" w:color="auto" w:sz="4" w:space="0"/>
              <w:left w:val="nil"/>
              <w:bottom w:val="single" w:color="auto" w:sz="4" w:space="0"/>
              <w:right w:val="single" w:color="auto" w:sz="4" w:space="0"/>
            </w:tcBorders>
            <w:vAlign w:val="center"/>
          </w:tcPr>
          <w:p w14:paraId="7FE819E0">
            <w:pPr>
              <w:pStyle w:val="129"/>
              <w:rPr>
                <w:rFonts w:hint="eastAsia"/>
                <w:color w:val="000000"/>
                <w:sz w:val="21"/>
              </w:rPr>
            </w:pPr>
            <w:r>
              <w:rPr>
                <w:rFonts w:hint="eastAsia" w:ascii="Songti SC" w:hAnsi="Songti SC" w:eastAsia="Songti SC" w:cs="Songti SC"/>
                <w:color w:val="000000"/>
                <w:sz w:val="21"/>
              </w:rPr>
              <w:t>餐厅</w:t>
            </w:r>
          </w:p>
        </w:tc>
        <w:tc>
          <w:tcPr>
            <w:tcW w:w="902" w:type="pct"/>
            <w:tcBorders>
              <w:top w:val="single" w:color="auto" w:sz="4" w:space="0"/>
              <w:left w:val="nil"/>
              <w:bottom w:val="single" w:color="auto" w:sz="4" w:space="0"/>
              <w:right w:val="single" w:color="auto" w:sz="4" w:space="0"/>
            </w:tcBorders>
            <w:vAlign w:val="center"/>
          </w:tcPr>
          <w:p w14:paraId="063598B8">
            <w:pPr>
              <w:pStyle w:val="129"/>
              <w:rPr>
                <w:rFonts w:hint="eastAsia"/>
                <w:color w:val="000000"/>
                <w:sz w:val="21"/>
              </w:rPr>
            </w:pPr>
            <w:r>
              <w:rPr>
                <w:rFonts w:hint="eastAsia" w:ascii="Songti SC" w:hAnsi="Songti SC" w:eastAsia="Songti SC" w:cs="Songti SC"/>
                <w:color w:val="000000"/>
                <w:sz w:val="21"/>
              </w:rPr>
              <w:t>2022年</w:t>
            </w:r>
          </w:p>
        </w:tc>
        <w:tc>
          <w:tcPr>
            <w:tcW w:w="430" w:type="pct"/>
            <w:tcBorders>
              <w:top w:val="single" w:color="auto" w:sz="4" w:space="0"/>
              <w:left w:val="nil"/>
              <w:bottom w:val="single" w:color="auto" w:sz="4" w:space="0"/>
              <w:right w:val="single" w:color="auto" w:sz="4" w:space="0"/>
            </w:tcBorders>
            <w:vAlign w:val="center"/>
          </w:tcPr>
          <w:p w14:paraId="51308583">
            <w:pPr>
              <w:pStyle w:val="129"/>
              <w:rPr>
                <w:rFonts w:hint="eastAsia"/>
                <w:color w:val="000000"/>
                <w:sz w:val="21"/>
              </w:rPr>
            </w:pPr>
          </w:p>
        </w:tc>
      </w:tr>
      <w:tr w14:paraId="41C3EC82">
        <w:trPr>
          <w:trHeight w:val="454" w:hRule="atLeast"/>
          <w:jc w:val="center"/>
        </w:trPr>
        <w:tc>
          <w:tcPr>
            <w:tcW w:w="389" w:type="pct"/>
            <w:tcBorders>
              <w:top w:val="single" w:color="auto" w:sz="4" w:space="0"/>
              <w:left w:val="single" w:color="auto" w:sz="4" w:space="0"/>
              <w:bottom w:val="single" w:color="auto" w:sz="4" w:space="0"/>
              <w:right w:val="single" w:color="auto" w:sz="4" w:space="0"/>
            </w:tcBorders>
            <w:vAlign w:val="center"/>
          </w:tcPr>
          <w:p w14:paraId="15BFFAC3">
            <w:pPr>
              <w:pStyle w:val="129"/>
              <w:rPr>
                <w:rFonts w:hint="eastAsia"/>
                <w:color w:val="000000"/>
                <w:sz w:val="21"/>
              </w:rPr>
            </w:pPr>
            <w:r>
              <w:rPr>
                <w:rFonts w:hint="eastAsia" w:ascii="Songti SC" w:hAnsi="Songti SC" w:eastAsia="Songti SC" w:cs="Songti SC"/>
                <w:color w:val="000000"/>
                <w:sz w:val="21"/>
              </w:rPr>
              <w:t>11</w:t>
            </w:r>
          </w:p>
        </w:tc>
        <w:tc>
          <w:tcPr>
            <w:tcW w:w="791" w:type="pct"/>
            <w:tcBorders>
              <w:top w:val="single" w:color="auto" w:sz="4" w:space="0"/>
              <w:left w:val="nil"/>
              <w:bottom w:val="single" w:color="auto" w:sz="4" w:space="0"/>
              <w:right w:val="single" w:color="auto" w:sz="4" w:space="0"/>
            </w:tcBorders>
            <w:vAlign w:val="center"/>
          </w:tcPr>
          <w:p w14:paraId="0103D6AC">
            <w:pPr>
              <w:pStyle w:val="129"/>
              <w:rPr>
                <w:rFonts w:hint="eastAsia"/>
                <w:color w:val="000000"/>
                <w:sz w:val="21"/>
              </w:rPr>
            </w:pPr>
            <w:r>
              <w:rPr>
                <w:rFonts w:hint="eastAsia" w:ascii="Songti SC" w:hAnsi="Songti SC" w:eastAsia="Songti SC" w:cs="Songti SC"/>
                <w:color w:val="000000"/>
                <w:sz w:val="21"/>
              </w:rPr>
              <w:t>信访办</w:t>
            </w:r>
          </w:p>
        </w:tc>
        <w:tc>
          <w:tcPr>
            <w:tcW w:w="666" w:type="pct"/>
            <w:tcBorders>
              <w:top w:val="single" w:color="auto" w:sz="4" w:space="0"/>
              <w:left w:val="nil"/>
              <w:bottom w:val="single" w:color="auto" w:sz="4" w:space="0"/>
              <w:right w:val="single" w:color="auto" w:sz="4" w:space="0"/>
            </w:tcBorders>
            <w:vAlign w:val="center"/>
          </w:tcPr>
          <w:p w14:paraId="0B4F3112">
            <w:pPr>
              <w:pStyle w:val="129"/>
              <w:rPr>
                <w:rFonts w:hint="eastAsia"/>
                <w:color w:val="000000"/>
                <w:sz w:val="21"/>
              </w:rPr>
            </w:pPr>
            <w:r>
              <w:rPr>
                <w:rFonts w:hint="eastAsia" w:ascii="Songti SC" w:hAnsi="Songti SC" w:eastAsia="Songti SC" w:cs="Songti SC"/>
                <w:color w:val="000000"/>
                <w:sz w:val="21"/>
              </w:rPr>
              <w:t>消费机</w:t>
            </w:r>
          </w:p>
        </w:tc>
        <w:tc>
          <w:tcPr>
            <w:tcW w:w="458" w:type="pct"/>
            <w:tcBorders>
              <w:top w:val="single" w:color="auto" w:sz="4" w:space="0"/>
              <w:left w:val="nil"/>
              <w:bottom w:val="single" w:color="auto" w:sz="4" w:space="0"/>
              <w:right w:val="single" w:color="auto" w:sz="4" w:space="0"/>
            </w:tcBorders>
            <w:vAlign w:val="center"/>
          </w:tcPr>
          <w:p w14:paraId="781A35EF">
            <w:pPr>
              <w:pStyle w:val="129"/>
              <w:rPr>
                <w:rFonts w:hint="eastAsia"/>
                <w:color w:val="000000"/>
                <w:sz w:val="21"/>
              </w:rPr>
            </w:pPr>
            <w:r>
              <w:rPr>
                <w:rFonts w:hint="eastAsia" w:ascii="Songti SC" w:hAnsi="Songti SC" w:eastAsia="Songti SC" w:cs="Songti SC"/>
                <w:color w:val="000000"/>
                <w:sz w:val="21"/>
              </w:rPr>
              <w:t>1</w:t>
            </w:r>
          </w:p>
        </w:tc>
        <w:tc>
          <w:tcPr>
            <w:tcW w:w="712" w:type="pct"/>
            <w:tcBorders>
              <w:top w:val="single" w:color="auto" w:sz="4" w:space="0"/>
              <w:left w:val="nil"/>
              <w:bottom w:val="single" w:color="auto" w:sz="4" w:space="0"/>
              <w:right w:val="single" w:color="auto" w:sz="4" w:space="0"/>
            </w:tcBorders>
            <w:vAlign w:val="center"/>
          </w:tcPr>
          <w:p w14:paraId="20941896">
            <w:pPr>
              <w:pStyle w:val="129"/>
              <w:rPr>
                <w:rFonts w:hint="eastAsia"/>
                <w:color w:val="000000"/>
                <w:sz w:val="21"/>
              </w:rPr>
            </w:pPr>
            <w:r>
              <w:rPr>
                <w:rFonts w:hint="eastAsia" w:ascii="Songti SC" w:hAnsi="Songti SC" w:eastAsia="Songti SC" w:cs="Songti SC"/>
                <w:color w:val="000000"/>
                <w:sz w:val="21"/>
              </w:rPr>
              <w:t>GYE-E10-T1111FCQ</w:t>
            </w:r>
          </w:p>
        </w:tc>
        <w:tc>
          <w:tcPr>
            <w:tcW w:w="652" w:type="pct"/>
            <w:tcBorders>
              <w:top w:val="single" w:color="auto" w:sz="4" w:space="0"/>
              <w:left w:val="nil"/>
              <w:bottom w:val="single" w:color="auto" w:sz="4" w:space="0"/>
              <w:right w:val="single" w:color="auto" w:sz="4" w:space="0"/>
            </w:tcBorders>
            <w:vAlign w:val="center"/>
          </w:tcPr>
          <w:p w14:paraId="6C7FED02">
            <w:pPr>
              <w:pStyle w:val="129"/>
              <w:rPr>
                <w:rFonts w:hint="eastAsia"/>
                <w:color w:val="000000"/>
                <w:sz w:val="21"/>
              </w:rPr>
            </w:pPr>
            <w:r>
              <w:rPr>
                <w:rFonts w:hint="eastAsia" w:ascii="Songti SC" w:hAnsi="Songti SC" w:eastAsia="Songti SC" w:cs="Songti SC"/>
                <w:color w:val="000000"/>
                <w:sz w:val="21"/>
              </w:rPr>
              <w:t>餐厅</w:t>
            </w:r>
          </w:p>
        </w:tc>
        <w:tc>
          <w:tcPr>
            <w:tcW w:w="902" w:type="pct"/>
            <w:tcBorders>
              <w:top w:val="single" w:color="auto" w:sz="4" w:space="0"/>
              <w:left w:val="nil"/>
              <w:bottom w:val="single" w:color="auto" w:sz="4" w:space="0"/>
              <w:right w:val="single" w:color="auto" w:sz="4" w:space="0"/>
            </w:tcBorders>
            <w:vAlign w:val="center"/>
          </w:tcPr>
          <w:p w14:paraId="02B4609D">
            <w:pPr>
              <w:pStyle w:val="129"/>
              <w:rPr>
                <w:rFonts w:hint="eastAsia"/>
                <w:color w:val="000000"/>
                <w:sz w:val="21"/>
              </w:rPr>
            </w:pPr>
            <w:r>
              <w:rPr>
                <w:rFonts w:hint="eastAsia" w:ascii="Songti SC" w:hAnsi="Songti SC" w:eastAsia="Songti SC" w:cs="Songti SC"/>
                <w:color w:val="000000"/>
                <w:sz w:val="21"/>
              </w:rPr>
              <w:t>2023年</w:t>
            </w:r>
          </w:p>
        </w:tc>
        <w:tc>
          <w:tcPr>
            <w:tcW w:w="430" w:type="pct"/>
            <w:tcBorders>
              <w:top w:val="single" w:color="auto" w:sz="4" w:space="0"/>
              <w:left w:val="nil"/>
              <w:bottom w:val="single" w:color="auto" w:sz="4" w:space="0"/>
              <w:right w:val="single" w:color="auto" w:sz="4" w:space="0"/>
            </w:tcBorders>
            <w:vAlign w:val="center"/>
          </w:tcPr>
          <w:p w14:paraId="5CEB1650">
            <w:pPr>
              <w:pStyle w:val="129"/>
              <w:rPr>
                <w:rFonts w:hint="eastAsia"/>
                <w:color w:val="000000"/>
                <w:sz w:val="21"/>
              </w:rPr>
            </w:pPr>
          </w:p>
        </w:tc>
      </w:tr>
      <w:tr w14:paraId="1876090D">
        <w:trPr>
          <w:trHeight w:val="454" w:hRule="atLeast"/>
          <w:jc w:val="center"/>
        </w:trPr>
        <w:tc>
          <w:tcPr>
            <w:tcW w:w="389" w:type="pct"/>
            <w:tcBorders>
              <w:top w:val="single" w:color="auto" w:sz="4" w:space="0"/>
              <w:left w:val="single" w:color="auto" w:sz="4" w:space="0"/>
              <w:bottom w:val="single" w:color="auto" w:sz="4" w:space="0"/>
              <w:right w:val="single" w:color="auto" w:sz="4" w:space="0"/>
            </w:tcBorders>
            <w:vAlign w:val="center"/>
          </w:tcPr>
          <w:p w14:paraId="145501DC">
            <w:pPr>
              <w:pStyle w:val="129"/>
              <w:rPr>
                <w:rFonts w:hint="eastAsia"/>
                <w:color w:val="000000"/>
                <w:sz w:val="21"/>
              </w:rPr>
            </w:pPr>
            <w:r>
              <w:rPr>
                <w:rFonts w:hint="eastAsia" w:ascii="Songti SC" w:hAnsi="Songti SC" w:eastAsia="Songti SC" w:cs="Songti SC"/>
                <w:color w:val="000000"/>
                <w:sz w:val="21"/>
              </w:rPr>
              <w:t>12</w:t>
            </w:r>
          </w:p>
        </w:tc>
        <w:tc>
          <w:tcPr>
            <w:tcW w:w="791" w:type="pct"/>
            <w:tcBorders>
              <w:top w:val="single" w:color="auto" w:sz="4" w:space="0"/>
              <w:left w:val="nil"/>
              <w:bottom w:val="single" w:color="auto" w:sz="4" w:space="0"/>
              <w:right w:val="single" w:color="auto" w:sz="4" w:space="0"/>
            </w:tcBorders>
            <w:vAlign w:val="center"/>
          </w:tcPr>
          <w:p w14:paraId="1C35051A">
            <w:pPr>
              <w:pStyle w:val="129"/>
              <w:rPr>
                <w:rFonts w:hint="eastAsia"/>
                <w:color w:val="000000"/>
                <w:sz w:val="21"/>
              </w:rPr>
            </w:pPr>
            <w:r>
              <w:rPr>
                <w:rFonts w:hint="eastAsia" w:ascii="Songti SC" w:hAnsi="Songti SC" w:eastAsia="Songti SC" w:cs="Songti SC"/>
                <w:color w:val="000000"/>
                <w:sz w:val="21"/>
              </w:rPr>
              <w:t>经信局</w:t>
            </w:r>
          </w:p>
        </w:tc>
        <w:tc>
          <w:tcPr>
            <w:tcW w:w="666" w:type="pct"/>
            <w:tcBorders>
              <w:top w:val="single" w:color="auto" w:sz="4" w:space="0"/>
              <w:left w:val="nil"/>
              <w:bottom w:val="single" w:color="auto" w:sz="4" w:space="0"/>
              <w:right w:val="single" w:color="auto" w:sz="4" w:space="0"/>
            </w:tcBorders>
            <w:vAlign w:val="center"/>
          </w:tcPr>
          <w:p w14:paraId="3911886B">
            <w:pPr>
              <w:pStyle w:val="129"/>
              <w:rPr>
                <w:rFonts w:hint="eastAsia"/>
                <w:color w:val="000000"/>
                <w:sz w:val="21"/>
              </w:rPr>
            </w:pPr>
            <w:r>
              <w:rPr>
                <w:rFonts w:hint="eastAsia" w:ascii="Songti SC" w:hAnsi="Songti SC" w:eastAsia="Songti SC" w:cs="Songti SC"/>
                <w:color w:val="000000"/>
                <w:sz w:val="21"/>
              </w:rPr>
              <w:t>消费机</w:t>
            </w:r>
          </w:p>
        </w:tc>
        <w:tc>
          <w:tcPr>
            <w:tcW w:w="458" w:type="pct"/>
            <w:tcBorders>
              <w:top w:val="single" w:color="auto" w:sz="4" w:space="0"/>
              <w:left w:val="nil"/>
              <w:bottom w:val="single" w:color="auto" w:sz="4" w:space="0"/>
              <w:right w:val="single" w:color="auto" w:sz="4" w:space="0"/>
            </w:tcBorders>
            <w:vAlign w:val="center"/>
          </w:tcPr>
          <w:p w14:paraId="70AB3FC5">
            <w:pPr>
              <w:pStyle w:val="129"/>
              <w:rPr>
                <w:rFonts w:hint="eastAsia"/>
                <w:color w:val="000000"/>
                <w:sz w:val="21"/>
              </w:rPr>
            </w:pPr>
            <w:r>
              <w:rPr>
                <w:rFonts w:hint="eastAsia" w:ascii="Songti SC" w:hAnsi="Songti SC" w:eastAsia="Songti SC" w:cs="Songti SC"/>
                <w:color w:val="000000"/>
                <w:sz w:val="21"/>
              </w:rPr>
              <w:t>1</w:t>
            </w:r>
          </w:p>
        </w:tc>
        <w:tc>
          <w:tcPr>
            <w:tcW w:w="712" w:type="pct"/>
            <w:tcBorders>
              <w:top w:val="single" w:color="auto" w:sz="4" w:space="0"/>
              <w:left w:val="nil"/>
              <w:bottom w:val="single" w:color="auto" w:sz="4" w:space="0"/>
              <w:right w:val="single" w:color="auto" w:sz="4" w:space="0"/>
            </w:tcBorders>
            <w:vAlign w:val="center"/>
          </w:tcPr>
          <w:p w14:paraId="74BA4CAB">
            <w:pPr>
              <w:pStyle w:val="129"/>
              <w:rPr>
                <w:rFonts w:hint="eastAsia"/>
                <w:color w:val="000000"/>
                <w:sz w:val="21"/>
              </w:rPr>
            </w:pPr>
            <w:r>
              <w:rPr>
                <w:rFonts w:hint="eastAsia" w:ascii="Songti SC" w:hAnsi="Songti SC" w:eastAsia="Songti SC" w:cs="Songti SC"/>
                <w:color w:val="000000"/>
                <w:sz w:val="21"/>
              </w:rPr>
              <w:t>GYE-E10-T1111FCQ</w:t>
            </w:r>
          </w:p>
        </w:tc>
        <w:tc>
          <w:tcPr>
            <w:tcW w:w="652" w:type="pct"/>
            <w:tcBorders>
              <w:top w:val="single" w:color="auto" w:sz="4" w:space="0"/>
              <w:left w:val="nil"/>
              <w:bottom w:val="single" w:color="auto" w:sz="4" w:space="0"/>
              <w:right w:val="single" w:color="auto" w:sz="4" w:space="0"/>
            </w:tcBorders>
            <w:vAlign w:val="center"/>
          </w:tcPr>
          <w:p w14:paraId="2A1C2FBD">
            <w:pPr>
              <w:pStyle w:val="129"/>
              <w:rPr>
                <w:rFonts w:hint="eastAsia"/>
                <w:color w:val="000000"/>
                <w:sz w:val="21"/>
              </w:rPr>
            </w:pPr>
            <w:r>
              <w:rPr>
                <w:rFonts w:hint="eastAsia" w:ascii="Songti SC" w:hAnsi="Songti SC" w:eastAsia="Songti SC" w:cs="Songti SC"/>
                <w:color w:val="000000"/>
                <w:sz w:val="21"/>
              </w:rPr>
              <w:t>餐厅</w:t>
            </w:r>
          </w:p>
        </w:tc>
        <w:tc>
          <w:tcPr>
            <w:tcW w:w="902" w:type="pct"/>
            <w:tcBorders>
              <w:top w:val="single" w:color="auto" w:sz="4" w:space="0"/>
              <w:left w:val="nil"/>
              <w:bottom w:val="single" w:color="auto" w:sz="4" w:space="0"/>
              <w:right w:val="single" w:color="auto" w:sz="4" w:space="0"/>
            </w:tcBorders>
            <w:vAlign w:val="center"/>
          </w:tcPr>
          <w:p w14:paraId="166023A1">
            <w:pPr>
              <w:pStyle w:val="129"/>
              <w:rPr>
                <w:rFonts w:hint="eastAsia"/>
                <w:color w:val="000000"/>
                <w:sz w:val="21"/>
              </w:rPr>
            </w:pPr>
            <w:r>
              <w:rPr>
                <w:rFonts w:hint="eastAsia" w:ascii="Songti SC" w:hAnsi="Songti SC" w:eastAsia="Songti SC" w:cs="Songti SC"/>
                <w:color w:val="000000"/>
                <w:sz w:val="21"/>
              </w:rPr>
              <w:t>2023年</w:t>
            </w:r>
          </w:p>
        </w:tc>
        <w:tc>
          <w:tcPr>
            <w:tcW w:w="430" w:type="pct"/>
            <w:tcBorders>
              <w:top w:val="single" w:color="auto" w:sz="4" w:space="0"/>
              <w:left w:val="nil"/>
              <w:bottom w:val="single" w:color="auto" w:sz="4" w:space="0"/>
              <w:right w:val="single" w:color="auto" w:sz="4" w:space="0"/>
            </w:tcBorders>
            <w:vAlign w:val="center"/>
          </w:tcPr>
          <w:p w14:paraId="01439349">
            <w:pPr>
              <w:pStyle w:val="129"/>
              <w:rPr>
                <w:rFonts w:hint="eastAsia"/>
                <w:color w:val="000000"/>
                <w:sz w:val="21"/>
              </w:rPr>
            </w:pPr>
          </w:p>
        </w:tc>
      </w:tr>
      <w:tr w14:paraId="2263571E">
        <w:trPr>
          <w:trHeight w:val="454" w:hRule="atLeast"/>
          <w:jc w:val="center"/>
        </w:trPr>
        <w:tc>
          <w:tcPr>
            <w:tcW w:w="389" w:type="pct"/>
            <w:vMerge w:val="restart"/>
            <w:tcBorders>
              <w:top w:val="single" w:color="auto" w:sz="4" w:space="0"/>
              <w:left w:val="single" w:color="auto" w:sz="4" w:space="0"/>
              <w:bottom w:val="single" w:color="auto" w:sz="4" w:space="0"/>
              <w:right w:val="single" w:color="auto" w:sz="4" w:space="0"/>
            </w:tcBorders>
            <w:vAlign w:val="center"/>
          </w:tcPr>
          <w:p w14:paraId="0345EDAD">
            <w:pPr>
              <w:pStyle w:val="129"/>
              <w:rPr>
                <w:rFonts w:hint="eastAsia"/>
                <w:color w:val="000000"/>
                <w:sz w:val="21"/>
              </w:rPr>
            </w:pPr>
            <w:r>
              <w:rPr>
                <w:rFonts w:hint="eastAsia" w:ascii="Songti SC" w:hAnsi="Songti SC" w:eastAsia="Songti SC" w:cs="Songti SC"/>
                <w:color w:val="000000"/>
                <w:sz w:val="21"/>
              </w:rPr>
              <w:t>13</w:t>
            </w:r>
          </w:p>
        </w:tc>
        <w:tc>
          <w:tcPr>
            <w:tcW w:w="791" w:type="pct"/>
            <w:vMerge w:val="restart"/>
            <w:tcBorders>
              <w:top w:val="single" w:color="auto" w:sz="4" w:space="0"/>
              <w:left w:val="nil"/>
              <w:bottom w:val="single" w:color="auto" w:sz="4" w:space="0"/>
              <w:right w:val="single" w:color="auto" w:sz="4" w:space="0"/>
            </w:tcBorders>
            <w:vAlign w:val="center"/>
          </w:tcPr>
          <w:p w14:paraId="2CBBBC6F">
            <w:pPr>
              <w:pStyle w:val="129"/>
              <w:rPr>
                <w:rFonts w:hint="eastAsia"/>
                <w:color w:val="000000"/>
                <w:sz w:val="21"/>
              </w:rPr>
            </w:pPr>
            <w:r>
              <w:rPr>
                <w:rFonts w:hint="eastAsia" w:ascii="Songti SC" w:hAnsi="Songti SC" w:eastAsia="Songti SC" w:cs="Songti SC"/>
                <w:color w:val="000000"/>
                <w:sz w:val="21"/>
              </w:rPr>
              <w:t>统战办公区</w:t>
            </w:r>
          </w:p>
        </w:tc>
        <w:tc>
          <w:tcPr>
            <w:tcW w:w="666" w:type="pct"/>
            <w:vMerge w:val="restart"/>
            <w:tcBorders>
              <w:top w:val="single" w:color="auto" w:sz="4" w:space="0"/>
              <w:left w:val="nil"/>
              <w:bottom w:val="single" w:color="auto" w:sz="4" w:space="0"/>
              <w:right w:val="single" w:color="auto" w:sz="4" w:space="0"/>
            </w:tcBorders>
            <w:vAlign w:val="center"/>
          </w:tcPr>
          <w:p w14:paraId="3938C176">
            <w:pPr>
              <w:pStyle w:val="129"/>
              <w:rPr>
                <w:rFonts w:hint="eastAsia"/>
                <w:color w:val="000000"/>
                <w:sz w:val="21"/>
              </w:rPr>
            </w:pPr>
            <w:r>
              <w:rPr>
                <w:rFonts w:hint="eastAsia" w:ascii="Songti SC" w:hAnsi="Songti SC" w:eastAsia="Songti SC" w:cs="Songti SC"/>
                <w:color w:val="000000"/>
                <w:sz w:val="21"/>
              </w:rPr>
              <w:t>消费机</w:t>
            </w:r>
          </w:p>
        </w:tc>
        <w:tc>
          <w:tcPr>
            <w:tcW w:w="458" w:type="pct"/>
            <w:tcBorders>
              <w:top w:val="single" w:color="auto" w:sz="4" w:space="0"/>
              <w:left w:val="nil"/>
              <w:bottom w:val="single" w:color="auto" w:sz="4" w:space="0"/>
              <w:right w:val="single" w:color="auto" w:sz="4" w:space="0"/>
            </w:tcBorders>
            <w:vAlign w:val="center"/>
          </w:tcPr>
          <w:p w14:paraId="51629782">
            <w:pPr>
              <w:pStyle w:val="129"/>
              <w:rPr>
                <w:rFonts w:hint="eastAsia"/>
                <w:color w:val="000000"/>
                <w:sz w:val="21"/>
              </w:rPr>
            </w:pPr>
            <w:r>
              <w:rPr>
                <w:rFonts w:hint="eastAsia" w:ascii="Songti SC" w:hAnsi="Songti SC" w:eastAsia="Songti SC" w:cs="Songti SC"/>
                <w:color w:val="000000"/>
                <w:sz w:val="21"/>
              </w:rPr>
              <w:t>1</w:t>
            </w:r>
          </w:p>
        </w:tc>
        <w:tc>
          <w:tcPr>
            <w:tcW w:w="712" w:type="pct"/>
            <w:tcBorders>
              <w:top w:val="single" w:color="auto" w:sz="4" w:space="0"/>
              <w:left w:val="nil"/>
              <w:bottom w:val="single" w:color="auto" w:sz="4" w:space="0"/>
              <w:right w:val="single" w:color="auto" w:sz="4" w:space="0"/>
            </w:tcBorders>
            <w:vAlign w:val="center"/>
          </w:tcPr>
          <w:p w14:paraId="4E5B2AE5">
            <w:pPr>
              <w:pStyle w:val="129"/>
              <w:rPr>
                <w:rFonts w:hint="eastAsia"/>
                <w:color w:val="000000"/>
                <w:sz w:val="21"/>
              </w:rPr>
            </w:pPr>
            <w:r>
              <w:rPr>
                <w:rFonts w:hint="eastAsia" w:ascii="Songti SC" w:hAnsi="Songti SC" w:eastAsia="Songti SC" w:cs="Songti SC"/>
                <w:color w:val="000000"/>
                <w:sz w:val="21"/>
              </w:rPr>
              <w:t>GYE-E10-T1111FCQ</w:t>
            </w:r>
          </w:p>
        </w:tc>
        <w:tc>
          <w:tcPr>
            <w:tcW w:w="652" w:type="pct"/>
            <w:tcBorders>
              <w:top w:val="single" w:color="auto" w:sz="4" w:space="0"/>
              <w:left w:val="nil"/>
              <w:bottom w:val="single" w:color="auto" w:sz="4" w:space="0"/>
              <w:right w:val="single" w:color="auto" w:sz="4" w:space="0"/>
            </w:tcBorders>
            <w:vAlign w:val="center"/>
          </w:tcPr>
          <w:p w14:paraId="1A8976C6">
            <w:pPr>
              <w:pStyle w:val="129"/>
              <w:rPr>
                <w:rFonts w:hint="eastAsia"/>
                <w:color w:val="000000"/>
                <w:sz w:val="21"/>
              </w:rPr>
            </w:pPr>
            <w:r>
              <w:rPr>
                <w:rFonts w:hint="eastAsia" w:ascii="Songti SC" w:hAnsi="Songti SC" w:eastAsia="Songti SC" w:cs="Songti SC"/>
                <w:color w:val="000000"/>
                <w:sz w:val="21"/>
              </w:rPr>
              <w:t>餐厅</w:t>
            </w:r>
          </w:p>
        </w:tc>
        <w:tc>
          <w:tcPr>
            <w:tcW w:w="902" w:type="pct"/>
            <w:tcBorders>
              <w:top w:val="single" w:color="auto" w:sz="4" w:space="0"/>
              <w:left w:val="nil"/>
              <w:bottom w:val="single" w:color="auto" w:sz="4" w:space="0"/>
              <w:right w:val="single" w:color="auto" w:sz="4" w:space="0"/>
            </w:tcBorders>
            <w:vAlign w:val="center"/>
          </w:tcPr>
          <w:p w14:paraId="269E4CC5">
            <w:pPr>
              <w:pStyle w:val="129"/>
              <w:rPr>
                <w:rFonts w:hint="eastAsia"/>
                <w:color w:val="000000"/>
                <w:sz w:val="21"/>
              </w:rPr>
            </w:pPr>
            <w:r>
              <w:rPr>
                <w:rFonts w:hint="eastAsia" w:ascii="Songti SC" w:hAnsi="Songti SC" w:eastAsia="Songti SC" w:cs="Songti SC"/>
                <w:color w:val="000000"/>
                <w:sz w:val="21"/>
              </w:rPr>
              <w:t>2023年</w:t>
            </w:r>
          </w:p>
        </w:tc>
        <w:tc>
          <w:tcPr>
            <w:tcW w:w="430" w:type="pct"/>
            <w:tcBorders>
              <w:top w:val="single" w:color="auto" w:sz="4" w:space="0"/>
              <w:left w:val="nil"/>
              <w:bottom w:val="single" w:color="auto" w:sz="4" w:space="0"/>
              <w:right w:val="single" w:color="auto" w:sz="4" w:space="0"/>
            </w:tcBorders>
            <w:vAlign w:val="center"/>
          </w:tcPr>
          <w:p w14:paraId="21F3D5F2">
            <w:pPr>
              <w:pStyle w:val="129"/>
              <w:rPr>
                <w:rFonts w:hint="eastAsia"/>
                <w:color w:val="000000"/>
                <w:sz w:val="21"/>
              </w:rPr>
            </w:pPr>
          </w:p>
        </w:tc>
      </w:tr>
      <w:tr w14:paraId="7C10F828">
        <w:trPr>
          <w:trHeight w:val="454" w:hRule="atLeast"/>
          <w:jc w:val="center"/>
        </w:trPr>
        <w:tc>
          <w:tcPr>
            <w:tcW w:w="389" w:type="pct"/>
            <w:vMerge w:val="continue"/>
            <w:tcBorders>
              <w:top w:val="single" w:color="auto" w:sz="4" w:space="0"/>
              <w:left w:val="single" w:color="auto" w:sz="4" w:space="0"/>
              <w:bottom w:val="single" w:color="auto" w:sz="4" w:space="0"/>
              <w:right w:val="single" w:color="auto" w:sz="4" w:space="0"/>
            </w:tcBorders>
            <w:vAlign w:val="center"/>
          </w:tcPr>
          <w:p w14:paraId="5811E833">
            <w:pPr>
              <w:pStyle w:val="129"/>
              <w:rPr>
                <w:rFonts w:hint="eastAsia"/>
                <w:color w:val="000000"/>
                <w:sz w:val="21"/>
              </w:rPr>
            </w:pPr>
          </w:p>
        </w:tc>
        <w:tc>
          <w:tcPr>
            <w:tcW w:w="791" w:type="pct"/>
            <w:vMerge w:val="continue"/>
            <w:tcBorders>
              <w:top w:val="single" w:color="auto" w:sz="4" w:space="0"/>
              <w:left w:val="nil"/>
              <w:bottom w:val="single" w:color="auto" w:sz="4" w:space="0"/>
              <w:right w:val="single" w:color="auto" w:sz="4" w:space="0"/>
            </w:tcBorders>
            <w:vAlign w:val="center"/>
          </w:tcPr>
          <w:p w14:paraId="4205BF40">
            <w:pPr>
              <w:pStyle w:val="129"/>
              <w:rPr>
                <w:rFonts w:hint="eastAsia"/>
                <w:color w:val="000000"/>
                <w:sz w:val="21"/>
              </w:rPr>
            </w:pPr>
          </w:p>
        </w:tc>
        <w:tc>
          <w:tcPr>
            <w:tcW w:w="666" w:type="pct"/>
            <w:vMerge w:val="continue"/>
            <w:tcBorders>
              <w:top w:val="single" w:color="auto" w:sz="4" w:space="0"/>
              <w:left w:val="nil"/>
              <w:bottom w:val="single" w:color="auto" w:sz="4" w:space="0"/>
              <w:right w:val="single" w:color="auto" w:sz="4" w:space="0"/>
            </w:tcBorders>
            <w:vAlign w:val="center"/>
          </w:tcPr>
          <w:p w14:paraId="7186C21B">
            <w:pPr>
              <w:pStyle w:val="129"/>
              <w:rPr>
                <w:rFonts w:hint="eastAsia"/>
                <w:color w:val="000000"/>
                <w:sz w:val="21"/>
              </w:rPr>
            </w:pPr>
          </w:p>
        </w:tc>
        <w:tc>
          <w:tcPr>
            <w:tcW w:w="458" w:type="pct"/>
            <w:tcBorders>
              <w:top w:val="single" w:color="auto" w:sz="4" w:space="0"/>
              <w:left w:val="nil"/>
              <w:bottom w:val="single" w:color="auto" w:sz="4" w:space="0"/>
              <w:right w:val="single" w:color="auto" w:sz="4" w:space="0"/>
            </w:tcBorders>
            <w:vAlign w:val="center"/>
          </w:tcPr>
          <w:p w14:paraId="59D16710">
            <w:pPr>
              <w:pStyle w:val="129"/>
              <w:rPr>
                <w:rFonts w:hint="eastAsia"/>
                <w:color w:val="000000"/>
                <w:sz w:val="21"/>
              </w:rPr>
            </w:pPr>
            <w:r>
              <w:rPr>
                <w:rFonts w:hint="eastAsia" w:ascii="Songti SC" w:hAnsi="Songti SC" w:eastAsia="Songti SC" w:cs="Songti SC"/>
                <w:color w:val="000000"/>
                <w:sz w:val="21"/>
              </w:rPr>
              <w:t>1</w:t>
            </w:r>
          </w:p>
        </w:tc>
        <w:tc>
          <w:tcPr>
            <w:tcW w:w="712" w:type="pct"/>
            <w:tcBorders>
              <w:top w:val="single" w:color="auto" w:sz="4" w:space="0"/>
              <w:left w:val="nil"/>
              <w:bottom w:val="single" w:color="auto" w:sz="4" w:space="0"/>
              <w:right w:val="single" w:color="auto" w:sz="4" w:space="0"/>
            </w:tcBorders>
            <w:vAlign w:val="center"/>
          </w:tcPr>
          <w:p w14:paraId="516BC853">
            <w:pPr>
              <w:pStyle w:val="129"/>
              <w:rPr>
                <w:rFonts w:hint="eastAsia"/>
                <w:color w:val="000000"/>
                <w:sz w:val="21"/>
              </w:rPr>
            </w:pPr>
            <w:r>
              <w:rPr>
                <w:rFonts w:hint="eastAsia" w:ascii="Songti SC" w:hAnsi="Songti SC" w:eastAsia="Songti SC" w:cs="Songti SC"/>
                <w:color w:val="000000"/>
                <w:sz w:val="21"/>
              </w:rPr>
              <w:t>GYE-F20</w:t>
            </w:r>
          </w:p>
        </w:tc>
        <w:tc>
          <w:tcPr>
            <w:tcW w:w="652" w:type="pct"/>
            <w:tcBorders>
              <w:top w:val="single" w:color="auto" w:sz="4" w:space="0"/>
              <w:left w:val="nil"/>
              <w:bottom w:val="single" w:color="auto" w:sz="4" w:space="0"/>
              <w:right w:val="single" w:color="auto" w:sz="4" w:space="0"/>
            </w:tcBorders>
            <w:vAlign w:val="center"/>
          </w:tcPr>
          <w:p w14:paraId="2EF0E721">
            <w:pPr>
              <w:pStyle w:val="129"/>
              <w:rPr>
                <w:rFonts w:hint="eastAsia"/>
                <w:color w:val="000000"/>
                <w:sz w:val="21"/>
              </w:rPr>
            </w:pPr>
            <w:r>
              <w:rPr>
                <w:rFonts w:hint="eastAsia" w:ascii="Songti SC" w:hAnsi="Songti SC" w:eastAsia="Songti SC" w:cs="Songti SC"/>
                <w:color w:val="000000"/>
                <w:sz w:val="21"/>
              </w:rPr>
              <w:t>餐厅</w:t>
            </w:r>
          </w:p>
        </w:tc>
        <w:tc>
          <w:tcPr>
            <w:tcW w:w="902" w:type="pct"/>
            <w:tcBorders>
              <w:top w:val="single" w:color="auto" w:sz="4" w:space="0"/>
              <w:left w:val="nil"/>
              <w:bottom w:val="single" w:color="auto" w:sz="4" w:space="0"/>
              <w:right w:val="single" w:color="auto" w:sz="4" w:space="0"/>
            </w:tcBorders>
            <w:vAlign w:val="center"/>
          </w:tcPr>
          <w:p w14:paraId="6ADFA1B2">
            <w:pPr>
              <w:pStyle w:val="129"/>
              <w:rPr>
                <w:rFonts w:hint="eastAsia"/>
                <w:color w:val="000000"/>
                <w:sz w:val="21"/>
              </w:rPr>
            </w:pPr>
            <w:r>
              <w:rPr>
                <w:rFonts w:hint="eastAsia" w:ascii="Songti SC" w:hAnsi="Songti SC" w:eastAsia="Songti SC" w:cs="Songti SC"/>
                <w:color w:val="000000"/>
                <w:sz w:val="21"/>
              </w:rPr>
              <w:t>2021年</w:t>
            </w:r>
          </w:p>
        </w:tc>
        <w:tc>
          <w:tcPr>
            <w:tcW w:w="430" w:type="pct"/>
            <w:tcBorders>
              <w:top w:val="single" w:color="auto" w:sz="4" w:space="0"/>
              <w:left w:val="nil"/>
              <w:bottom w:val="single" w:color="auto" w:sz="4" w:space="0"/>
              <w:right w:val="single" w:color="auto" w:sz="4" w:space="0"/>
            </w:tcBorders>
            <w:vAlign w:val="center"/>
          </w:tcPr>
          <w:p w14:paraId="204B1929">
            <w:pPr>
              <w:pStyle w:val="129"/>
              <w:rPr>
                <w:rFonts w:hint="eastAsia"/>
                <w:color w:val="000000"/>
                <w:sz w:val="21"/>
              </w:rPr>
            </w:pPr>
          </w:p>
        </w:tc>
      </w:tr>
      <w:tr w14:paraId="790AD9BC">
        <w:trPr>
          <w:trHeight w:val="454" w:hRule="atLeast"/>
          <w:jc w:val="center"/>
        </w:trPr>
        <w:tc>
          <w:tcPr>
            <w:tcW w:w="389" w:type="pct"/>
            <w:tcBorders>
              <w:top w:val="single" w:color="auto" w:sz="4" w:space="0"/>
              <w:left w:val="single" w:color="auto" w:sz="4" w:space="0"/>
              <w:bottom w:val="single" w:color="auto" w:sz="4" w:space="0"/>
              <w:right w:val="single" w:color="auto" w:sz="4" w:space="0"/>
            </w:tcBorders>
            <w:vAlign w:val="center"/>
          </w:tcPr>
          <w:p w14:paraId="320D1490">
            <w:pPr>
              <w:pStyle w:val="129"/>
              <w:rPr>
                <w:rFonts w:hint="eastAsia"/>
                <w:color w:val="000000"/>
                <w:sz w:val="21"/>
              </w:rPr>
            </w:pPr>
            <w:r>
              <w:rPr>
                <w:rFonts w:hint="eastAsia" w:ascii="Songti SC" w:hAnsi="Songti SC" w:eastAsia="Songti SC" w:cs="Songti SC"/>
                <w:color w:val="000000"/>
                <w:sz w:val="21"/>
              </w:rPr>
              <w:t>14</w:t>
            </w:r>
          </w:p>
        </w:tc>
        <w:tc>
          <w:tcPr>
            <w:tcW w:w="791" w:type="pct"/>
            <w:tcBorders>
              <w:top w:val="single" w:color="auto" w:sz="4" w:space="0"/>
              <w:left w:val="nil"/>
              <w:bottom w:val="single" w:color="auto" w:sz="4" w:space="0"/>
              <w:right w:val="single" w:color="auto" w:sz="4" w:space="0"/>
            </w:tcBorders>
            <w:vAlign w:val="center"/>
          </w:tcPr>
          <w:p w14:paraId="3ADA9FDF">
            <w:pPr>
              <w:pStyle w:val="129"/>
              <w:rPr>
                <w:rFonts w:hint="eastAsia"/>
                <w:color w:val="000000"/>
                <w:sz w:val="21"/>
              </w:rPr>
            </w:pPr>
            <w:r>
              <w:rPr>
                <w:rFonts w:hint="eastAsia" w:ascii="Songti SC" w:hAnsi="Songti SC" w:eastAsia="Songti SC" w:cs="Songti SC"/>
                <w:color w:val="000000"/>
                <w:sz w:val="21"/>
              </w:rPr>
              <w:t>生态环境局</w:t>
            </w:r>
          </w:p>
        </w:tc>
        <w:tc>
          <w:tcPr>
            <w:tcW w:w="666" w:type="pct"/>
            <w:tcBorders>
              <w:top w:val="single" w:color="auto" w:sz="4" w:space="0"/>
              <w:left w:val="nil"/>
              <w:bottom w:val="single" w:color="auto" w:sz="4" w:space="0"/>
              <w:right w:val="single" w:color="auto" w:sz="4" w:space="0"/>
            </w:tcBorders>
            <w:vAlign w:val="center"/>
          </w:tcPr>
          <w:p w14:paraId="7033F365">
            <w:pPr>
              <w:pStyle w:val="129"/>
              <w:rPr>
                <w:rFonts w:hint="eastAsia"/>
                <w:color w:val="000000"/>
                <w:sz w:val="21"/>
              </w:rPr>
            </w:pPr>
            <w:r>
              <w:rPr>
                <w:rFonts w:hint="eastAsia" w:ascii="Songti SC" w:hAnsi="Songti SC" w:eastAsia="Songti SC" w:cs="Songti SC"/>
                <w:color w:val="000000"/>
                <w:sz w:val="21"/>
              </w:rPr>
              <w:t>消费机</w:t>
            </w:r>
          </w:p>
        </w:tc>
        <w:tc>
          <w:tcPr>
            <w:tcW w:w="458" w:type="pct"/>
            <w:tcBorders>
              <w:top w:val="single" w:color="auto" w:sz="4" w:space="0"/>
              <w:left w:val="nil"/>
              <w:bottom w:val="single" w:color="auto" w:sz="4" w:space="0"/>
              <w:right w:val="single" w:color="auto" w:sz="4" w:space="0"/>
            </w:tcBorders>
            <w:vAlign w:val="center"/>
          </w:tcPr>
          <w:p w14:paraId="140D4B2D">
            <w:pPr>
              <w:pStyle w:val="129"/>
              <w:rPr>
                <w:rFonts w:hint="eastAsia"/>
                <w:color w:val="000000"/>
                <w:sz w:val="21"/>
              </w:rPr>
            </w:pPr>
            <w:r>
              <w:rPr>
                <w:rFonts w:hint="eastAsia" w:ascii="Songti SC" w:hAnsi="Songti SC" w:eastAsia="Songti SC" w:cs="Songti SC"/>
                <w:color w:val="000000"/>
                <w:sz w:val="21"/>
              </w:rPr>
              <w:t>2</w:t>
            </w:r>
          </w:p>
        </w:tc>
        <w:tc>
          <w:tcPr>
            <w:tcW w:w="712" w:type="pct"/>
            <w:tcBorders>
              <w:top w:val="single" w:color="auto" w:sz="4" w:space="0"/>
              <w:left w:val="nil"/>
              <w:bottom w:val="single" w:color="auto" w:sz="4" w:space="0"/>
              <w:right w:val="single" w:color="auto" w:sz="4" w:space="0"/>
            </w:tcBorders>
            <w:vAlign w:val="center"/>
          </w:tcPr>
          <w:p w14:paraId="5D09BCF6">
            <w:pPr>
              <w:pStyle w:val="129"/>
              <w:rPr>
                <w:rFonts w:hint="eastAsia"/>
                <w:color w:val="000000"/>
                <w:sz w:val="21"/>
              </w:rPr>
            </w:pPr>
            <w:r>
              <w:rPr>
                <w:rFonts w:hint="eastAsia" w:ascii="Songti SC" w:hAnsi="Songti SC" w:eastAsia="Songti SC" w:cs="Songti SC"/>
                <w:color w:val="000000"/>
                <w:sz w:val="21"/>
              </w:rPr>
              <w:t>GYE-E10-T1111FCQ</w:t>
            </w:r>
          </w:p>
        </w:tc>
        <w:tc>
          <w:tcPr>
            <w:tcW w:w="652" w:type="pct"/>
            <w:tcBorders>
              <w:top w:val="single" w:color="auto" w:sz="4" w:space="0"/>
              <w:left w:val="nil"/>
              <w:bottom w:val="single" w:color="auto" w:sz="4" w:space="0"/>
              <w:right w:val="single" w:color="auto" w:sz="4" w:space="0"/>
            </w:tcBorders>
            <w:vAlign w:val="center"/>
          </w:tcPr>
          <w:p w14:paraId="59A30B5F">
            <w:pPr>
              <w:pStyle w:val="129"/>
              <w:rPr>
                <w:rFonts w:hint="eastAsia"/>
                <w:color w:val="000000"/>
                <w:sz w:val="21"/>
              </w:rPr>
            </w:pPr>
            <w:r>
              <w:rPr>
                <w:rFonts w:hint="eastAsia" w:ascii="Songti SC" w:hAnsi="Songti SC" w:eastAsia="Songti SC" w:cs="Songti SC"/>
                <w:color w:val="000000"/>
                <w:sz w:val="21"/>
              </w:rPr>
              <w:t>餐厅</w:t>
            </w:r>
          </w:p>
        </w:tc>
        <w:tc>
          <w:tcPr>
            <w:tcW w:w="902" w:type="pct"/>
            <w:tcBorders>
              <w:top w:val="single" w:color="auto" w:sz="4" w:space="0"/>
              <w:left w:val="nil"/>
              <w:bottom w:val="single" w:color="auto" w:sz="4" w:space="0"/>
              <w:right w:val="single" w:color="auto" w:sz="4" w:space="0"/>
            </w:tcBorders>
            <w:vAlign w:val="center"/>
          </w:tcPr>
          <w:p w14:paraId="5EF82BD4">
            <w:pPr>
              <w:pStyle w:val="129"/>
              <w:rPr>
                <w:rFonts w:hint="eastAsia"/>
                <w:color w:val="000000"/>
                <w:sz w:val="21"/>
              </w:rPr>
            </w:pPr>
            <w:r>
              <w:rPr>
                <w:rFonts w:hint="eastAsia" w:ascii="Songti SC" w:hAnsi="Songti SC" w:eastAsia="Songti SC" w:cs="Songti SC"/>
                <w:color w:val="000000"/>
                <w:sz w:val="21"/>
              </w:rPr>
              <w:t>2024年</w:t>
            </w:r>
          </w:p>
        </w:tc>
        <w:tc>
          <w:tcPr>
            <w:tcW w:w="430" w:type="pct"/>
            <w:tcBorders>
              <w:top w:val="single" w:color="auto" w:sz="4" w:space="0"/>
              <w:left w:val="nil"/>
              <w:bottom w:val="single" w:color="auto" w:sz="4" w:space="0"/>
              <w:right w:val="single" w:color="auto" w:sz="4" w:space="0"/>
            </w:tcBorders>
            <w:vAlign w:val="center"/>
          </w:tcPr>
          <w:p w14:paraId="71B64891">
            <w:pPr>
              <w:pStyle w:val="129"/>
              <w:rPr>
                <w:rFonts w:hint="eastAsia"/>
                <w:color w:val="000000"/>
                <w:sz w:val="21"/>
              </w:rPr>
            </w:pPr>
          </w:p>
        </w:tc>
      </w:tr>
      <w:tr w14:paraId="75521E87">
        <w:trPr>
          <w:trHeight w:val="454" w:hRule="atLeast"/>
          <w:jc w:val="center"/>
        </w:trPr>
        <w:tc>
          <w:tcPr>
            <w:tcW w:w="389" w:type="pct"/>
            <w:tcBorders>
              <w:top w:val="single" w:color="auto" w:sz="4" w:space="0"/>
              <w:left w:val="single" w:color="auto" w:sz="4" w:space="0"/>
              <w:bottom w:val="single" w:color="auto" w:sz="4" w:space="0"/>
              <w:right w:val="single" w:color="auto" w:sz="4" w:space="0"/>
            </w:tcBorders>
            <w:vAlign w:val="center"/>
          </w:tcPr>
          <w:p w14:paraId="304FF344">
            <w:pPr>
              <w:pStyle w:val="129"/>
              <w:rPr>
                <w:rFonts w:hint="eastAsia"/>
                <w:color w:val="000000"/>
                <w:sz w:val="21"/>
              </w:rPr>
            </w:pPr>
            <w:r>
              <w:rPr>
                <w:rFonts w:hint="eastAsia" w:ascii="Songti SC" w:hAnsi="Songti SC" w:eastAsia="Songti SC" w:cs="Songti SC"/>
                <w:color w:val="000000"/>
                <w:sz w:val="21"/>
              </w:rPr>
              <w:t>15</w:t>
            </w:r>
          </w:p>
        </w:tc>
        <w:tc>
          <w:tcPr>
            <w:tcW w:w="791" w:type="pct"/>
            <w:tcBorders>
              <w:top w:val="single" w:color="auto" w:sz="4" w:space="0"/>
              <w:left w:val="nil"/>
              <w:bottom w:val="single" w:color="auto" w:sz="4" w:space="0"/>
              <w:right w:val="single" w:color="auto" w:sz="4" w:space="0"/>
            </w:tcBorders>
            <w:vAlign w:val="center"/>
          </w:tcPr>
          <w:p w14:paraId="063435D3">
            <w:pPr>
              <w:pStyle w:val="129"/>
              <w:rPr>
                <w:rFonts w:hint="eastAsia"/>
                <w:color w:val="000000"/>
                <w:sz w:val="21"/>
              </w:rPr>
            </w:pPr>
            <w:r>
              <w:rPr>
                <w:rFonts w:hint="eastAsia" w:ascii="Songti SC" w:hAnsi="Songti SC" w:eastAsia="Songti SC" w:cs="Songti SC"/>
                <w:color w:val="000000"/>
                <w:sz w:val="21"/>
              </w:rPr>
              <w:t>民政局</w:t>
            </w:r>
          </w:p>
        </w:tc>
        <w:tc>
          <w:tcPr>
            <w:tcW w:w="666" w:type="pct"/>
            <w:tcBorders>
              <w:top w:val="single" w:color="auto" w:sz="4" w:space="0"/>
              <w:left w:val="nil"/>
              <w:bottom w:val="single" w:color="auto" w:sz="4" w:space="0"/>
              <w:right w:val="single" w:color="auto" w:sz="4" w:space="0"/>
            </w:tcBorders>
            <w:vAlign w:val="center"/>
          </w:tcPr>
          <w:p w14:paraId="1C018305">
            <w:pPr>
              <w:pStyle w:val="129"/>
              <w:rPr>
                <w:rFonts w:hint="eastAsia"/>
                <w:color w:val="000000"/>
                <w:sz w:val="21"/>
              </w:rPr>
            </w:pPr>
            <w:r>
              <w:rPr>
                <w:rFonts w:hint="eastAsia" w:ascii="Songti SC" w:hAnsi="Songti SC" w:eastAsia="Songti SC" w:cs="Songti SC"/>
                <w:color w:val="000000"/>
                <w:sz w:val="21"/>
              </w:rPr>
              <w:t>消费机</w:t>
            </w:r>
          </w:p>
        </w:tc>
        <w:tc>
          <w:tcPr>
            <w:tcW w:w="458" w:type="pct"/>
            <w:tcBorders>
              <w:top w:val="single" w:color="auto" w:sz="4" w:space="0"/>
              <w:left w:val="nil"/>
              <w:bottom w:val="single" w:color="auto" w:sz="4" w:space="0"/>
              <w:right w:val="single" w:color="auto" w:sz="4" w:space="0"/>
            </w:tcBorders>
            <w:vAlign w:val="center"/>
          </w:tcPr>
          <w:p w14:paraId="010C2678">
            <w:pPr>
              <w:pStyle w:val="129"/>
              <w:rPr>
                <w:rFonts w:hint="eastAsia"/>
                <w:color w:val="000000"/>
                <w:sz w:val="21"/>
              </w:rPr>
            </w:pPr>
            <w:r>
              <w:rPr>
                <w:rFonts w:hint="eastAsia" w:ascii="Songti SC" w:hAnsi="Songti SC" w:eastAsia="Songti SC" w:cs="Songti SC"/>
                <w:color w:val="000000"/>
                <w:sz w:val="21"/>
              </w:rPr>
              <w:t>2</w:t>
            </w:r>
          </w:p>
        </w:tc>
        <w:tc>
          <w:tcPr>
            <w:tcW w:w="712" w:type="pct"/>
            <w:tcBorders>
              <w:top w:val="single" w:color="auto" w:sz="4" w:space="0"/>
              <w:left w:val="nil"/>
              <w:bottom w:val="single" w:color="auto" w:sz="4" w:space="0"/>
              <w:right w:val="single" w:color="auto" w:sz="4" w:space="0"/>
            </w:tcBorders>
            <w:vAlign w:val="center"/>
          </w:tcPr>
          <w:p w14:paraId="4A2C804B">
            <w:pPr>
              <w:pStyle w:val="129"/>
              <w:rPr>
                <w:rFonts w:hint="eastAsia"/>
                <w:color w:val="000000"/>
                <w:sz w:val="21"/>
              </w:rPr>
            </w:pPr>
            <w:r>
              <w:rPr>
                <w:rFonts w:hint="eastAsia" w:ascii="Songti SC" w:hAnsi="Songti SC" w:eastAsia="Songti SC" w:cs="Songti SC"/>
                <w:color w:val="000000"/>
                <w:sz w:val="21"/>
              </w:rPr>
              <w:t>GYE-F10-A08FCQ</w:t>
            </w:r>
          </w:p>
        </w:tc>
        <w:tc>
          <w:tcPr>
            <w:tcW w:w="652" w:type="pct"/>
            <w:tcBorders>
              <w:top w:val="single" w:color="auto" w:sz="4" w:space="0"/>
              <w:left w:val="nil"/>
              <w:bottom w:val="single" w:color="auto" w:sz="4" w:space="0"/>
              <w:right w:val="single" w:color="auto" w:sz="4" w:space="0"/>
            </w:tcBorders>
            <w:vAlign w:val="center"/>
          </w:tcPr>
          <w:p w14:paraId="284287A7">
            <w:pPr>
              <w:pStyle w:val="129"/>
              <w:rPr>
                <w:rFonts w:hint="eastAsia"/>
                <w:color w:val="000000"/>
                <w:sz w:val="21"/>
              </w:rPr>
            </w:pPr>
            <w:r>
              <w:rPr>
                <w:rFonts w:hint="eastAsia" w:ascii="Songti SC" w:hAnsi="Songti SC" w:eastAsia="Songti SC" w:cs="Songti SC"/>
                <w:color w:val="000000"/>
                <w:sz w:val="21"/>
              </w:rPr>
              <w:t>餐厅</w:t>
            </w:r>
          </w:p>
        </w:tc>
        <w:tc>
          <w:tcPr>
            <w:tcW w:w="902" w:type="pct"/>
            <w:tcBorders>
              <w:top w:val="single" w:color="auto" w:sz="4" w:space="0"/>
              <w:left w:val="nil"/>
              <w:bottom w:val="single" w:color="auto" w:sz="4" w:space="0"/>
              <w:right w:val="single" w:color="auto" w:sz="4" w:space="0"/>
            </w:tcBorders>
            <w:vAlign w:val="center"/>
          </w:tcPr>
          <w:p w14:paraId="1B5ADEC6">
            <w:pPr>
              <w:pStyle w:val="129"/>
              <w:rPr>
                <w:rFonts w:hint="eastAsia"/>
                <w:color w:val="000000"/>
                <w:sz w:val="21"/>
              </w:rPr>
            </w:pPr>
            <w:r>
              <w:rPr>
                <w:rFonts w:hint="eastAsia" w:ascii="Songti SC" w:hAnsi="Songti SC" w:eastAsia="Songti SC" w:cs="Songti SC"/>
                <w:color w:val="000000"/>
                <w:sz w:val="21"/>
              </w:rPr>
              <w:t>2025年</w:t>
            </w:r>
          </w:p>
        </w:tc>
        <w:tc>
          <w:tcPr>
            <w:tcW w:w="430" w:type="pct"/>
            <w:tcBorders>
              <w:top w:val="single" w:color="auto" w:sz="4" w:space="0"/>
              <w:left w:val="nil"/>
              <w:bottom w:val="single" w:color="auto" w:sz="4" w:space="0"/>
              <w:right w:val="single" w:color="auto" w:sz="4" w:space="0"/>
            </w:tcBorders>
            <w:vAlign w:val="center"/>
          </w:tcPr>
          <w:p w14:paraId="082101E3">
            <w:pPr>
              <w:pStyle w:val="129"/>
              <w:rPr>
                <w:rFonts w:hint="eastAsia"/>
                <w:color w:val="000000"/>
                <w:sz w:val="21"/>
              </w:rPr>
            </w:pPr>
          </w:p>
        </w:tc>
      </w:tr>
      <w:tr w14:paraId="0263146C">
        <w:trPr>
          <w:trHeight w:val="454" w:hRule="atLeast"/>
          <w:jc w:val="center"/>
        </w:trPr>
        <w:tc>
          <w:tcPr>
            <w:tcW w:w="389" w:type="pct"/>
            <w:tcBorders>
              <w:top w:val="single" w:color="auto" w:sz="4" w:space="0"/>
              <w:left w:val="single" w:color="auto" w:sz="4" w:space="0"/>
              <w:bottom w:val="single" w:color="auto" w:sz="4" w:space="0"/>
              <w:right w:val="single" w:color="auto" w:sz="4" w:space="0"/>
            </w:tcBorders>
            <w:vAlign w:val="center"/>
          </w:tcPr>
          <w:p w14:paraId="6A6A22AB">
            <w:pPr>
              <w:pStyle w:val="129"/>
              <w:rPr>
                <w:rFonts w:hint="eastAsia"/>
                <w:color w:val="000000"/>
                <w:sz w:val="21"/>
              </w:rPr>
            </w:pPr>
            <w:r>
              <w:rPr>
                <w:rFonts w:hint="eastAsia" w:ascii="Songti SC" w:hAnsi="Songti SC" w:eastAsia="Songti SC" w:cs="Songti SC"/>
                <w:color w:val="000000"/>
                <w:sz w:val="21"/>
              </w:rPr>
              <w:t>16</w:t>
            </w:r>
          </w:p>
        </w:tc>
        <w:tc>
          <w:tcPr>
            <w:tcW w:w="791" w:type="pct"/>
            <w:tcBorders>
              <w:top w:val="single" w:color="auto" w:sz="4" w:space="0"/>
              <w:left w:val="nil"/>
              <w:bottom w:val="single" w:color="auto" w:sz="4" w:space="0"/>
              <w:right w:val="single" w:color="auto" w:sz="4" w:space="0"/>
            </w:tcBorders>
            <w:vAlign w:val="center"/>
          </w:tcPr>
          <w:p w14:paraId="04C0DD41">
            <w:pPr>
              <w:pStyle w:val="129"/>
              <w:rPr>
                <w:rFonts w:hint="eastAsia"/>
                <w:color w:val="000000"/>
                <w:sz w:val="21"/>
              </w:rPr>
            </w:pPr>
            <w:r>
              <w:rPr>
                <w:rFonts w:hint="eastAsia" w:ascii="Songti SC" w:hAnsi="Songti SC" w:eastAsia="Songti SC" w:cs="Songti SC"/>
                <w:color w:val="000000"/>
                <w:sz w:val="21"/>
              </w:rPr>
              <w:t>区政协</w:t>
            </w:r>
          </w:p>
        </w:tc>
        <w:tc>
          <w:tcPr>
            <w:tcW w:w="666" w:type="pct"/>
            <w:tcBorders>
              <w:top w:val="single" w:color="auto" w:sz="4" w:space="0"/>
              <w:left w:val="nil"/>
              <w:bottom w:val="single" w:color="auto" w:sz="4" w:space="0"/>
              <w:right w:val="single" w:color="auto" w:sz="4" w:space="0"/>
            </w:tcBorders>
            <w:vAlign w:val="center"/>
          </w:tcPr>
          <w:p w14:paraId="75F4C600">
            <w:pPr>
              <w:pStyle w:val="129"/>
              <w:rPr>
                <w:rFonts w:hint="eastAsia"/>
                <w:color w:val="000000"/>
                <w:sz w:val="21"/>
              </w:rPr>
            </w:pPr>
            <w:r>
              <w:rPr>
                <w:rFonts w:hint="eastAsia" w:ascii="Songti SC" w:hAnsi="Songti SC" w:eastAsia="Songti SC" w:cs="Songti SC"/>
                <w:color w:val="000000"/>
                <w:sz w:val="21"/>
              </w:rPr>
              <w:t>消费机</w:t>
            </w:r>
          </w:p>
        </w:tc>
        <w:tc>
          <w:tcPr>
            <w:tcW w:w="458" w:type="pct"/>
            <w:tcBorders>
              <w:top w:val="single" w:color="auto" w:sz="4" w:space="0"/>
              <w:left w:val="nil"/>
              <w:bottom w:val="single" w:color="auto" w:sz="4" w:space="0"/>
              <w:right w:val="single" w:color="auto" w:sz="4" w:space="0"/>
            </w:tcBorders>
            <w:vAlign w:val="center"/>
          </w:tcPr>
          <w:p w14:paraId="4A5CE177">
            <w:pPr>
              <w:pStyle w:val="129"/>
              <w:rPr>
                <w:rFonts w:hint="eastAsia"/>
                <w:color w:val="000000"/>
                <w:sz w:val="21"/>
              </w:rPr>
            </w:pPr>
            <w:r>
              <w:rPr>
                <w:rFonts w:hint="eastAsia" w:ascii="Songti SC" w:hAnsi="Songti SC" w:eastAsia="Songti SC" w:cs="Songti SC"/>
                <w:color w:val="000000"/>
                <w:sz w:val="21"/>
              </w:rPr>
              <w:t>1</w:t>
            </w:r>
          </w:p>
        </w:tc>
        <w:tc>
          <w:tcPr>
            <w:tcW w:w="712" w:type="pct"/>
            <w:tcBorders>
              <w:top w:val="single" w:color="auto" w:sz="4" w:space="0"/>
              <w:left w:val="nil"/>
              <w:bottom w:val="single" w:color="auto" w:sz="4" w:space="0"/>
              <w:right w:val="single" w:color="auto" w:sz="4" w:space="0"/>
            </w:tcBorders>
            <w:vAlign w:val="center"/>
          </w:tcPr>
          <w:p w14:paraId="6842689F">
            <w:pPr>
              <w:pStyle w:val="129"/>
              <w:rPr>
                <w:rFonts w:hint="eastAsia"/>
                <w:color w:val="000000"/>
                <w:sz w:val="21"/>
              </w:rPr>
            </w:pPr>
            <w:r>
              <w:rPr>
                <w:rFonts w:hint="eastAsia" w:ascii="Songti SC" w:hAnsi="Songti SC" w:eastAsia="Songti SC" w:cs="Songti SC"/>
                <w:color w:val="000000"/>
                <w:sz w:val="21"/>
              </w:rPr>
              <w:t>GYE-E10-T1007FCQ</w:t>
            </w:r>
          </w:p>
        </w:tc>
        <w:tc>
          <w:tcPr>
            <w:tcW w:w="652" w:type="pct"/>
            <w:tcBorders>
              <w:top w:val="single" w:color="auto" w:sz="4" w:space="0"/>
              <w:left w:val="nil"/>
              <w:bottom w:val="single" w:color="auto" w:sz="4" w:space="0"/>
              <w:right w:val="single" w:color="auto" w:sz="4" w:space="0"/>
            </w:tcBorders>
            <w:vAlign w:val="center"/>
          </w:tcPr>
          <w:p w14:paraId="56B48629">
            <w:pPr>
              <w:pStyle w:val="129"/>
              <w:rPr>
                <w:rFonts w:hint="eastAsia"/>
                <w:color w:val="000000"/>
                <w:sz w:val="21"/>
              </w:rPr>
            </w:pPr>
            <w:r>
              <w:rPr>
                <w:rFonts w:hint="eastAsia" w:ascii="Songti SC" w:hAnsi="Songti SC" w:eastAsia="Songti SC" w:cs="Songti SC"/>
                <w:color w:val="000000"/>
                <w:sz w:val="21"/>
              </w:rPr>
              <w:t>餐厅</w:t>
            </w:r>
          </w:p>
        </w:tc>
        <w:tc>
          <w:tcPr>
            <w:tcW w:w="902" w:type="pct"/>
            <w:tcBorders>
              <w:top w:val="single" w:color="auto" w:sz="4" w:space="0"/>
              <w:left w:val="nil"/>
              <w:bottom w:val="single" w:color="auto" w:sz="4" w:space="0"/>
              <w:right w:val="single" w:color="auto" w:sz="4" w:space="0"/>
            </w:tcBorders>
            <w:vAlign w:val="center"/>
          </w:tcPr>
          <w:p w14:paraId="668BAA09">
            <w:pPr>
              <w:pStyle w:val="129"/>
              <w:rPr>
                <w:rFonts w:hint="eastAsia"/>
                <w:color w:val="000000"/>
                <w:sz w:val="21"/>
              </w:rPr>
            </w:pPr>
            <w:r>
              <w:rPr>
                <w:rFonts w:hint="eastAsia" w:ascii="Songti SC" w:hAnsi="Songti SC" w:eastAsia="Songti SC" w:cs="Songti SC"/>
                <w:color w:val="000000"/>
                <w:sz w:val="21"/>
              </w:rPr>
              <w:t>2025年</w:t>
            </w:r>
          </w:p>
        </w:tc>
        <w:tc>
          <w:tcPr>
            <w:tcW w:w="430" w:type="pct"/>
            <w:tcBorders>
              <w:top w:val="single" w:color="auto" w:sz="4" w:space="0"/>
              <w:left w:val="nil"/>
              <w:bottom w:val="single" w:color="auto" w:sz="4" w:space="0"/>
              <w:right w:val="single" w:color="auto" w:sz="4" w:space="0"/>
            </w:tcBorders>
            <w:vAlign w:val="center"/>
          </w:tcPr>
          <w:p w14:paraId="1706FEA1">
            <w:pPr>
              <w:pStyle w:val="129"/>
              <w:rPr>
                <w:rFonts w:hint="eastAsia"/>
                <w:color w:val="000000"/>
                <w:sz w:val="21"/>
              </w:rPr>
            </w:pPr>
          </w:p>
        </w:tc>
      </w:tr>
      <w:tr w14:paraId="056F4ECD">
        <w:trPr>
          <w:trHeight w:val="454" w:hRule="atLeast"/>
          <w:jc w:val="center"/>
        </w:trPr>
        <w:tc>
          <w:tcPr>
            <w:tcW w:w="389" w:type="pct"/>
            <w:tcBorders>
              <w:top w:val="single" w:color="auto" w:sz="4" w:space="0"/>
              <w:left w:val="single" w:color="auto" w:sz="4" w:space="0"/>
              <w:bottom w:val="single" w:color="auto" w:sz="4" w:space="0"/>
              <w:right w:val="single" w:color="auto" w:sz="4" w:space="0"/>
            </w:tcBorders>
            <w:vAlign w:val="center"/>
          </w:tcPr>
          <w:p w14:paraId="2E1333F9">
            <w:pPr>
              <w:pStyle w:val="129"/>
              <w:rPr>
                <w:rFonts w:hint="eastAsia"/>
                <w:color w:val="000000"/>
                <w:sz w:val="21"/>
              </w:rPr>
            </w:pPr>
            <w:r>
              <w:rPr>
                <w:rFonts w:hint="eastAsia" w:ascii="Songti SC" w:hAnsi="Songti SC" w:eastAsia="Songti SC" w:cs="Songti SC"/>
                <w:color w:val="000000"/>
                <w:sz w:val="21"/>
              </w:rPr>
              <w:t>17</w:t>
            </w:r>
          </w:p>
        </w:tc>
        <w:tc>
          <w:tcPr>
            <w:tcW w:w="791" w:type="pct"/>
            <w:tcBorders>
              <w:top w:val="single" w:color="auto" w:sz="4" w:space="0"/>
              <w:left w:val="nil"/>
              <w:bottom w:val="single" w:color="auto" w:sz="4" w:space="0"/>
              <w:right w:val="single" w:color="auto" w:sz="4" w:space="0"/>
            </w:tcBorders>
            <w:vAlign w:val="center"/>
          </w:tcPr>
          <w:p w14:paraId="31BDAEE7">
            <w:pPr>
              <w:pStyle w:val="129"/>
              <w:rPr>
                <w:rFonts w:hint="eastAsia"/>
                <w:color w:val="000000"/>
                <w:sz w:val="21"/>
              </w:rPr>
            </w:pPr>
            <w:r>
              <w:rPr>
                <w:rFonts w:hint="eastAsia" w:ascii="Songti SC" w:hAnsi="Songti SC" w:eastAsia="Songti SC" w:cs="Songti SC"/>
                <w:color w:val="000000"/>
                <w:sz w:val="21"/>
              </w:rPr>
              <w:t>第八办公区</w:t>
            </w:r>
          </w:p>
        </w:tc>
        <w:tc>
          <w:tcPr>
            <w:tcW w:w="666" w:type="pct"/>
            <w:tcBorders>
              <w:top w:val="single" w:color="auto" w:sz="4" w:space="0"/>
              <w:left w:val="nil"/>
              <w:bottom w:val="single" w:color="auto" w:sz="4" w:space="0"/>
              <w:right w:val="single" w:color="auto" w:sz="4" w:space="0"/>
            </w:tcBorders>
            <w:vAlign w:val="center"/>
          </w:tcPr>
          <w:p w14:paraId="54EB9D6C">
            <w:pPr>
              <w:pStyle w:val="129"/>
              <w:rPr>
                <w:rFonts w:hint="eastAsia"/>
                <w:color w:val="000000"/>
                <w:sz w:val="21"/>
              </w:rPr>
            </w:pPr>
            <w:r>
              <w:rPr>
                <w:rFonts w:hint="eastAsia" w:ascii="Songti SC" w:hAnsi="Songti SC" w:eastAsia="Songti SC" w:cs="Songti SC"/>
                <w:color w:val="000000"/>
                <w:sz w:val="21"/>
              </w:rPr>
              <w:t>消费机</w:t>
            </w:r>
          </w:p>
        </w:tc>
        <w:tc>
          <w:tcPr>
            <w:tcW w:w="458" w:type="pct"/>
            <w:tcBorders>
              <w:top w:val="single" w:color="auto" w:sz="4" w:space="0"/>
              <w:left w:val="nil"/>
              <w:bottom w:val="single" w:color="auto" w:sz="4" w:space="0"/>
              <w:right w:val="single" w:color="auto" w:sz="4" w:space="0"/>
            </w:tcBorders>
            <w:vAlign w:val="center"/>
          </w:tcPr>
          <w:p w14:paraId="6E031957">
            <w:pPr>
              <w:pStyle w:val="129"/>
              <w:rPr>
                <w:rFonts w:hint="eastAsia"/>
                <w:color w:val="000000"/>
                <w:sz w:val="21"/>
              </w:rPr>
            </w:pPr>
            <w:r>
              <w:rPr>
                <w:rFonts w:hint="eastAsia" w:ascii="Songti SC" w:hAnsi="Songti SC" w:eastAsia="Songti SC" w:cs="Songti SC"/>
                <w:color w:val="000000"/>
                <w:sz w:val="21"/>
              </w:rPr>
              <w:t>1</w:t>
            </w:r>
          </w:p>
        </w:tc>
        <w:tc>
          <w:tcPr>
            <w:tcW w:w="712" w:type="pct"/>
            <w:tcBorders>
              <w:top w:val="single" w:color="auto" w:sz="4" w:space="0"/>
              <w:left w:val="nil"/>
              <w:bottom w:val="single" w:color="auto" w:sz="4" w:space="0"/>
              <w:right w:val="single" w:color="auto" w:sz="4" w:space="0"/>
            </w:tcBorders>
            <w:vAlign w:val="center"/>
          </w:tcPr>
          <w:p w14:paraId="07F00809">
            <w:pPr>
              <w:pStyle w:val="129"/>
              <w:rPr>
                <w:rFonts w:hint="eastAsia"/>
                <w:color w:val="000000"/>
                <w:sz w:val="21"/>
              </w:rPr>
            </w:pPr>
            <w:r>
              <w:rPr>
                <w:rFonts w:hint="eastAsia" w:ascii="Songti SC" w:hAnsi="Songti SC" w:eastAsia="Songti SC" w:cs="Songti SC"/>
                <w:color w:val="000000"/>
                <w:sz w:val="21"/>
              </w:rPr>
              <w:t>GYE-E10-T1007FCQ</w:t>
            </w:r>
          </w:p>
        </w:tc>
        <w:tc>
          <w:tcPr>
            <w:tcW w:w="652" w:type="pct"/>
            <w:tcBorders>
              <w:top w:val="single" w:color="auto" w:sz="4" w:space="0"/>
              <w:left w:val="nil"/>
              <w:bottom w:val="single" w:color="auto" w:sz="4" w:space="0"/>
              <w:right w:val="single" w:color="auto" w:sz="4" w:space="0"/>
            </w:tcBorders>
            <w:vAlign w:val="center"/>
          </w:tcPr>
          <w:p w14:paraId="1E70E443">
            <w:pPr>
              <w:pStyle w:val="129"/>
              <w:rPr>
                <w:rFonts w:hint="eastAsia"/>
                <w:color w:val="000000"/>
                <w:sz w:val="21"/>
              </w:rPr>
            </w:pPr>
            <w:r>
              <w:rPr>
                <w:rFonts w:hint="eastAsia" w:ascii="Songti SC" w:hAnsi="Songti SC" w:eastAsia="Songti SC" w:cs="Songti SC"/>
                <w:color w:val="000000"/>
                <w:sz w:val="21"/>
              </w:rPr>
              <w:t>餐厅</w:t>
            </w:r>
          </w:p>
        </w:tc>
        <w:tc>
          <w:tcPr>
            <w:tcW w:w="902" w:type="pct"/>
            <w:tcBorders>
              <w:top w:val="single" w:color="auto" w:sz="4" w:space="0"/>
              <w:left w:val="nil"/>
              <w:bottom w:val="single" w:color="auto" w:sz="4" w:space="0"/>
              <w:right w:val="single" w:color="auto" w:sz="4" w:space="0"/>
            </w:tcBorders>
            <w:vAlign w:val="center"/>
          </w:tcPr>
          <w:p w14:paraId="6BF1B182">
            <w:pPr>
              <w:pStyle w:val="129"/>
              <w:rPr>
                <w:rFonts w:hint="eastAsia"/>
                <w:color w:val="000000"/>
                <w:sz w:val="21"/>
              </w:rPr>
            </w:pPr>
            <w:r>
              <w:rPr>
                <w:rFonts w:hint="eastAsia" w:ascii="Songti SC" w:hAnsi="Songti SC" w:eastAsia="Songti SC" w:cs="Songti SC"/>
                <w:color w:val="000000"/>
                <w:sz w:val="21"/>
              </w:rPr>
              <w:t>2025年</w:t>
            </w:r>
          </w:p>
        </w:tc>
        <w:tc>
          <w:tcPr>
            <w:tcW w:w="430" w:type="pct"/>
            <w:tcBorders>
              <w:top w:val="single" w:color="auto" w:sz="4" w:space="0"/>
              <w:left w:val="nil"/>
              <w:bottom w:val="single" w:color="auto" w:sz="4" w:space="0"/>
              <w:right w:val="single" w:color="auto" w:sz="4" w:space="0"/>
            </w:tcBorders>
            <w:vAlign w:val="center"/>
          </w:tcPr>
          <w:p w14:paraId="3233B9E5">
            <w:pPr>
              <w:pStyle w:val="129"/>
              <w:rPr>
                <w:rFonts w:hint="eastAsia"/>
                <w:color w:val="000000"/>
                <w:sz w:val="21"/>
              </w:rPr>
            </w:pPr>
          </w:p>
        </w:tc>
      </w:tr>
    </w:tbl>
    <w:p w14:paraId="1A2EC253">
      <w:pPr>
        <w:pStyle w:val="4"/>
        <w:rPr>
          <w:rFonts w:hint="eastAsia"/>
          <w:color w:val="000000"/>
        </w:rPr>
      </w:pPr>
      <w:bookmarkStart w:id="158" w:name="_Toc749050577"/>
      <w:bookmarkStart w:id="159" w:name="_Toc1754291181"/>
      <w:bookmarkStart w:id="160" w:name="_Toc23686"/>
      <w:bookmarkStart w:id="161" w:name="_Toc57705631"/>
      <w:bookmarkStart w:id="162" w:name="_Toc5957"/>
      <w:bookmarkStart w:id="163" w:name="_Toc37490899"/>
      <w:r>
        <w:rPr>
          <w:rFonts w:hint="eastAsia" w:ascii="Songti SC" w:hAnsi="Songti SC" w:eastAsia="Songti SC" w:cs="Songti SC"/>
          <w:color w:val="000000"/>
        </w:rPr>
        <w:t>系统基础软硬件现状</w:t>
      </w:r>
      <w:bookmarkEnd w:id="158"/>
      <w:bookmarkEnd w:id="159"/>
      <w:bookmarkEnd w:id="160"/>
      <w:bookmarkEnd w:id="161"/>
    </w:p>
    <w:p w14:paraId="0EE1B84E">
      <w:pPr>
        <w:pStyle w:val="5"/>
        <w:rPr>
          <w:rFonts w:hint="eastAsia"/>
          <w:color w:val="000000"/>
        </w:rPr>
      </w:pPr>
      <w:r>
        <w:rPr>
          <w:rFonts w:hint="eastAsia" w:ascii="Songti SC" w:hAnsi="Songti SC" w:eastAsia="Songti SC" w:cs="Songti SC"/>
          <w:color w:val="000000"/>
        </w:rPr>
        <w:t>系统部署情况</w:t>
      </w:r>
      <w:bookmarkEnd w:id="162"/>
    </w:p>
    <w:p w14:paraId="2292A1F5">
      <w:pPr>
        <w:ind w:firstLine="480"/>
        <w:rPr>
          <w:rFonts w:hint="eastAsia"/>
          <w:color w:val="000000"/>
          <w:lang w:bidi="en-US"/>
        </w:rPr>
        <w:sectPr>
          <w:footerReference r:id="rId14" w:type="default"/>
          <w:pgSz w:w="11906" w:h="16838"/>
          <w:pgMar w:top="1440" w:right="1800" w:bottom="1440" w:left="1800" w:header="851" w:footer="992" w:gutter="0"/>
          <w:cols w:space="425" w:num="1"/>
          <w:docGrid w:type="lines" w:linePitch="326" w:charSpace="0"/>
        </w:sectPr>
      </w:pPr>
    </w:p>
    <w:bookmarkEnd w:id="163"/>
    <w:p w14:paraId="04684D20">
      <w:pPr>
        <w:pStyle w:val="14"/>
        <w:spacing w:line="480" w:lineRule="auto"/>
        <w:rPr>
          <w:rFonts w:hint="eastAsia"/>
          <w:color w:val="000000"/>
        </w:rPr>
      </w:pPr>
      <w:r>
        <w:rPr>
          <w:rFonts w:hint="eastAsia" w:ascii="Songti SC" w:hAnsi="Songti SC" w:eastAsia="Songti SC" w:cs="Songti SC"/>
          <w:color w:val="000000"/>
        </w:rPr>
        <w:t>表</w:t>
      </w:r>
      <w:r>
        <w:rPr>
          <w:rFonts w:ascii="Songti SC" w:hAnsi="Songti SC" w:eastAsia="Songti SC" w:cs="Songti SC"/>
          <w:color w:val="000000"/>
        </w:rPr>
        <w:fldChar w:fldCharType="begin"/>
      </w:r>
      <w:r>
        <w:rPr>
          <w:rFonts w:ascii="Songti SC" w:hAnsi="Songti SC" w:eastAsia="Songti SC" w:cs="Songti SC"/>
          <w:color w:val="000000"/>
        </w:rPr>
        <w:instrText xml:space="preserve"> </w:instrText>
      </w:r>
      <w:r>
        <w:rPr>
          <w:rFonts w:hint="eastAsia" w:ascii="Songti SC" w:hAnsi="Songti SC" w:eastAsia="Songti SC" w:cs="Songti SC"/>
          <w:color w:val="000000"/>
        </w:rPr>
        <w:instrText xml:space="preserve">STYLEREF 1 \s</w:instrText>
      </w:r>
      <w:r>
        <w:rPr>
          <w:rFonts w:ascii="Songti SC" w:hAnsi="Songti SC" w:eastAsia="Songti SC" w:cs="Songti SC"/>
          <w:color w:val="000000"/>
        </w:rPr>
        <w:instrText xml:space="preserve"> </w:instrText>
      </w:r>
      <w:r>
        <w:rPr>
          <w:rFonts w:ascii="Songti SC" w:hAnsi="Songti SC" w:eastAsia="Songti SC" w:cs="Songti SC"/>
          <w:color w:val="000000"/>
        </w:rPr>
        <w:fldChar w:fldCharType="separate"/>
      </w:r>
      <w:r>
        <w:rPr>
          <w:rFonts w:hint="eastAsia" w:ascii="Songti SC" w:hAnsi="Songti SC" w:eastAsia="Songti SC" w:cs="Songti SC"/>
          <w:color w:val="000000"/>
        </w:rPr>
        <w:t>3</w:t>
      </w:r>
      <w:r>
        <w:rPr>
          <w:rFonts w:ascii="Songti SC" w:hAnsi="Songti SC" w:eastAsia="Songti SC" w:cs="Songti SC"/>
          <w:color w:val="000000"/>
        </w:rPr>
        <w:fldChar w:fldCharType="end"/>
      </w:r>
      <w:r>
        <w:rPr>
          <w:rFonts w:ascii="Songti SC" w:hAnsi="Songti SC" w:eastAsia="Songti SC" w:cs="Songti SC"/>
          <w:color w:val="000000"/>
        </w:rPr>
        <w:t>.</w:t>
      </w:r>
      <w:r>
        <w:rPr>
          <w:rFonts w:ascii="Songti SC" w:hAnsi="Songti SC" w:eastAsia="Songti SC" w:cs="Songti SC"/>
          <w:color w:val="000000"/>
        </w:rPr>
        <w:fldChar w:fldCharType="begin"/>
      </w:r>
      <w:r>
        <w:rPr>
          <w:rFonts w:ascii="Songti SC" w:hAnsi="Songti SC" w:eastAsia="Songti SC" w:cs="Songti SC"/>
          <w:color w:val="000000"/>
        </w:rPr>
        <w:instrText xml:space="preserve"> </w:instrText>
      </w:r>
      <w:r>
        <w:rPr>
          <w:rFonts w:hint="eastAsia" w:ascii="Songti SC" w:hAnsi="Songti SC" w:eastAsia="Songti SC" w:cs="Songti SC"/>
          <w:color w:val="000000"/>
        </w:rPr>
        <w:instrText xml:space="preserve">SEQ 表 \* ARABIC \s 1</w:instrText>
      </w:r>
      <w:r>
        <w:rPr>
          <w:rFonts w:ascii="Songti SC" w:hAnsi="Songti SC" w:eastAsia="Songti SC" w:cs="Songti SC"/>
          <w:color w:val="000000"/>
        </w:rPr>
        <w:instrText xml:space="preserve"> </w:instrText>
      </w:r>
      <w:r>
        <w:rPr>
          <w:rFonts w:ascii="Songti SC" w:hAnsi="Songti SC" w:eastAsia="Songti SC" w:cs="Songti SC"/>
          <w:color w:val="000000"/>
        </w:rPr>
        <w:fldChar w:fldCharType="separate"/>
      </w:r>
      <w:r>
        <w:rPr>
          <w:rFonts w:hint="eastAsia" w:ascii="Songti SC" w:hAnsi="Songti SC" w:eastAsia="Songti SC" w:cs="Songti SC"/>
          <w:color w:val="000000"/>
        </w:rPr>
        <w:t>2</w:t>
      </w:r>
      <w:r>
        <w:rPr>
          <w:rFonts w:ascii="Songti SC" w:hAnsi="Songti SC" w:eastAsia="Songti SC" w:cs="Songti SC"/>
          <w:color w:val="000000"/>
        </w:rPr>
        <w:fldChar w:fldCharType="end"/>
      </w:r>
      <w:r>
        <w:rPr>
          <w:rFonts w:hint="eastAsia" w:ascii="Songti SC" w:hAnsi="Songti SC" w:eastAsia="Songti SC" w:cs="Songti SC"/>
          <w:color w:val="000000"/>
        </w:rPr>
        <w:t>原系统业务承载与运行环境记录</w:t>
      </w:r>
    </w:p>
    <w:tbl>
      <w:tblPr>
        <w:tblStyle w:val="60"/>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6"/>
        <w:gridCol w:w="968"/>
        <w:gridCol w:w="987"/>
        <w:gridCol w:w="842"/>
        <w:gridCol w:w="695"/>
        <w:gridCol w:w="1003"/>
        <w:gridCol w:w="844"/>
        <w:gridCol w:w="989"/>
        <w:gridCol w:w="1135"/>
        <w:gridCol w:w="633"/>
      </w:tblGrid>
      <w:tr w14:paraId="68DCB5A0">
        <w:trPr>
          <w:trHeight w:val="560" w:hRule="atLeast"/>
          <w:tblHeader/>
        </w:trPr>
        <w:tc>
          <w:tcPr>
            <w:tcW w:w="257" w:type="pct"/>
            <w:vAlign w:val="center"/>
          </w:tcPr>
          <w:p w14:paraId="30636E5D">
            <w:pPr>
              <w:pStyle w:val="128"/>
              <w:rPr>
                <w:rFonts w:hint="eastAsia"/>
                <w:color w:val="000000"/>
                <w:sz w:val="21"/>
              </w:rPr>
            </w:pPr>
            <w:r>
              <w:rPr>
                <w:rFonts w:hint="eastAsia" w:ascii="Songti SC" w:hAnsi="Songti SC" w:eastAsia="Songti SC" w:cs="Songti SC"/>
                <w:color w:val="000000"/>
                <w:sz w:val="21"/>
              </w:rPr>
              <w:t>序号</w:t>
            </w:r>
          </w:p>
        </w:tc>
        <w:tc>
          <w:tcPr>
            <w:tcW w:w="597" w:type="pct"/>
            <w:vAlign w:val="center"/>
          </w:tcPr>
          <w:p w14:paraId="718D9FED">
            <w:pPr>
              <w:pStyle w:val="128"/>
              <w:rPr>
                <w:rFonts w:hint="eastAsia"/>
                <w:color w:val="000000"/>
                <w:sz w:val="21"/>
              </w:rPr>
            </w:pPr>
            <w:r>
              <w:rPr>
                <w:rFonts w:hint="eastAsia" w:ascii="Songti SC" w:hAnsi="Songti SC" w:eastAsia="Songti SC" w:cs="Songti SC"/>
                <w:color w:val="000000"/>
                <w:sz w:val="21"/>
              </w:rPr>
              <w:t>服务器名称</w:t>
            </w:r>
          </w:p>
        </w:tc>
        <w:tc>
          <w:tcPr>
            <w:tcW w:w="597" w:type="pct"/>
            <w:vAlign w:val="center"/>
          </w:tcPr>
          <w:p w14:paraId="613D4580">
            <w:pPr>
              <w:pStyle w:val="128"/>
              <w:rPr>
                <w:rFonts w:hint="eastAsia"/>
                <w:color w:val="000000"/>
                <w:sz w:val="21"/>
              </w:rPr>
            </w:pPr>
            <w:r>
              <w:rPr>
                <w:rFonts w:hint="eastAsia" w:ascii="Songti SC" w:hAnsi="Songti SC" w:eastAsia="Songti SC" w:cs="Songti SC"/>
                <w:color w:val="000000"/>
                <w:sz w:val="21"/>
              </w:rPr>
              <w:t>应用系统名称</w:t>
            </w:r>
          </w:p>
        </w:tc>
        <w:tc>
          <w:tcPr>
            <w:tcW w:w="512" w:type="pct"/>
            <w:vAlign w:val="center"/>
          </w:tcPr>
          <w:p w14:paraId="06A029D4">
            <w:pPr>
              <w:pStyle w:val="128"/>
              <w:rPr>
                <w:rFonts w:hint="eastAsia"/>
                <w:color w:val="000000"/>
                <w:sz w:val="21"/>
              </w:rPr>
            </w:pPr>
            <w:r>
              <w:rPr>
                <w:rFonts w:hint="eastAsia" w:ascii="Songti SC" w:hAnsi="Songti SC" w:eastAsia="Songti SC" w:cs="Songti SC"/>
                <w:color w:val="000000"/>
                <w:sz w:val="21"/>
              </w:rPr>
              <w:t>数据库系统</w:t>
            </w:r>
          </w:p>
        </w:tc>
        <w:tc>
          <w:tcPr>
            <w:tcW w:w="426" w:type="pct"/>
            <w:vAlign w:val="center"/>
          </w:tcPr>
          <w:p w14:paraId="497153D3">
            <w:pPr>
              <w:pStyle w:val="128"/>
              <w:rPr>
                <w:rFonts w:hint="eastAsia"/>
                <w:color w:val="000000"/>
                <w:sz w:val="21"/>
              </w:rPr>
            </w:pPr>
            <w:r>
              <w:rPr>
                <w:rFonts w:hint="eastAsia" w:ascii="Songti SC" w:hAnsi="Songti SC" w:eastAsia="Songti SC" w:cs="Songti SC"/>
                <w:color w:val="000000"/>
                <w:sz w:val="21"/>
              </w:rPr>
              <w:t>中间件</w:t>
            </w:r>
          </w:p>
        </w:tc>
        <w:tc>
          <w:tcPr>
            <w:tcW w:w="426" w:type="pct"/>
            <w:vAlign w:val="center"/>
          </w:tcPr>
          <w:p w14:paraId="1BA9AD21">
            <w:pPr>
              <w:pStyle w:val="128"/>
              <w:rPr>
                <w:rFonts w:hint="eastAsia"/>
                <w:color w:val="000000"/>
                <w:sz w:val="21"/>
              </w:rPr>
            </w:pPr>
            <w:r>
              <w:rPr>
                <w:rFonts w:hint="eastAsia" w:ascii="Songti SC" w:hAnsi="Songti SC" w:eastAsia="Songti SC" w:cs="Songti SC"/>
                <w:color w:val="000000"/>
                <w:sz w:val="21"/>
              </w:rPr>
              <w:t>操作系统</w:t>
            </w:r>
          </w:p>
        </w:tc>
        <w:tc>
          <w:tcPr>
            <w:tcW w:w="513" w:type="pct"/>
            <w:vAlign w:val="center"/>
          </w:tcPr>
          <w:p w14:paraId="57639EE8">
            <w:pPr>
              <w:pStyle w:val="128"/>
              <w:rPr>
                <w:rFonts w:hint="eastAsia"/>
                <w:color w:val="000000"/>
                <w:sz w:val="21"/>
              </w:rPr>
            </w:pPr>
            <w:r>
              <w:rPr>
                <w:rFonts w:hint="eastAsia" w:ascii="Songti SC" w:hAnsi="Songti SC" w:eastAsia="Songti SC" w:cs="Songti SC"/>
                <w:color w:val="000000"/>
                <w:sz w:val="21"/>
              </w:rPr>
              <w:t>服务器型号</w:t>
            </w:r>
          </w:p>
        </w:tc>
        <w:tc>
          <w:tcPr>
            <w:tcW w:w="598" w:type="pct"/>
            <w:vAlign w:val="center"/>
          </w:tcPr>
          <w:p w14:paraId="23D414E8">
            <w:pPr>
              <w:pStyle w:val="128"/>
              <w:rPr>
                <w:rFonts w:hint="eastAsia"/>
                <w:color w:val="000000"/>
                <w:sz w:val="21"/>
              </w:rPr>
            </w:pPr>
            <w:r>
              <w:rPr>
                <w:rFonts w:hint="eastAsia" w:ascii="Songti SC" w:hAnsi="Songti SC" w:eastAsia="Songti SC" w:cs="Songti SC"/>
                <w:color w:val="000000"/>
                <w:sz w:val="21"/>
              </w:rPr>
              <w:t>服务器数量</w:t>
            </w:r>
          </w:p>
        </w:tc>
        <w:tc>
          <w:tcPr>
            <w:tcW w:w="683" w:type="pct"/>
            <w:vAlign w:val="center"/>
          </w:tcPr>
          <w:p w14:paraId="1A32CDF8">
            <w:pPr>
              <w:pStyle w:val="128"/>
              <w:rPr>
                <w:rFonts w:hint="eastAsia"/>
                <w:color w:val="000000"/>
                <w:sz w:val="21"/>
              </w:rPr>
            </w:pPr>
            <w:r>
              <w:rPr>
                <w:rFonts w:hint="eastAsia" w:ascii="Songti SC" w:hAnsi="Songti SC" w:eastAsia="Songti SC" w:cs="Songti SC"/>
                <w:color w:val="000000"/>
                <w:sz w:val="21"/>
              </w:rPr>
              <w:t>主要参数配置</w:t>
            </w:r>
          </w:p>
        </w:tc>
        <w:tc>
          <w:tcPr>
            <w:tcW w:w="389" w:type="pct"/>
            <w:vAlign w:val="center"/>
          </w:tcPr>
          <w:p w14:paraId="2A1453B9">
            <w:pPr>
              <w:pStyle w:val="128"/>
              <w:rPr>
                <w:rFonts w:hint="eastAsia"/>
                <w:color w:val="000000"/>
                <w:sz w:val="21"/>
              </w:rPr>
            </w:pPr>
            <w:r>
              <w:rPr>
                <w:rFonts w:hint="eastAsia" w:ascii="Songti SC" w:hAnsi="Songti SC" w:eastAsia="Songti SC" w:cs="Songti SC"/>
                <w:color w:val="000000"/>
                <w:sz w:val="21"/>
              </w:rPr>
              <w:t>是否替换</w:t>
            </w:r>
          </w:p>
        </w:tc>
      </w:tr>
      <w:tr w14:paraId="6A20EC2D">
        <w:trPr>
          <w:trHeight w:val="560" w:hRule="atLeast"/>
        </w:trPr>
        <w:tc>
          <w:tcPr>
            <w:tcW w:w="257" w:type="pct"/>
            <w:vAlign w:val="center"/>
          </w:tcPr>
          <w:p w14:paraId="763097A9">
            <w:pPr>
              <w:pStyle w:val="129"/>
              <w:rPr>
                <w:rFonts w:hint="eastAsia"/>
                <w:color w:val="000000"/>
                <w:sz w:val="21"/>
              </w:rPr>
            </w:pPr>
            <w:r>
              <w:rPr>
                <w:rFonts w:hint="eastAsia" w:ascii="Songti SC" w:hAnsi="Songti SC" w:eastAsia="Songti SC" w:cs="Songti SC"/>
                <w:color w:val="000000"/>
                <w:sz w:val="21"/>
              </w:rPr>
              <w:t>1</w:t>
            </w:r>
          </w:p>
        </w:tc>
        <w:tc>
          <w:tcPr>
            <w:tcW w:w="597" w:type="pct"/>
            <w:vAlign w:val="center"/>
          </w:tcPr>
          <w:p w14:paraId="413714BF">
            <w:pPr>
              <w:pStyle w:val="129"/>
              <w:rPr>
                <w:rFonts w:hint="eastAsia"/>
                <w:color w:val="000000"/>
                <w:sz w:val="21"/>
              </w:rPr>
            </w:pPr>
            <w:r>
              <w:rPr>
                <w:rFonts w:hint="eastAsia" w:ascii="Songti SC" w:hAnsi="Songti SC" w:eastAsia="Songti SC" w:cs="Songti SC"/>
                <w:color w:val="000000"/>
                <w:sz w:val="21"/>
              </w:rPr>
              <w:t>食堂消费系统服务器</w:t>
            </w:r>
          </w:p>
        </w:tc>
        <w:tc>
          <w:tcPr>
            <w:tcW w:w="597" w:type="pct"/>
            <w:vAlign w:val="center"/>
          </w:tcPr>
          <w:p w14:paraId="7923C205">
            <w:pPr>
              <w:pStyle w:val="129"/>
              <w:rPr>
                <w:rFonts w:hint="eastAsia"/>
                <w:color w:val="000000"/>
                <w:sz w:val="21"/>
              </w:rPr>
            </w:pPr>
            <w:r>
              <w:rPr>
                <w:rFonts w:hint="eastAsia" w:ascii="Songti SC" w:hAnsi="Songti SC" w:eastAsia="Songti SC" w:cs="Songti SC"/>
                <w:color w:val="000000"/>
                <w:sz w:val="21"/>
              </w:rPr>
              <w:t>食堂消费系统</w:t>
            </w:r>
          </w:p>
        </w:tc>
        <w:tc>
          <w:tcPr>
            <w:tcW w:w="512" w:type="pct"/>
            <w:vAlign w:val="center"/>
          </w:tcPr>
          <w:p w14:paraId="6BD72377">
            <w:pPr>
              <w:pStyle w:val="129"/>
              <w:rPr>
                <w:rFonts w:hint="eastAsia"/>
                <w:color w:val="000000"/>
                <w:sz w:val="21"/>
              </w:rPr>
            </w:pPr>
            <w:r>
              <w:rPr>
                <w:rFonts w:hint="eastAsia" w:ascii="Songti SC" w:hAnsi="Songti SC" w:eastAsia="Songti SC" w:cs="Songti SC"/>
                <w:color w:val="000000"/>
                <w:sz w:val="21"/>
              </w:rPr>
              <w:t>SQL Server 2014</w:t>
            </w:r>
          </w:p>
        </w:tc>
        <w:tc>
          <w:tcPr>
            <w:tcW w:w="426" w:type="pct"/>
            <w:vAlign w:val="center"/>
          </w:tcPr>
          <w:p w14:paraId="37786A91">
            <w:pPr>
              <w:pStyle w:val="129"/>
              <w:rPr>
                <w:rFonts w:hint="eastAsia"/>
                <w:color w:val="000000"/>
                <w:sz w:val="21"/>
              </w:rPr>
            </w:pPr>
            <w:r>
              <w:rPr>
                <w:rFonts w:hint="eastAsia" w:ascii="Songti SC" w:hAnsi="Songti SC" w:eastAsia="Songti SC" w:cs="Songti SC"/>
                <w:color w:val="000000"/>
                <w:sz w:val="21"/>
              </w:rPr>
              <w:t>不据旧表推定</w:t>
            </w:r>
          </w:p>
        </w:tc>
        <w:tc>
          <w:tcPr>
            <w:tcW w:w="426" w:type="pct"/>
            <w:vAlign w:val="center"/>
          </w:tcPr>
          <w:p w14:paraId="219D0A87">
            <w:pPr>
              <w:pStyle w:val="129"/>
              <w:rPr>
                <w:rFonts w:hint="eastAsia"/>
                <w:color w:val="000000"/>
                <w:sz w:val="21"/>
              </w:rPr>
            </w:pPr>
            <w:r>
              <w:rPr>
                <w:rFonts w:hint="eastAsia" w:ascii="Songti SC" w:hAnsi="Songti SC" w:eastAsia="Songti SC" w:cs="Songti SC"/>
                <w:color w:val="000000"/>
                <w:sz w:val="21"/>
              </w:rPr>
              <w:t>Windows Server 2012</w:t>
            </w:r>
          </w:p>
        </w:tc>
        <w:tc>
          <w:tcPr>
            <w:tcW w:w="513" w:type="pct"/>
            <w:vAlign w:val="center"/>
          </w:tcPr>
          <w:p w14:paraId="20A9AC52">
            <w:pPr>
              <w:pStyle w:val="129"/>
              <w:rPr>
                <w:rFonts w:hint="eastAsia"/>
                <w:color w:val="000000"/>
                <w:sz w:val="21"/>
              </w:rPr>
            </w:pPr>
            <w:r>
              <w:rPr>
                <w:rFonts w:hint="eastAsia" w:ascii="Songti SC" w:hAnsi="Songti SC" w:eastAsia="Songti SC" w:cs="Songti SC"/>
                <w:color w:val="000000"/>
                <w:sz w:val="21"/>
              </w:rPr>
              <w:t>本地机房虚拟机</w:t>
            </w:r>
          </w:p>
        </w:tc>
        <w:tc>
          <w:tcPr>
            <w:tcW w:w="598" w:type="pct"/>
            <w:vAlign w:val="center"/>
          </w:tcPr>
          <w:p w14:paraId="28448003">
            <w:pPr>
              <w:pStyle w:val="129"/>
              <w:rPr>
                <w:rFonts w:hint="eastAsia"/>
                <w:color w:val="000000"/>
                <w:sz w:val="21"/>
              </w:rPr>
            </w:pPr>
            <w:r>
              <w:rPr>
                <w:rFonts w:hint="eastAsia" w:ascii="Songti SC" w:hAnsi="Songti SC" w:eastAsia="Songti SC" w:cs="Songti SC"/>
                <w:color w:val="000000"/>
                <w:sz w:val="21"/>
              </w:rPr>
              <w:t>不按旧虚机数计列</w:t>
            </w:r>
          </w:p>
        </w:tc>
        <w:tc>
          <w:tcPr>
            <w:tcW w:w="683" w:type="pct"/>
            <w:vAlign w:val="center"/>
          </w:tcPr>
          <w:p w14:paraId="66EFABBC">
            <w:pPr>
              <w:pStyle w:val="129"/>
              <w:rPr>
                <w:rFonts w:hint="eastAsia"/>
                <w:color w:val="000000"/>
                <w:sz w:val="21"/>
              </w:rPr>
            </w:pPr>
            <w:r>
              <w:rPr>
                <w:rFonts w:hint="eastAsia" w:ascii="Songti SC" w:hAnsi="Songti SC" w:eastAsia="Songti SC" w:cs="Songti SC"/>
                <w:color w:val="000000"/>
                <w:sz w:val="21"/>
              </w:rPr>
              <w:t>原配置不作为本期云资源测算基数</w:t>
            </w:r>
          </w:p>
        </w:tc>
        <w:tc>
          <w:tcPr>
            <w:tcW w:w="389" w:type="pct"/>
            <w:vAlign w:val="center"/>
          </w:tcPr>
          <w:p w14:paraId="139C316D">
            <w:pPr>
              <w:pStyle w:val="129"/>
              <w:rPr>
                <w:rFonts w:hint="eastAsia"/>
                <w:color w:val="000000"/>
                <w:sz w:val="21"/>
              </w:rPr>
            </w:pPr>
            <w:r>
              <w:rPr>
                <w:rFonts w:hint="eastAsia" w:ascii="Songti SC" w:hAnsi="Songti SC" w:eastAsia="Songti SC" w:cs="Songti SC"/>
                <w:color w:val="000000"/>
                <w:sz w:val="21"/>
              </w:rPr>
              <w:t>业务迁入目标云环境</w:t>
            </w:r>
          </w:p>
        </w:tc>
      </w:tr>
      <w:tr w14:paraId="274471B1">
        <w:trPr>
          <w:trHeight w:val="560" w:hRule="atLeast"/>
        </w:trPr>
        <w:tc>
          <w:tcPr>
            <w:tcW w:w="257" w:type="pct"/>
            <w:vAlign w:val="center"/>
          </w:tcPr>
          <w:p w14:paraId="0C11626D">
            <w:pPr>
              <w:pStyle w:val="129"/>
              <w:rPr>
                <w:rFonts w:hint="eastAsia"/>
                <w:color w:val="000000"/>
                <w:sz w:val="21"/>
              </w:rPr>
            </w:pPr>
            <w:r>
              <w:rPr>
                <w:rFonts w:hint="eastAsia" w:ascii="Songti SC" w:hAnsi="Songti SC" w:eastAsia="Songti SC" w:cs="Songti SC"/>
                <w:color w:val="000000"/>
                <w:sz w:val="21"/>
              </w:rPr>
              <w:t>2</w:t>
            </w:r>
          </w:p>
        </w:tc>
        <w:tc>
          <w:tcPr>
            <w:tcW w:w="597" w:type="pct"/>
            <w:vAlign w:val="center"/>
          </w:tcPr>
          <w:p w14:paraId="11F9AE8A">
            <w:pPr>
              <w:pStyle w:val="129"/>
              <w:rPr>
                <w:rFonts w:hint="eastAsia"/>
                <w:color w:val="000000"/>
                <w:sz w:val="21"/>
              </w:rPr>
            </w:pPr>
            <w:r>
              <w:rPr>
                <w:rFonts w:hint="eastAsia" w:ascii="Songti SC" w:hAnsi="Songti SC" w:eastAsia="Songti SC" w:cs="Songti SC"/>
                <w:color w:val="000000"/>
                <w:sz w:val="21"/>
              </w:rPr>
              <w:t>线上充值系统服务器</w:t>
            </w:r>
          </w:p>
        </w:tc>
        <w:tc>
          <w:tcPr>
            <w:tcW w:w="597" w:type="pct"/>
            <w:vAlign w:val="center"/>
          </w:tcPr>
          <w:p w14:paraId="32A9ADCA">
            <w:pPr>
              <w:pStyle w:val="129"/>
              <w:rPr>
                <w:rFonts w:hint="eastAsia"/>
                <w:color w:val="000000"/>
                <w:sz w:val="21"/>
              </w:rPr>
            </w:pPr>
            <w:r>
              <w:rPr>
                <w:rFonts w:hint="eastAsia" w:ascii="Songti SC" w:hAnsi="Songti SC" w:eastAsia="Songti SC" w:cs="Songti SC"/>
                <w:color w:val="000000"/>
                <w:sz w:val="21"/>
              </w:rPr>
              <w:t xml:space="preserve">线上充值系统对接 </w:t>
            </w:r>
          </w:p>
        </w:tc>
        <w:tc>
          <w:tcPr>
            <w:tcW w:w="512" w:type="pct"/>
            <w:vAlign w:val="center"/>
          </w:tcPr>
          <w:p w14:paraId="327CE710">
            <w:pPr>
              <w:pStyle w:val="129"/>
              <w:rPr>
                <w:rFonts w:hint="eastAsia"/>
                <w:color w:val="000000"/>
                <w:sz w:val="21"/>
              </w:rPr>
            </w:pPr>
            <w:r>
              <w:rPr>
                <w:rFonts w:hint="eastAsia" w:ascii="Songti SC" w:hAnsi="Songti SC" w:eastAsia="Songti SC" w:cs="Songti SC"/>
                <w:color w:val="000000"/>
                <w:sz w:val="21"/>
              </w:rPr>
              <w:t>SQL Server 2014</w:t>
            </w:r>
          </w:p>
        </w:tc>
        <w:tc>
          <w:tcPr>
            <w:tcW w:w="426" w:type="pct"/>
            <w:vAlign w:val="center"/>
          </w:tcPr>
          <w:p w14:paraId="7CB931FE">
            <w:pPr>
              <w:pStyle w:val="129"/>
              <w:rPr>
                <w:rFonts w:hint="eastAsia"/>
                <w:color w:val="000000"/>
                <w:sz w:val="21"/>
              </w:rPr>
            </w:pPr>
            <w:r>
              <w:rPr>
                <w:rFonts w:hint="eastAsia" w:ascii="Songti SC" w:hAnsi="Songti SC" w:eastAsia="Songti SC" w:cs="Songti SC"/>
                <w:color w:val="000000"/>
                <w:sz w:val="21"/>
              </w:rPr>
              <w:t>不据旧表推定</w:t>
            </w:r>
          </w:p>
        </w:tc>
        <w:tc>
          <w:tcPr>
            <w:tcW w:w="426" w:type="pct"/>
            <w:vAlign w:val="center"/>
          </w:tcPr>
          <w:p w14:paraId="67BFCDAA">
            <w:pPr>
              <w:pStyle w:val="129"/>
              <w:rPr>
                <w:rFonts w:hint="eastAsia"/>
                <w:color w:val="000000"/>
                <w:sz w:val="21"/>
              </w:rPr>
            </w:pPr>
            <w:r>
              <w:rPr>
                <w:rFonts w:hint="eastAsia" w:ascii="Songti SC" w:hAnsi="Songti SC" w:eastAsia="Songti SC" w:cs="Songti SC"/>
                <w:color w:val="000000"/>
                <w:sz w:val="21"/>
              </w:rPr>
              <w:t>Windows Server 2012</w:t>
            </w:r>
          </w:p>
        </w:tc>
        <w:tc>
          <w:tcPr>
            <w:tcW w:w="513" w:type="pct"/>
            <w:vAlign w:val="center"/>
          </w:tcPr>
          <w:p w14:paraId="4441DE48">
            <w:pPr>
              <w:pStyle w:val="129"/>
              <w:rPr>
                <w:rFonts w:hint="eastAsia"/>
                <w:color w:val="000000"/>
                <w:sz w:val="21"/>
              </w:rPr>
            </w:pPr>
            <w:r>
              <w:rPr>
                <w:rFonts w:hint="eastAsia" w:ascii="Songti SC" w:hAnsi="Songti SC" w:eastAsia="Songti SC" w:cs="Songti SC"/>
                <w:color w:val="000000"/>
                <w:sz w:val="21"/>
              </w:rPr>
              <w:t>本地机房虚拟机</w:t>
            </w:r>
          </w:p>
        </w:tc>
        <w:tc>
          <w:tcPr>
            <w:tcW w:w="598" w:type="pct"/>
            <w:vAlign w:val="center"/>
          </w:tcPr>
          <w:p w14:paraId="2DF93CBC">
            <w:pPr>
              <w:pStyle w:val="129"/>
              <w:rPr>
                <w:rFonts w:hint="eastAsia"/>
                <w:color w:val="000000"/>
                <w:sz w:val="21"/>
              </w:rPr>
            </w:pPr>
            <w:r>
              <w:rPr>
                <w:rFonts w:hint="eastAsia" w:ascii="Songti SC" w:hAnsi="Songti SC" w:eastAsia="Songti SC" w:cs="Songti SC"/>
                <w:color w:val="000000"/>
                <w:sz w:val="21"/>
              </w:rPr>
              <w:t>不按旧虚机数计列</w:t>
            </w:r>
          </w:p>
        </w:tc>
        <w:tc>
          <w:tcPr>
            <w:tcW w:w="683" w:type="pct"/>
            <w:vAlign w:val="center"/>
          </w:tcPr>
          <w:p w14:paraId="4D9BC433">
            <w:pPr>
              <w:pStyle w:val="129"/>
              <w:rPr>
                <w:rFonts w:hint="eastAsia"/>
                <w:color w:val="000000"/>
                <w:sz w:val="21"/>
              </w:rPr>
            </w:pPr>
            <w:r>
              <w:rPr>
                <w:rFonts w:hint="eastAsia" w:ascii="Songti SC" w:hAnsi="Songti SC" w:eastAsia="Songti SC" w:cs="Songti SC"/>
                <w:color w:val="000000"/>
                <w:sz w:val="21"/>
              </w:rPr>
              <w:t>原配置不作为本期云资源测算基数</w:t>
            </w:r>
          </w:p>
        </w:tc>
        <w:tc>
          <w:tcPr>
            <w:tcW w:w="389" w:type="pct"/>
            <w:vAlign w:val="center"/>
          </w:tcPr>
          <w:p w14:paraId="6BC2B270">
            <w:pPr>
              <w:pStyle w:val="129"/>
              <w:rPr>
                <w:rFonts w:hint="eastAsia"/>
                <w:color w:val="000000"/>
                <w:sz w:val="21"/>
              </w:rPr>
            </w:pPr>
            <w:r>
              <w:rPr>
                <w:rFonts w:hint="eastAsia" w:ascii="Songti SC" w:hAnsi="Songti SC" w:eastAsia="Songti SC" w:cs="Songti SC"/>
                <w:color w:val="000000"/>
                <w:sz w:val="21"/>
              </w:rPr>
              <w:t>业务迁入目标云环境</w:t>
            </w:r>
          </w:p>
        </w:tc>
      </w:tr>
    </w:tbl>
    <w:p w14:paraId="07CA68A6">
      <w:pPr>
        <w:ind w:firstLine="480"/>
        <w:rPr>
          <w:rFonts w:hint="eastAsia"/>
          <w:color w:val="000000"/>
        </w:rPr>
      </w:pPr>
    </w:p>
    <w:p w14:paraId="21C5ACE7">
      <w:pPr>
        <w:pStyle w:val="5"/>
        <w:rPr>
          <w:rFonts w:hint="eastAsia" w:cs="宋体"/>
          <w:color w:val="000000"/>
        </w:rPr>
      </w:pPr>
      <w:bookmarkStart w:id="164" w:name="_Toc21528"/>
      <w:r>
        <w:rPr>
          <w:rFonts w:hint="eastAsia" w:ascii="Songti SC" w:hAnsi="Songti SC" w:eastAsia="Songti SC" w:cs="Songti SC"/>
          <w:color w:val="000000"/>
        </w:rPr>
        <w:t>应用系统情况</w:t>
      </w:r>
      <w:bookmarkEnd w:id="164"/>
      <w:r>
        <w:rPr>
          <w:rFonts w:hint="eastAsia" w:ascii="Songti SC" w:hAnsi="Songti SC" w:eastAsia="Songti SC" w:cs="Songti SC"/>
          <w:color w:val="000000"/>
        </w:rPr>
        <w:br w:type="page"/>
      </w:r>
    </w:p>
    <w:p w14:paraId="1B432B08">
      <w:pPr>
        <w:ind w:firstLine="480"/>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食堂消费系统属于应用类型系统，现有系统采用.NET技术栈和B/S架构，数据库为SQL Server 2014，服务器操作系统为Windows Server 2012。现有系统源码不作为本期替代升级的实施前提。</w:t>
      </w:r>
    </w:p>
    <w:p w14:paraId="15CE166F">
      <w:pPr>
        <w:pStyle w:val="14"/>
        <w:spacing w:line="480" w:lineRule="auto"/>
        <w:rPr>
          <w:rFonts w:hint="eastAsia"/>
          <w:color w:val="000000" w:themeColor="text1"/>
          <w14:textFill>
            <w14:solidFill>
              <w14:schemeClr w14:val="tx1"/>
            </w14:solidFill>
          </w14:textFill>
        </w:rPr>
      </w:pPr>
      <w:r>
        <w:rPr>
          <w:rFonts w:hint="eastAsia" w:cs="宋体"/>
          <w:color w:val="000000" w:themeColor="text1"/>
          <w14:textFill>
            <w14:solidFill>
              <w14:schemeClr w14:val="tx1"/>
            </w14:solidFill>
          </w14:textFill>
        </w:rPr>
        <w:t>表</w:t>
      </w:r>
      <w:r>
        <w:rPr>
          <w:rFonts w:cs="宋体"/>
          <w:color w:val="000000" w:themeColor="text1"/>
          <w14:textFill>
            <w14:solidFill>
              <w14:schemeClr w14:val="tx1"/>
            </w14:solidFill>
          </w14:textFill>
        </w:rPr>
        <w:fldChar w:fldCharType="begin"/>
      </w:r>
      <w:r>
        <w:rPr>
          <w:rFonts w:cs="宋体"/>
          <w:color w:val="000000" w:themeColor="text1"/>
          <w14:textFill>
            <w14:solidFill>
              <w14:schemeClr w14:val="tx1"/>
            </w14:solidFill>
          </w14:textFill>
        </w:rPr>
        <w:instrText xml:space="preserve"> </w:instrText>
      </w:r>
      <w:r>
        <w:rPr>
          <w:rFonts w:hint="eastAsia" w:cs="宋体"/>
          <w:color w:val="000000" w:themeColor="text1"/>
          <w14:textFill>
            <w14:solidFill>
              <w14:schemeClr w14:val="tx1"/>
            </w14:solidFill>
          </w14:textFill>
        </w:rPr>
        <w:instrText xml:space="preserve">STYLEREF 1 \s</w:instrText>
      </w:r>
      <w:r>
        <w:rPr>
          <w:rFonts w:cs="宋体"/>
          <w:color w:val="000000" w:themeColor="text1"/>
          <w14:textFill>
            <w14:solidFill>
              <w14:schemeClr w14:val="tx1"/>
            </w14:solidFill>
          </w14:textFill>
        </w:rPr>
        <w:instrText xml:space="preserve"> </w:instrText>
      </w:r>
      <w:r>
        <w:rPr>
          <w:rFonts w:cs="宋体"/>
          <w:color w:val="000000" w:themeColor="text1"/>
          <w14:textFill>
            <w14:solidFill>
              <w14:schemeClr w14:val="tx1"/>
            </w14:solidFill>
          </w14:textFill>
        </w:rPr>
        <w:fldChar w:fldCharType="separate"/>
      </w:r>
      <w:r>
        <w:rPr>
          <w:rFonts w:hint="eastAsia" w:cs="宋体"/>
          <w:color w:val="000000" w:themeColor="text1"/>
          <w14:textFill>
            <w14:solidFill>
              <w14:schemeClr w14:val="tx1"/>
            </w14:solidFill>
          </w14:textFill>
        </w:rPr>
        <w:t>3</w:t>
      </w:r>
      <w:r>
        <w:rPr>
          <w:rFonts w:cs="宋体"/>
          <w:color w:val="000000" w:themeColor="text1"/>
          <w14:textFill>
            <w14:solidFill>
              <w14:schemeClr w14:val="tx1"/>
            </w14:solidFill>
          </w14:textFill>
        </w:rPr>
        <w:fldChar w:fldCharType="end"/>
      </w:r>
      <w:r>
        <w:rPr>
          <w:rFonts w:cs="宋体"/>
          <w:color w:val="000000" w:themeColor="text1"/>
          <w14:textFill>
            <w14:solidFill>
              <w14:schemeClr w14:val="tx1"/>
            </w14:solidFill>
          </w14:textFill>
        </w:rPr>
        <w:t>.</w:t>
      </w:r>
      <w:r>
        <w:rPr>
          <w:rFonts w:cs="宋体"/>
          <w:color w:val="000000" w:themeColor="text1"/>
          <w14:textFill>
            <w14:solidFill>
              <w14:schemeClr w14:val="tx1"/>
            </w14:solidFill>
          </w14:textFill>
        </w:rPr>
        <w:fldChar w:fldCharType="begin"/>
      </w:r>
      <w:r>
        <w:rPr>
          <w:rFonts w:cs="宋体"/>
          <w:color w:val="000000" w:themeColor="text1"/>
          <w14:textFill>
            <w14:solidFill>
              <w14:schemeClr w14:val="tx1"/>
            </w14:solidFill>
          </w14:textFill>
        </w:rPr>
        <w:instrText xml:space="preserve"> </w:instrText>
      </w:r>
      <w:r>
        <w:rPr>
          <w:rFonts w:hint="eastAsia" w:cs="宋体"/>
          <w:color w:val="000000" w:themeColor="text1"/>
          <w14:textFill>
            <w14:solidFill>
              <w14:schemeClr w14:val="tx1"/>
            </w14:solidFill>
          </w14:textFill>
        </w:rPr>
        <w:instrText xml:space="preserve">SEQ 表 \* ARABIC \s 1</w:instrText>
      </w:r>
      <w:r>
        <w:rPr>
          <w:rFonts w:cs="宋体"/>
          <w:color w:val="000000" w:themeColor="text1"/>
          <w14:textFill>
            <w14:solidFill>
              <w14:schemeClr w14:val="tx1"/>
            </w14:solidFill>
          </w14:textFill>
        </w:rPr>
        <w:instrText xml:space="preserve"> </w:instrText>
      </w:r>
      <w:r>
        <w:rPr>
          <w:rFonts w:cs="宋体"/>
          <w:color w:val="000000" w:themeColor="text1"/>
          <w14:textFill>
            <w14:solidFill>
              <w14:schemeClr w14:val="tx1"/>
            </w14:solidFill>
          </w14:textFill>
        </w:rPr>
        <w:fldChar w:fldCharType="separate"/>
      </w:r>
      <w:r>
        <w:rPr>
          <w:rFonts w:hint="eastAsia" w:cs="宋体"/>
          <w:color w:val="000000" w:themeColor="text1"/>
          <w14:textFill>
            <w14:solidFill>
              <w14:schemeClr w14:val="tx1"/>
            </w14:solidFill>
          </w14:textFill>
        </w:rPr>
        <w:t>3</w:t>
      </w:r>
      <w:r>
        <w:rPr>
          <w:rFonts w:cs="宋体"/>
          <w:color w:val="000000" w:themeColor="text1"/>
          <w14:textFill>
            <w14:solidFill>
              <w14:schemeClr w14:val="tx1"/>
            </w14:solidFill>
          </w14:textFill>
        </w:rPr>
        <w:fldChar w:fldCharType="end"/>
      </w:r>
      <w:r>
        <w:rPr>
          <w:rFonts w:hint="eastAsia" w:cs="宋体"/>
          <w:color w:val="000000" w:themeColor="text1"/>
          <w14:textFill>
            <w14:solidFill>
              <w14:schemeClr w14:val="tx1"/>
            </w14:solidFill>
          </w14:textFill>
        </w:rPr>
        <w:t>应用系统现状统计表</w:t>
      </w:r>
    </w:p>
    <w:tbl>
      <w:tblPr>
        <w:tblStyle w:val="60"/>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9"/>
        <w:gridCol w:w="693"/>
        <w:gridCol w:w="693"/>
        <w:gridCol w:w="520"/>
        <w:gridCol w:w="692"/>
        <w:gridCol w:w="433"/>
        <w:gridCol w:w="433"/>
        <w:gridCol w:w="693"/>
        <w:gridCol w:w="692"/>
        <w:gridCol w:w="554"/>
        <w:gridCol w:w="902"/>
        <w:gridCol w:w="885"/>
        <w:gridCol w:w="902"/>
      </w:tblGrid>
      <w:tr w14:paraId="72AAC6E4">
        <w:trPr>
          <w:trHeight w:val="1037" w:hRule="atLeast"/>
        </w:trPr>
        <w:tc>
          <w:tcPr>
            <w:tcW w:w="252" w:type="pct"/>
            <w:vAlign w:val="center"/>
          </w:tcPr>
          <w:p w14:paraId="77514AD1">
            <w:pPr>
              <w:pStyle w:val="128"/>
              <w:rPr>
                <w:rFonts w:hint="eastAsia"/>
                <w:color w:val="000000"/>
                <w:sz w:val="21"/>
              </w:rPr>
            </w:pPr>
            <w:r>
              <w:rPr>
                <w:rFonts w:hint="eastAsia" w:ascii="Songti SC" w:hAnsi="Songti SC" w:eastAsia="Songti SC" w:cs="Songti SC"/>
                <w:color w:val="000000"/>
                <w:sz w:val="21"/>
              </w:rPr>
              <w:t>编号</w:t>
            </w:r>
          </w:p>
        </w:tc>
        <w:tc>
          <w:tcPr>
            <w:tcW w:w="407" w:type="pct"/>
            <w:vAlign w:val="center"/>
          </w:tcPr>
          <w:p w14:paraId="04B02AD8">
            <w:pPr>
              <w:pStyle w:val="128"/>
              <w:rPr>
                <w:rFonts w:hint="eastAsia"/>
                <w:color w:val="000000"/>
                <w:sz w:val="21"/>
              </w:rPr>
            </w:pPr>
            <w:r>
              <w:rPr>
                <w:rFonts w:hint="eastAsia" w:ascii="Songti SC" w:hAnsi="Songti SC" w:eastAsia="Songti SC" w:cs="Songti SC"/>
                <w:color w:val="000000"/>
                <w:sz w:val="21"/>
              </w:rPr>
              <w:t>应用系统名称</w:t>
            </w:r>
          </w:p>
        </w:tc>
        <w:tc>
          <w:tcPr>
            <w:tcW w:w="407" w:type="pct"/>
            <w:vAlign w:val="center"/>
          </w:tcPr>
          <w:p w14:paraId="7568434F">
            <w:pPr>
              <w:pStyle w:val="128"/>
              <w:rPr>
                <w:rFonts w:hint="eastAsia"/>
                <w:color w:val="000000"/>
                <w:sz w:val="21"/>
              </w:rPr>
            </w:pPr>
            <w:r>
              <w:rPr>
                <w:rFonts w:hint="eastAsia" w:ascii="Songti SC" w:hAnsi="Songti SC" w:eastAsia="Songti SC" w:cs="Songti SC"/>
                <w:color w:val="000000"/>
                <w:sz w:val="21"/>
              </w:rPr>
              <w:t>开发语言及版本</w:t>
            </w:r>
          </w:p>
        </w:tc>
        <w:tc>
          <w:tcPr>
            <w:tcW w:w="305" w:type="pct"/>
            <w:vAlign w:val="center"/>
          </w:tcPr>
          <w:p w14:paraId="3BEB194C">
            <w:pPr>
              <w:pStyle w:val="128"/>
              <w:rPr>
                <w:rFonts w:hint="eastAsia"/>
                <w:color w:val="000000"/>
                <w:sz w:val="21"/>
              </w:rPr>
            </w:pPr>
            <w:r>
              <w:rPr>
                <w:rFonts w:hint="eastAsia" w:ascii="Songti SC" w:hAnsi="Songti SC" w:eastAsia="Songti SC" w:cs="Songti SC"/>
                <w:color w:val="000000"/>
                <w:sz w:val="21"/>
              </w:rPr>
              <w:t>编译器及版本</w:t>
            </w:r>
          </w:p>
        </w:tc>
        <w:tc>
          <w:tcPr>
            <w:tcW w:w="406" w:type="pct"/>
            <w:vAlign w:val="center"/>
          </w:tcPr>
          <w:p w14:paraId="45364C28">
            <w:pPr>
              <w:pStyle w:val="128"/>
              <w:rPr>
                <w:rFonts w:hint="eastAsia"/>
                <w:color w:val="000000"/>
                <w:sz w:val="21"/>
              </w:rPr>
            </w:pPr>
            <w:r>
              <w:rPr>
                <w:rFonts w:hint="eastAsia" w:ascii="Songti SC" w:hAnsi="Songti SC" w:eastAsia="Songti SC" w:cs="Songti SC"/>
                <w:color w:val="000000"/>
                <w:sz w:val="21"/>
              </w:rPr>
              <w:t>开发框架及版本</w:t>
            </w:r>
          </w:p>
        </w:tc>
        <w:tc>
          <w:tcPr>
            <w:tcW w:w="254" w:type="pct"/>
            <w:vAlign w:val="center"/>
          </w:tcPr>
          <w:p w14:paraId="4F146250">
            <w:pPr>
              <w:pStyle w:val="128"/>
              <w:rPr>
                <w:rFonts w:hint="eastAsia"/>
                <w:color w:val="000000"/>
                <w:sz w:val="21"/>
              </w:rPr>
            </w:pPr>
            <w:r>
              <w:rPr>
                <w:rFonts w:hint="eastAsia" w:ascii="Songti SC" w:hAnsi="Songti SC" w:eastAsia="Songti SC" w:cs="Songti SC"/>
                <w:color w:val="000000"/>
                <w:sz w:val="21"/>
              </w:rPr>
              <w:t>程序架构</w:t>
            </w:r>
          </w:p>
        </w:tc>
        <w:tc>
          <w:tcPr>
            <w:tcW w:w="254" w:type="pct"/>
            <w:vAlign w:val="center"/>
          </w:tcPr>
          <w:p w14:paraId="5C0C715A">
            <w:pPr>
              <w:pStyle w:val="128"/>
              <w:rPr>
                <w:rFonts w:hint="eastAsia"/>
                <w:color w:val="000000"/>
                <w:sz w:val="21"/>
              </w:rPr>
            </w:pPr>
            <w:r>
              <w:rPr>
                <w:rFonts w:hint="eastAsia" w:ascii="Songti SC" w:hAnsi="Songti SC" w:eastAsia="Songti SC" w:cs="Songti SC"/>
                <w:color w:val="000000"/>
                <w:sz w:val="21"/>
              </w:rPr>
              <w:t>应用架构</w:t>
            </w:r>
          </w:p>
        </w:tc>
        <w:tc>
          <w:tcPr>
            <w:tcW w:w="407" w:type="pct"/>
            <w:vAlign w:val="center"/>
          </w:tcPr>
          <w:p w14:paraId="64655ED0">
            <w:pPr>
              <w:pStyle w:val="128"/>
              <w:rPr>
                <w:rFonts w:hint="eastAsia"/>
                <w:color w:val="000000"/>
                <w:sz w:val="21"/>
              </w:rPr>
            </w:pPr>
            <w:r>
              <w:rPr>
                <w:rFonts w:hint="eastAsia" w:ascii="Songti SC" w:hAnsi="Songti SC" w:eastAsia="Songti SC" w:cs="Songti SC"/>
                <w:color w:val="000000"/>
                <w:sz w:val="21"/>
              </w:rPr>
              <w:t>应用系统类型</w:t>
            </w:r>
          </w:p>
        </w:tc>
        <w:tc>
          <w:tcPr>
            <w:tcW w:w="406" w:type="pct"/>
            <w:vAlign w:val="center"/>
          </w:tcPr>
          <w:p w14:paraId="1FF33897">
            <w:pPr>
              <w:pStyle w:val="128"/>
              <w:rPr>
                <w:rFonts w:hint="eastAsia"/>
                <w:color w:val="000000"/>
                <w:sz w:val="21"/>
              </w:rPr>
            </w:pPr>
            <w:r>
              <w:rPr>
                <w:rFonts w:hint="eastAsia" w:ascii="Songti SC" w:hAnsi="Songti SC" w:eastAsia="Songti SC" w:cs="Songti SC"/>
                <w:color w:val="000000"/>
                <w:sz w:val="21"/>
              </w:rPr>
              <w:t>连接数据库、中间件方式</w:t>
            </w:r>
          </w:p>
        </w:tc>
        <w:tc>
          <w:tcPr>
            <w:tcW w:w="325" w:type="pct"/>
            <w:vAlign w:val="center"/>
          </w:tcPr>
          <w:p w14:paraId="50CEC954">
            <w:pPr>
              <w:pStyle w:val="128"/>
              <w:rPr>
                <w:rFonts w:hint="eastAsia"/>
                <w:color w:val="000000"/>
                <w:sz w:val="21"/>
              </w:rPr>
            </w:pPr>
            <w:r>
              <w:rPr>
                <w:rFonts w:hint="eastAsia" w:ascii="Songti SC" w:hAnsi="Songti SC" w:eastAsia="Songti SC" w:cs="Songti SC"/>
                <w:color w:val="000000"/>
                <w:sz w:val="21"/>
              </w:rPr>
              <w:t>是否有源码</w:t>
            </w:r>
          </w:p>
        </w:tc>
        <w:tc>
          <w:tcPr>
            <w:tcW w:w="529" w:type="pct"/>
            <w:vAlign w:val="center"/>
          </w:tcPr>
          <w:p w14:paraId="280E7881">
            <w:pPr>
              <w:pStyle w:val="128"/>
              <w:rPr>
                <w:rFonts w:hint="eastAsia"/>
                <w:color w:val="000000"/>
                <w:sz w:val="21"/>
              </w:rPr>
            </w:pPr>
            <w:r>
              <w:rPr>
                <w:rFonts w:hint="eastAsia" w:ascii="Songti SC" w:hAnsi="Songti SC" w:eastAsia="Songti SC" w:cs="Songti SC"/>
                <w:color w:val="000000"/>
                <w:sz w:val="21"/>
              </w:rPr>
              <w:t>部署位置</w:t>
            </w:r>
          </w:p>
        </w:tc>
        <w:tc>
          <w:tcPr>
            <w:tcW w:w="519" w:type="pct"/>
            <w:vAlign w:val="center"/>
          </w:tcPr>
          <w:p w14:paraId="4E31B04C">
            <w:pPr>
              <w:pStyle w:val="128"/>
              <w:rPr>
                <w:rFonts w:hint="eastAsia"/>
                <w:color w:val="000000"/>
                <w:sz w:val="21"/>
              </w:rPr>
            </w:pPr>
            <w:r>
              <w:rPr>
                <w:rFonts w:hint="eastAsia" w:ascii="Songti SC" w:hAnsi="Songti SC" w:eastAsia="Songti SC" w:cs="Songti SC"/>
                <w:color w:val="000000"/>
                <w:sz w:val="21"/>
              </w:rPr>
              <w:t>部署方式</w:t>
            </w:r>
          </w:p>
        </w:tc>
        <w:tc>
          <w:tcPr>
            <w:tcW w:w="529" w:type="pct"/>
            <w:vAlign w:val="center"/>
          </w:tcPr>
          <w:p w14:paraId="63453FBB">
            <w:pPr>
              <w:pStyle w:val="128"/>
              <w:rPr>
                <w:rFonts w:hint="eastAsia"/>
                <w:color w:val="000000"/>
                <w:sz w:val="21"/>
              </w:rPr>
            </w:pPr>
            <w:r>
              <w:rPr>
                <w:rFonts w:hint="eastAsia" w:ascii="Songti SC" w:hAnsi="Songti SC" w:eastAsia="Songti SC" w:cs="Songti SC"/>
                <w:color w:val="000000"/>
                <w:sz w:val="21"/>
              </w:rPr>
              <w:t>网络类型</w:t>
            </w:r>
          </w:p>
        </w:tc>
      </w:tr>
      <w:tr w14:paraId="0E45D569">
        <w:trPr>
          <w:trHeight w:val="288" w:hRule="atLeast"/>
        </w:trPr>
        <w:tc>
          <w:tcPr>
            <w:tcW w:w="252" w:type="pct"/>
            <w:vAlign w:val="center"/>
          </w:tcPr>
          <w:p w14:paraId="1C9D107E">
            <w:pPr>
              <w:pStyle w:val="129"/>
              <w:rPr>
                <w:rFonts w:hint="eastAsia"/>
                <w:color w:val="000000"/>
                <w:sz w:val="21"/>
              </w:rPr>
            </w:pPr>
            <w:r>
              <w:rPr>
                <w:rFonts w:hint="eastAsia" w:ascii="Songti SC" w:hAnsi="Songti SC" w:eastAsia="Songti SC" w:cs="Songti SC"/>
                <w:color w:val="000000"/>
                <w:sz w:val="21"/>
              </w:rPr>
              <w:t>1</w:t>
            </w:r>
          </w:p>
        </w:tc>
        <w:tc>
          <w:tcPr>
            <w:tcW w:w="407" w:type="pct"/>
            <w:vAlign w:val="center"/>
          </w:tcPr>
          <w:p w14:paraId="508E6865">
            <w:pPr>
              <w:pStyle w:val="129"/>
              <w:rPr>
                <w:rFonts w:hint="eastAsia"/>
                <w:color w:val="000000"/>
                <w:sz w:val="21"/>
              </w:rPr>
            </w:pPr>
            <w:r>
              <w:rPr>
                <w:rFonts w:hint="eastAsia" w:ascii="Songti SC" w:hAnsi="Songti SC" w:eastAsia="Songti SC" w:cs="Songti SC"/>
                <w:color w:val="000000"/>
                <w:sz w:val="21"/>
              </w:rPr>
              <w:t>食堂消费系统</w:t>
            </w:r>
          </w:p>
        </w:tc>
        <w:tc>
          <w:tcPr>
            <w:tcW w:w="407" w:type="pct"/>
            <w:vAlign w:val="center"/>
          </w:tcPr>
          <w:p w14:paraId="0247D47F">
            <w:pPr>
              <w:pStyle w:val="129"/>
              <w:rPr>
                <w:rFonts w:hint="eastAsia"/>
                <w:color w:val="000000"/>
                <w:sz w:val="21"/>
              </w:rPr>
            </w:pPr>
            <w:r>
              <w:rPr>
                <w:rFonts w:hint="eastAsia" w:ascii="Songti SC" w:hAnsi="Songti SC" w:eastAsia="Songti SC" w:cs="Songti SC"/>
                <w:color w:val="000000"/>
                <w:sz w:val="21"/>
              </w:rPr>
              <w:t>.NET（原系统版本）</w:t>
            </w:r>
          </w:p>
        </w:tc>
        <w:tc>
          <w:tcPr>
            <w:tcW w:w="305" w:type="pct"/>
            <w:vAlign w:val="center"/>
          </w:tcPr>
          <w:p w14:paraId="18AFAB89">
            <w:pPr>
              <w:pStyle w:val="129"/>
              <w:rPr>
                <w:rFonts w:hint="eastAsia"/>
                <w:color w:val="000000"/>
                <w:sz w:val="21"/>
              </w:rPr>
            </w:pPr>
            <w:r>
              <w:rPr>
                <w:rFonts w:hint="eastAsia" w:ascii="Songti SC" w:hAnsi="Songti SC" w:eastAsia="Songti SC" w:cs="Songti SC"/>
                <w:color w:val="000000"/>
                <w:sz w:val="21"/>
              </w:rPr>
              <w:t>原系统.NET运行环境</w:t>
            </w:r>
          </w:p>
        </w:tc>
        <w:tc>
          <w:tcPr>
            <w:tcW w:w="406" w:type="pct"/>
            <w:vAlign w:val="center"/>
          </w:tcPr>
          <w:p w14:paraId="26545E5F">
            <w:pPr>
              <w:pStyle w:val="129"/>
              <w:rPr>
                <w:rFonts w:hint="eastAsia"/>
                <w:color w:val="000000"/>
                <w:sz w:val="21"/>
              </w:rPr>
            </w:pPr>
            <w:r>
              <w:rPr>
                <w:rFonts w:hint="eastAsia" w:ascii="Songti SC" w:hAnsi="Songti SC" w:eastAsia="Songti SC" w:cs="Songti SC"/>
                <w:color w:val="000000"/>
                <w:sz w:val="21"/>
              </w:rPr>
              <w:t>原系统.NET框架</w:t>
            </w:r>
          </w:p>
        </w:tc>
        <w:tc>
          <w:tcPr>
            <w:tcW w:w="254" w:type="pct"/>
            <w:vAlign w:val="center"/>
          </w:tcPr>
          <w:p w14:paraId="0DB52474">
            <w:pPr>
              <w:pStyle w:val="129"/>
              <w:rPr>
                <w:rFonts w:hint="eastAsia"/>
                <w:color w:val="000000"/>
                <w:sz w:val="21"/>
              </w:rPr>
            </w:pPr>
            <w:r>
              <w:rPr>
                <w:rFonts w:hint="eastAsia" w:ascii="Songti SC" w:hAnsi="Songti SC" w:eastAsia="Songti SC" w:cs="Songti SC"/>
                <w:color w:val="000000"/>
                <w:sz w:val="21"/>
              </w:rPr>
              <w:t>B/S</w:t>
            </w:r>
          </w:p>
        </w:tc>
        <w:tc>
          <w:tcPr>
            <w:tcW w:w="254" w:type="pct"/>
            <w:vAlign w:val="center"/>
          </w:tcPr>
          <w:p w14:paraId="7944239E">
            <w:pPr>
              <w:pStyle w:val="129"/>
              <w:rPr>
                <w:rFonts w:hint="eastAsia"/>
                <w:color w:val="000000"/>
                <w:sz w:val="21"/>
              </w:rPr>
            </w:pPr>
            <w:r>
              <w:rPr>
                <w:rFonts w:hint="eastAsia" w:ascii="Songti SC" w:hAnsi="Songti SC" w:eastAsia="Songti SC" w:cs="Songti SC"/>
                <w:color w:val="000000"/>
                <w:sz w:val="21"/>
              </w:rPr>
              <w:t>分层架构</w:t>
            </w:r>
          </w:p>
        </w:tc>
        <w:tc>
          <w:tcPr>
            <w:tcW w:w="407" w:type="pct"/>
            <w:vAlign w:val="center"/>
          </w:tcPr>
          <w:p w14:paraId="46176E6B">
            <w:pPr>
              <w:pStyle w:val="129"/>
              <w:rPr>
                <w:rFonts w:hint="eastAsia"/>
                <w:color w:val="000000"/>
                <w:sz w:val="21"/>
              </w:rPr>
            </w:pPr>
            <w:r>
              <w:rPr>
                <w:rFonts w:hint="eastAsia" w:ascii="Songti SC" w:hAnsi="Songti SC" w:eastAsia="Songti SC" w:cs="Songti SC"/>
                <w:color w:val="000000"/>
                <w:sz w:val="21"/>
              </w:rPr>
              <w:t>应用系统</w:t>
            </w:r>
          </w:p>
        </w:tc>
        <w:tc>
          <w:tcPr>
            <w:tcW w:w="406" w:type="pct"/>
            <w:vAlign w:val="center"/>
          </w:tcPr>
          <w:p w14:paraId="0BF3C8D4">
            <w:pPr>
              <w:pStyle w:val="129"/>
              <w:rPr>
                <w:rFonts w:hint="eastAsia"/>
                <w:color w:val="000000"/>
                <w:sz w:val="21"/>
              </w:rPr>
            </w:pPr>
            <w:r>
              <w:rPr>
                <w:rFonts w:hint="eastAsia" w:ascii="Songti SC" w:hAnsi="Songti SC" w:eastAsia="Songti SC" w:cs="Songti SC"/>
                <w:color w:val="000000"/>
                <w:sz w:val="21"/>
              </w:rPr>
              <w:t>配置文件连接</w:t>
            </w:r>
          </w:p>
        </w:tc>
        <w:tc>
          <w:tcPr>
            <w:tcW w:w="325" w:type="pct"/>
            <w:vAlign w:val="center"/>
          </w:tcPr>
          <w:p w14:paraId="226C2B35">
            <w:pPr>
              <w:pStyle w:val="129"/>
              <w:rPr>
                <w:rFonts w:hint="eastAsia"/>
                <w:color w:val="000000"/>
                <w:sz w:val="21"/>
              </w:rPr>
            </w:pPr>
            <w:r>
              <w:rPr>
                <w:rFonts w:hint="eastAsia" w:ascii="Songti SC" w:hAnsi="Songti SC" w:eastAsia="Songti SC" w:cs="Songti SC"/>
                <w:color w:val="000000"/>
                <w:sz w:val="21"/>
              </w:rPr>
              <w:t>不作为本期实施前提</w:t>
            </w:r>
          </w:p>
        </w:tc>
        <w:tc>
          <w:tcPr>
            <w:tcW w:w="529" w:type="pct"/>
            <w:vAlign w:val="center"/>
          </w:tcPr>
          <w:p w14:paraId="2AC260F4">
            <w:pPr>
              <w:pStyle w:val="129"/>
              <w:rPr>
                <w:rFonts w:hint="eastAsia"/>
                <w:color w:val="000000"/>
                <w:sz w:val="21"/>
              </w:rPr>
            </w:pPr>
            <w:r>
              <w:rPr>
                <w:rFonts w:hint="eastAsia" w:ascii="Songti SC" w:hAnsi="Songti SC" w:eastAsia="Songti SC" w:cs="Songti SC"/>
                <w:color w:val="000000"/>
                <w:sz w:val="21"/>
              </w:rPr>
              <w:t>原部署机房</w:t>
            </w:r>
          </w:p>
        </w:tc>
        <w:tc>
          <w:tcPr>
            <w:tcW w:w="519" w:type="pct"/>
            <w:vAlign w:val="center"/>
          </w:tcPr>
          <w:p w14:paraId="7E0E3C2A">
            <w:pPr>
              <w:pStyle w:val="129"/>
              <w:rPr>
                <w:rFonts w:hint="eastAsia"/>
                <w:color w:val="000000"/>
                <w:sz w:val="21"/>
              </w:rPr>
            </w:pPr>
            <w:r>
              <w:rPr>
                <w:rFonts w:hint="eastAsia" w:ascii="Songti SC" w:hAnsi="Songti SC" w:eastAsia="Songti SC" w:cs="Songti SC"/>
                <w:color w:val="000000"/>
                <w:sz w:val="21"/>
              </w:rPr>
              <w:t>本地机房虚拟机</w:t>
            </w:r>
          </w:p>
        </w:tc>
        <w:tc>
          <w:tcPr>
            <w:tcW w:w="529" w:type="pct"/>
            <w:vAlign w:val="center"/>
          </w:tcPr>
          <w:p w14:paraId="03271B10">
            <w:pPr>
              <w:pStyle w:val="129"/>
              <w:rPr>
                <w:rFonts w:hint="eastAsia"/>
                <w:color w:val="000000"/>
                <w:sz w:val="21"/>
              </w:rPr>
            </w:pPr>
            <w:r>
              <w:rPr>
                <w:rFonts w:hint="eastAsia" w:ascii="Songti SC" w:hAnsi="Songti SC" w:eastAsia="Songti SC" w:cs="Songti SC"/>
                <w:color w:val="000000"/>
                <w:sz w:val="21"/>
              </w:rPr>
              <w:t>电子政务外网</w:t>
            </w:r>
          </w:p>
        </w:tc>
      </w:tr>
      <w:tr w14:paraId="4BC0F468">
        <w:trPr>
          <w:trHeight w:val="288" w:hRule="atLeast"/>
        </w:trPr>
        <w:tc>
          <w:tcPr>
            <w:tcW w:w="252" w:type="pct"/>
            <w:noWrap/>
            <w:vAlign w:val="center"/>
          </w:tcPr>
          <w:p w14:paraId="2818D126">
            <w:pPr>
              <w:pStyle w:val="129"/>
              <w:rPr>
                <w:rFonts w:hint="eastAsia"/>
                <w:color w:val="000000"/>
                <w:sz w:val="21"/>
              </w:rPr>
            </w:pPr>
            <w:r>
              <w:rPr>
                <w:rFonts w:hint="eastAsia" w:ascii="Songti SC" w:hAnsi="Songti SC" w:eastAsia="Songti SC" w:cs="Songti SC"/>
                <w:color w:val="000000"/>
                <w:sz w:val="21"/>
              </w:rPr>
              <w:t>2</w:t>
            </w:r>
          </w:p>
        </w:tc>
        <w:tc>
          <w:tcPr>
            <w:tcW w:w="407" w:type="pct"/>
            <w:noWrap/>
            <w:vAlign w:val="center"/>
          </w:tcPr>
          <w:p w14:paraId="5B1C6B88">
            <w:pPr>
              <w:pStyle w:val="129"/>
              <w:rPr>
                <w:rFonts w:hint="eastAsia"/>
                <w:color w:val="000000"/>
                <w:sz w:val="21"/>
              </w:rPr>
            </w:pPr>
            <w:r>
              <w:rPr>
                <w:rFonts w:hint="eastAsia" w:ascii="Songti SC" w:hAnsi="Songti SC" w:eastAsia="Songti SC" w:cs="Songti SC"/>
                <w:color w:val="000000"/>
                <w:sz w:val="21"/>
              </w:rPr>
              <w:t>线上充值系统对接</w:t>
            </w:r>
          </w:p>
        </w:tc>
        <w:tc>
          <w:tcPr>
            <w:tcW w:w="407" w:type="pct"/>
            <w:noWrap/>
            <w:vAlign w:val="center"/>
          </w:tcPr>
          <w:p w14:paraId="6C561A3E">
            <w:pPr>
              <w:pStyle w:val="129"/>
              <w:rPr>
                <w:rFonts w:hint="eastAsia"/>
                <w:color w:val="000000"/>
                <w:sz w:val="21"/>
              </w:rPr>
            </w:pPr>
            <w:r>
              <w:rPr>
                <w:rFonts w:hint="eastAsia" w:ascii="Songti SC" w:hAnsi="Songti SC" w:eastAsia="Songti SC" w:cs="Songti SC"/>
                <w:color w:val="000000"/>
                <w:sz w:val="21"/>
              </w:rPr>
              <w:t>.NET（原系统版本）</w:t>
            </w:r>
          </w:p>
        </w:tc>
        <w:tc>
          <w:tcPr>
            <w:tcW w:w="305" w:type="pct"/>
            <w:noWrap/>
            <w:vAlign w:val="center"/>
          </w:tcPr>
          <w:p w14:paraId="3E39B48F">
            <w:pPr>
              <w:pStyle w:val="129"/>
              <w:rPr>
                <w:rFonts w:hint="eastAsia"/>
                <w:color w:val="000000"/>
                <w:sz w:val="21"/>
              </w:rPr>
            </w:pPr>
            <w:r>
              <w:rPr>
                <w:rFonts w:hint="eastAsia" w:ascii="Songti SC" w:hAnsi="Songti SC" w:eastAsia="Songti SC" w:cs="Songti SC"/>
                <w:color w:val="000000"/>
                <w:sz w:val="21"/>
              </w:rPr>
              <w:t>原系统.NET运行环境</w:t>
            </w:r>
          </w:p>
        </w:tc>
        <w:tc>
          <w:tcPr>
            <w:tcW w:w="406" w:type="pct"/>
            <w:noWrap/>
            <w:vAlign w:val="center"/>
          </w:tcPr>
          <w:p w14:paraId="46D0AB7D">
            <w:pPr>
              <w:pStyle w:val="129"/>
              <w:rPr>
                <w:rFonts w:hint="eastAsia"/>
                <w:color w:val="000000"/>
                <w:sz w:val="21"/>
              </w:rPr>
            </w:pPr>
            <w:r>
              <w:rPr>
                <w:rFonts w:hint="eastAsia" w:ascii="Songti SC" w:hAnsi="Songti SC" w:eastAsia="Songti SC" w:cs="Songti SC"/>
                <w:color w:val="000000"/>
                <w:sz w:val="21"/>
              </w:rPr>
              <w:t>原系统.NET框架</w:t>
            </w:r>
          </w:p>
        </w:tc>
        <w:tc>
          <w:tcPr>
            <w:tcW w:w="254" w:type="pct"/>
            <w:noWrap/>
            <w:vAlign w:val="center"/>
          </w:tcPr>
          <w:p w14:paraId="4E4FB692">
            <w:pPr>
              <w:pStyle w:val="129"/>
              <w:rPr>
                <w:rFonts w:hint="eastAsia"/>
                <w:color w:val="000000"/>
                <w:sz w:val="21"/>
              </w:rPr>
            </w:pPr>
            <w:r>
              <w:rPr>
                <w:rFonts w:hint="eastAsia" w:ascii="Songti SC" w:hAnsi="Songti SC" w:eastAsia="Songti SC" w:cs="Songti SC"/>
                <w:color w:val="000000"/>
                <w:sz w:val="21"/>
              </w:rPr>
              <w:t>B/S</w:t>
            </w:r>
          </w:p>
        </w:tc>
        <w:tc>
          <w:tcPr>
            <w:tcW w:w="254" w:type="pct"/>
            <w:noWrap/>
            <w:vAlign w:val="center"/>
          </w:tcPr>
          <w:p w14:paraId="631BE8E9">
            <w:pPr>
              <w:pStyle w:val="129"/>
              <w:rPr>
                <w:rFonts w:hint="eastAsia"/>
                <w:color w:val="000000"/>
                <w:sz w:val="21"/>
              </w:rPr>
            </w:pPr>
            <w:r>
              <w:rPr>
                <w:rFonts w:hint="eastAsia" w:ascii="Songti SC" w:hAnsi="Songti SC" w:eastAsia="Songti SC" w:cs="Songti SC"/>
                <w:color w:val="000000"/>
                <w:sz w:val="21"/>
              </w:rPr>
              <w:t>分层架构</w:t>
            </w:r>
          </w:p>
        </w:tc>
        <w:tc>
          <w:tcPr>
            <w:tcW w:w="407" w:type="pct"/>
            <w:noWrap/>
            <w:vAlign w:val="center"/>
          </w:tcPr>
          <w:p w14:paraId="40C325BC">
            <w:pPr>
              <w:pStyle w:val="129"/>
              <w:rPr>
                <w:rFonts w:hint="eastAsia"/>
                <w:color w:val="000000"/>
                <w:sz w:val="21"/>
              </w:rPr>
            </w:pPr>
            <w:r>
              <w:rPr>
                <w:rFonts w:hint="eastAsia" w:ascii="Songti SC" w:hAnsi="Songti SC" w:eastAsia="Songti SC" w:cs="Songti SC"/>
                <w:color w:val="000000"/>
                <w:sz w:val="21"/>
              </w:rPr>
              <w:t>应用系统</w:t>
            </w:r>
          </w:p>
        </w:tc>
        <w:tc>
          <w:tcPr>
            <w:tcW w:w="406" w:type="pct"/>
            <w:noWrap/>
            <w:vAlign w:val="center"/>
          </w:tcPr>
          <w:p w14:paraId="198B7723">
            <w:pPr>
              <w:pStyle w:val="129"/>
              <w:rPr>
                <w:rFonts w:hint="eastAsia"/>
                <w:color w:val="000000"/>
                <w:sz w:val="21"/>
              </w:rPr>
            </w:pPr>
            <w:r>
              <w:rPr>
                <w:rFonts w:hint="eastAsia" w:ascii="Songti SC" w:hAnsi="Songti SC" w:eastAsia="Songti SC" w:cs="Songti SC"/>
                <w:color w:val="000000"/>
                <w:sz w:val="21"/>
              </w:rPr>
              <w:t>配置文件连接</w:t>
            </w:r>
          </w:p>
        </w:tc>
        <w:tc>
          <w:tcPr>
            <w:tcW w:w="325" w:type="pct"/>
            <w:noWrap/>
            <w:vAlign w:val="center"/>
          </w:tcPr>
          <w:p w14:paraId="16664B64">
            <w:pPr>
              <w:pStyle w:val="129"/>
              <w:rPr>
                <w:rFonts w:hint="eastAsia"/>
                <w:color w:val="000000"/>
                <w:sz w:val="21"/>
              </w:rPr>
            </w:pPr>
            <w:r>
              <w:rPr>
                <w:rFonts w:hint="eastAsia" w:ascii="Songti SC" w:hAnsi="Songti SC" w:eastAsia="Songti SC" w:cs="Songti SC"/>
                <w:color w:val="000000"/>
                <w:sz w:val="21"/>
              </w:rPr>
              <w:t>不作为本期实施前提</w:t>
            </w:r>
          </w:p>
        </w:tc>
        <w:tc>
          <w:tcPr>
            <w:tcW w:w="529" w:type="pct"/>
            <w:noWrap/>
            <w:vAlign w:val="center"/>
          </w:tcPr>
          <w:p w14:paraId="6D66EE5A">
            <w:pPr>
              <w:pStyle w:val="129"/>
              <w:rPr>
                <w:rFonts w:hint="eastAsia"/>
                <w:color w:val="000000"/>
                <w:sz w:val="21"/>
              </w:rPr>
            </w:pPr>
            <w:r>
              <w:rPr>
                <w:rFonts w:hint="eastAsia" w:ascii="Songti SC" w:hAnsi="Songti SC" w:eastAsia="Songti SC" w:cs="Songti SC"/>
                <w:color w:val="000000"/>
                <w:sz w:val="21"/>
              </w:rPr>
              <w:t>原部署机房</w:t>
            </w:r>
          </w:p>
        </w:tc>
        <w:tc>
          <w:tcPr>
            <w:tcW w:w="519" w:type="pct"/>
            <w:noWrap/>
            <w:vAlign w:val="center"/>
          </w:tcPr>
          <w:p w14:paraId="20D2E749">
            <w:pPr>
              <w:pStyle w:val="129"/>
              <w:rPr>
                <w:rFonts w:hint="eastAsia"/>
                <w:color w:val="000000"/>
                <w:sz w:val="21"/>
              </w:rPr>
            </w:pPr>
            <w:r>
              <w:rPr>
                <w:rFonts w:hint="eastAsia" w:ascii="Songti SC" w:hAnsi="Songti SC" w:eastAsia="Songti SC" w:cs="Songti SC"/>
                <w:color w:val="000000"/>
                <w:sz w:val="21"/>
              </w:rPr>
              <w:t>本地机房虚拟机</w:t>
            </w:r>
          </w:p>
        </w:tc>
        <w:tc>
          <w:tcPr>
            <w:tcW w:w="529" w:type="pct"/>
            <w:noWrap/>
            <w:vAlign w:val="center"/>
          </w:tcPr>
          <w:p w14:paraId="55FFA745">
            <w:pPr>
              <w:pStyle w:val="129"/>
              <w:rPr>
                <w:rFonts w:hint="eastAsia"/>
                <w:color w:val="000000"/>
                <w:sz w:val="21"/>
              </w:rPr>
            </w:pPr>
            <w:r>
              <w:rPr>
                <w:rFonts w:hint="eastAsia" w:ascii="Songti SC" w:hAnsi="Songti SC" w:eastAsia="Songti SC" w:cs="Songti SC"/>
                <w:color w:val="000000"/>
                <w:sz w:val="21"/>
              </w:rPr>
              <w:t>电子政务外网</w:t>
            </w:r>
          </w:p>
        </w:tc>
      </w:tr>
    </w:tbl>
    <w:p w14:paraId="6F4DB443">
      <w:pPr>
        <w:pStyle w:val="4"/>
        <w:rPr>
          <w:rFonts w:hint="eastAsia"/>
          <w:color w:val="000000" w:themeColor="text1"/>
          <w14:textFill>
            <w14:solidFill>
              <w14:schemeClr w14:val="tx1"/>
            </w14:solidFill>
          </w14:textFill>
        </w:rPr>
      </w:pPr>
      <w:bookmarkStart w:id="165" w:name="_Toc743908925"/>
      <w:r>
        <w:rPr>
          <w:rFonts w:hint="eastAsia"/>
          <w:color w:val="000000" w:themeColor="text1"/>
          <w14:textFill>
            <w14:solidFill>
              <w14:schemeClr w14:val="tx1"/>
            </w14:solidFill>
          </w14:textFill>
        </w:rPr>
        <w:t>系统网络架构现状</w:t>
      </w:r>
      <w:bookmarkEnd w:id="165"/>
    </w:p>
    <w:p w14:paraId="44D91998">
      <w:pPr>
        <w:pStyle w:val="115"/>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drawing>
          <wp:inline distT="0" distB="0" distL="114300" distR="114300">
            <wp:extent cx="5270500" cy="2175510"/>
            <wp:effectExtent l="0" t="0" r="12700" b="8890"/>
            <wp:docPr id="72" name="图片 72"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图片 72" descr="图片1"/>
                    <pic:cNvPicPr>
                      <a:picLocks noChangeAspect="1"/>
                    </pic:cNvPicPr>
                  </pic:nvPicPr>
                  <pic:blipFill>
                    <a:blip r:embed="rId17"/>
                    <a:stretch>
                      <a:fillRect/>
                    </a:stretch>
                  </pic:blipFill>
                  <pic:spPr>
                    <a:xfrm>
                      <a:off x="0" y="0"/>
                      <a:ext cx="5270500" cy="2175510"/>
                    </a:xfrm>
                    <a:prstGeom prst="rect">
                      <a:avLst/>
                    </a:prstGeom>
                  </pic:spPr>
                </pic:pic>
              </a:graphicData>
            </a:graphic>
          </wp:inline>
        </w:drawing>
      </w:r>
    </w:p>
    <w:p w14:paraId="26906E1B">
      <w:pPr>
        <w:pStyle w:val="14"/>
        <w:rPr>
          <w:rFonts w:hint="eastAsia"/>
          <w:color w:val="000000" w:themeColor="text1"/>
          <w14:textFill>
            <w14:solidFill>
              <w14:schemeClr w14:val="tx1"/>
            </w14:solidFill>
          </w14:textFill>
        </w:rPr>
      </w:pPr>
      <w:r>
        <w:rPr>
          <w:rFonts w:hint="eastAsia" w:cs="宋体"/>
          <w:color w:val="000000" w:themeColor="text1"/>
          <w14:textFill>
            <w14:solidFill>
              <w14:schemeClr w14:val="tx1"/>
            </w14:solidFill>
          </w14:textFill>
        </w:rPr>
        <w:t>图</w:t>
      </w:r>
      <w:r>
        <w:rPr>
          <w:rFonts w:cs="宋体"/>
          <w:color w:val="000000" w:themeColor="text1"/>
          <w14:textFill>
            <w14:solidFill>
              <w14:schemeClr w14:val="tx1"/>
            </w14:solidFill>
          </w14:textFill>
        </w:rPr>
        <w:fldChar w:fldCharType="begin"/>
      </w:r>
      <w:r>
        <w:rPr>
          <w:rFonts w:cs="宋体"/>
          <w:color w:val="000000" w:themeColor="text1"/>
          <w14:textFill>
            <w14:solidFill>
              <w14:schemeClr w14:val="tx1"/>
            </w14:solidFill>
          </w14:textFill>
        </w:rPr>
        <w:instrText xml:space="preserve"> </w:instrText>
      </w:r>
      <w:r>
        <w:rPr>
          <w:rFonts w:hint="eastAsia" w:cs="宋体"/>
          <w:color w:val="000000" w:themeColor="text1"/>
          <w14:textFill>
            <w14:solidFill>
              <w14:schemeClr w14:val="tx1"/>
            </w14:solidFill>
          </w14:textFill>
        </w:rPr>
        <w:instrText xml:space="preserve">STYLEREF 1 \s</w:instrText>
      </w:r>
      <w:r>
        <w:rPr>
          <w:rFonts w:cs="宋体"/>
          <w:color w:val="000000" w:themeColor="text1"/>
          <w14:textFill>
            <w14:solidFill>
              <w14:schemeClr w14:val="tx1"/>
            </w14:solidFill>
          </w14:textFill>
        </w:rPr>
        <w:instrText xml:space="preserve"> </w:instrText>
      </w:r>
      <w:r>
        <w:rPr>
          <w:rFonts w:cs="宋体"/>
          <w:color w:val="000000" w:themeColor="text1"/>
          <w14:textFill>
            <w14:solidFill>
              <w14:schemeClr w14:val="tx1"/>
            </w14:solidFill>
          </w14:textFill>
        </w:rPr>
        <w:fldChar w:fldCharType="separate"/>
      </w:r>
      <w:r>
        <w:rPr>
          <w:rFonts w:hint="eastAsia" w:cs="宋体"/>
          <w:color w:val="000000" w:themeColor="text1"/>
          <w14:textFill>
            <w14:solidFill>
              <w14:schemeClr w14:val="tx1"/>
            </w14:solidFill>
          </w14:textFill>
        </w:rPr>
        <w:t>3</w:t>
      </w:r>
      <w:r>
        <w:rPr>
          <w:rFonts w:cs="宋体"/>
          <w:color w:val="000000" w:themeColor="text1"/>
          <w14:textFill>
            <w14:solidFill>
              <w14:schemeClr w14:val="tx1"/>
            </w14:solidFill>
          </w14:textFill>
        </w:rPr>
        <w:fldChar w:fldCharType="end"/>
      </w:r>
      <w:r>
        <w:rPr>
          <w:rFonts w:cs="宋体"/>
          <w:color w:val="000000" w:themeColor="text1"/>
          <w14:textFill>
            <w14:solidFill>
              <w14:schemeClr w14:val="tx1"/>
            </w14:solidFill>
          </w14:textFill>
        </w:rPr>
        <w:t>.</w:t>
      </w:r>
      <w:r>
        <w:rPr>
          <w:rFonts w:cs="宋体"/>
          <w:color w:val="000000" w:themeColor="text1"/>
          <w14:textFill>
            <w14:solidFill>
              <w14:schemeClr w14:val="tx1"/>
            </w14:solidFill>
          </w14:textFill>
        </w:rPr>
        <w:fldChar w:fldCharType="begin"/>
      </w:r>
      <w:r>
        <w:rPr>
          <w:rFonts w:cs="宋体"/>
          <w:color w:val="000000" w:themeColor="text1"/>
          <w14:textFill>
            <w14:solidFill>
              <w14:schemeClr w14:val="tx1"/>
            </w14:solidFill>
          </w14:textFill>
        </w:rPr>
        <w:instrText xml:space="preserve"> </w:instrText>
      </w:r>
      <w:r>
        <w:rPr>
          <w:rFonts w:hint="eastAsia" w:cs="宋体"/>
          <w:color w:val="000000" w:themeColor="text1"/>
          <w14:textFill>
            <w14:solidFill>
              <w14:schemeClr w14:val="tx1"/>
            </w14:solidFill>
          </w14:textFill>
        </w:rPr>
        <w:instrText xml:space="preserve">SEQ 图 \* ARABIC \s 1</w:instrText>
      </w:r>
      <w:r>
        <w:rPr>
          <w:rFonts w:cs="宋体"/>
          <w:color w:val="000000" w:themeColor="text1"/>
          <w14:textFill>
            <w14:solidFill>
              <w14:schemeClr w14:val="tx1"/>
            </w14:solidFill>
          </w14:textFill>
        </w:rPr>
        <w:instrText xml:space="preserve"> </w:instrText>
      </w:r>
      <w:r>
        <w:rPr>
          <w:rFonts w:cs="宋体"/>
          <w:color w:val="000000" w:themeColor="text1"/>
          <w14:textFill>
            <w14:solidFill>
              <w14:schemeClr w14:val="tx1"/>
            </w14:solidFill>
          </w14:textFill>
        </w:rPr>
        <w:fldChar w:fldCharType="separate"/>
      </w:r>
      <w:r>
        <w:rPr>
          <w:rFonts w:hint="eastAsia" w:cs="宋体"/>
          <w:color w:val="000000" w:themeColor="text1"/>
          <w14:textFill>
            <w14:solidFill>
              <w14:schemeClr w14:val="tx1"/>
            </w14:solidFill>
          </w14:textFill>
        </w:rPr>
        <w:t>2</w:t>
      </w:r>
      <w:r>
        <w:rPr>
          <w:rFonts w:cs="宋体"/>
          <w:color w:val="000000" w:themeColor="text1"/>
          <w14:textFill>
            <w14:solidFill>
              <w14:schemeClr w14:val="tx1"/>
            </w14:solidFill>
          </w14:textFill>
        </w:rPr>
        <w:fldChar w:fldCharType="end"/>
      </w:r>
      <w:r>
        <w:rPr>
          <w:rFonts w:hint="eastAsia" w:cs="宋体"/>
          <w:color w:val="000000" w:themeColor="text1"/>
          <w14:textFill>
            <w14:solidFill>
              <w14:schemeClr w14:val="tx1"/>
            </w14:solidFill>
          </w14:textFill>
        </w:rPr>
        <w:t>系统网络架构图</w:t>
      </w:r>
    </w:p>
    <w:p w14:paraId="207FB82E">
      <w:pPr>
        <w:ind w:firstLine="480"/>
        <w:rPr>
          <w:rFonts w:hint="eastAsia"/>
          <w:color w:val="000000" w:themeColor="text1"/>
          <w14:textFill>
            <w14:solidFill>
              <w14:schemeClr w14:val="tx1"/>
            </w14:solidFill>
          </w14:textFill>
        </w:rPr>
      </w:pPr>
      <w:r>
        <w:rPr>
          <w:color w:val="000000" w:themeColor="text1"/>
          <w14:textFill>
            <w14:solidFill>
              <w14:schemeClr w14:val="tx1"/>
            </w14:solidFill>
          </w14:textFill>
        </w:rPr>
        <w:t>食堂消费系统部署于大兴区电子政务外网环境，各集中办公区管理客户端、人脸识别消费机均通过电子政务外网与服务器进行通讯。</w:t>
      </w:r>
    </w:p>
    <w:p w14:paraId="72C4C99E">
      <w:pPr>
        <w:ind w:firstLine="480"/>
        <w:rPr>
          <w:rFonts w:hint="eastAsia"/>
          <w:color w:val="000000"/>
          <w:lang w:bidi="ar"/>
        </w:rPr>
      </w:pPr>
      <w:r>
        <w:rPr>
          <w:rFonts w:hint="eastAsia" w:ascii="Songti SC" w:hAnsi="Songti SC" w:eastAsia="Songti SC" w:cs="Songti SC"/>
          <w:color w:val="000000"/>
          <w:lang w:bidi="ar"/>
        </w:rPr>
        <w:t>现状边界按已有业务资料描述：管理与现场消费涉及电子政务外网接入，线上充值涉及外部业务交换，系统处理人员身份与资金流水。电子政务外网接入不等同于部署在政务云；本轮现状资料所述本地机房虚拟机与目标云资源分别列示。迁移后按新的承载边界落实账号、主机、接口、数据和运维控制，建设安排见第6.5节。</w:t>
      </w:r>
    </w:p>
    <w:p w14:paraId="2B327BCC">
      <w:pPr>
        <w:ind w:firstLine="480"/>
        <w:rPr>
          <w:rFonts w:hint="eastAsia" w:ascii="Songti SC" w:hAnsi="Songti SC" w:eastAsia="Songti SC" w:cs="Songti SC"/>
          <w:color w:val="000000"/>
        </w:rPr>
      </w:pPr>
      <w:r>
        <w:rPr>
          <w:color w:val="000000" w:themeColor="text1"/>
          <w14:textFill>
            <w14:solidFill>
              <w14:schemeClr w14:val="tx1"/>
            </w14:solidFill>
          </w14:textFill>
        </w:rPr>
        <w:t>工商银行线上充值及</w:t>
      </w:r>
      <w:r>
        <w:rPr>
          <w:rFonts w:hint="eastAsia"/>
          <w:color w:val="000000" w:themeColor="text1"/>
          <w:lang w:eastAsia="zh-CN"/>
          <w14:textFill>
            <w14:solidFill>
              <w14:schemeClr w14:val="tx1"/>
            </w14:solidFill>
          </w14:textFill>
        </w:rPr>
        <w:t>大数据交互平台</w:t>
      </w:r>
      <w:r>
        <w:rPr>
          <w:color w:val="000000" w:themeColor="text1"/>
          <w14:textFill>
            <w14:solidFill>
              <w14:schemeClr w14:val="tx1"/>
            </w14:solidFill>
          </w14:textFill>
        </w:rPr>
        <w:t>数据交换关系与前文接口说明保持一致，实施阶段按接口资料完成联调和验证。</w:t>
      </w:r>
    </w:p>
    <w:p w14:paraId="48818189">
      <w:pPr>
        <w:pStyle w:val="3"/>
        <w:rPr>
          <w:rFonts w:hint="eastAsia"/>
          <w:color w:val="000000" w:themeColor="text1"/>
          <w14:textFill>
            <w14:solidFill>
              <w14:schemeClr w14:val="tx1"/>
            </w14:solidFill>
          </w14:textFill>
        </w:rPr>
      </w:pPr>
      <w:bookmarkStart w:id="166" w:name="_Toc1519995162"/>
      <w:bookmarkStart w:id="167" w:name="_Toc227509641"/>
      <w:bookmarkStart w:id="168" w:name="_Toc139899382"/>
      <w:bookmarkStart w:id="169" w:name="_Toc1283752091"/>
      <w:bookmarkStart w:id="170" w:name="_Toc581701533"/>
      <w:r>
        <w:rPr>
          <w:rFonts w:hint="eastAsia"/>
          <w:color w:val="000000" w:themeColor="text1"/>
          <w14:textFill>
            <w14:solidFill>
              <w14:schemeClr w14:val="tx1"/>
            </w14:solidFill>
          </w14:textFill>
        </w:rPr>
        <w:t>项目建设的必要性</w:t>
      </w:r>
      <w:bookmarkEnd w:id="166"/>
      <w:bookmarkEnd w:id="167"/>
      <w:bookmarkEnd w:id="168"/>
    </w:p>
    <w:p w14:paraId="7A0652A0">
      <w:pPr>
        <w:pStyle w:val="4"/>
        <w:rPr>
          <w:rFonts w:hint="eastAsia"/>
          <w:color w:val="000000" w:themeColor="text1"/>
          <w14:textFill>
            <w14:solidFill>
              <w14:schemeClr w14:val="tx1"/>
            </w14:solidFill>
          </w14:textFill>
        </w:rPr>
      </w:pPr>
      <w:bookmarkStart w:id="171" w:name="_Toc93223022"/>
      <w:bookmarkStart w:id="172" w:name="_Toc1941803456"/>
      <w:bookmarkStart w:id="173" w:name="_Toc1233644627"/>
      <w:r>
        <w:rPr>
          <w:rFonts w:hint="eastAsia"/>
          <w:color w:val="000000" w:themeColor="text1"/>
          <w14:textFill>
            <w14:solidFill>
              <w14:schemeClr w14:val="tx1"/>
            </w14:solidFill>
          </w14:textFill>
        </w:rPr>
        <w:t>满足承载环境调整与业务连续要求</w:t>
      </w:r>
      <w:bookmarkEnd w:id="171"/>
      <w:bookmarkEnd w:id="172"/>
      <w:bookmarkEnd w:id="173"/>
    </w:p>
    <w:p w14:paraId="49CB0249">
      <w:pPr>
        <w:ind w:firstLine="480"/>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按本轮现状资料，原机房拟停止服务，现有食堂消费业务需要落实后续承载条件。本中心需统筹目标政务云资源、网络接入、数据迁移和切换安排，保障17处集中办公区日常就餐、充值和财务核对持续开展。原机房退出说明迁移需求，不能单独作为更换应用系统或增加服务器的依据；应用改造与资源配置应分别依据兼容差距、业务要求和容量论证确定。</w:t>
      </w:r>
    </w:p>
    <w:p w14:paraId="38FD3755">
      <w:pPr>
        <w:pStyle w:val="4"/>
        <w:rPr>
          <w:rFonts w:hint="eastAsia"/>
          <w:color w:val="000000"/>
        </w:rPr>
      </w:pPr>
      <w:bookmarkStart w:id="174" w:name="_Toc2058117851"/>
      <w:r>
        <w:rPr>
          <w:rFonts w:hint="eastAsia"/>
          <w:color w:val="000000" w:themeColor="text1"/>
          <w14:textFill>
            <w14:solidFill>
              <w14:schemeClr w14:val="tx1"/>
            </w14:solidFill>
          </w14:textFill>
        </w:rPr>
        <w:t>提升系统安全性</w:t>
      </w:r>
      <w:bookmarkEnd w:id="169"/>
      <w:bookmarkEnd w:id="170"/>
      <w:bookmarkEnd w:id="174"/>
    </w:p>
    <w:p w14:paraId="23DE9BB4">
      <w:pPr>
        <w:ind w:firstLine="480"/>
        <w:rPr>
          <w:rFonts w:hint="eastAsia"/>
          <w:color w:val="000000"/>
        </w:rPr>
      </w:pPr>
      <w:r>
        <w:rPr>
          <w:rFonts w:hint="eastAsia" w:ascii="Songti SC" w:hAnsi="Songti SC" w:eastAsia="Songti SC" w:cs="Songti SC"/>
          <w:color w:val="000000"/>
        </w:rPr>
        <w:t>本中心需要保护的对象包括人员身份、账户余额、充值回调、交易流水和管理权限。迁移过程中应明确目标环境安全责任，保持账户与流水一致，落实接口鉴权、审计及备份恢复，并对实际评估发现的差距安排整改。相关投入应对应具体保护对象和验收成果，不以缺少证据的安全缺陷、软件产地或技术栈变化作为必要性结论。</w:t>
      </w:r>
    </w:p>
    <w:p w14:paraId="2E07FC51">
      <w:pPr>
        <w:pStyle w:val="4"/>
        <w:rPr>
          <w:rFonts w:hint="eastAsia"/>
          <w:color w:val="000000"/>
        </w:rPr>
      </w:pPr>
      <w:bookmarkStart w:id="175" w:name="_Toc253192028"/>
      <w:bookmarkStart w:id="176" w:name="_Toc1312103987"/>
      <w:bookmarkStart w:id="177" w:name="_Toc1267619528"/>
      <w:r>
        <w:rPr>
          <w:rFonts w:hint="eastAsia" w:ascii="Songti SC" w:hAnsi="Songti SC" w:eastAsia="Songti SC" w:cs="Songti SC"/>
          <w:color w:val="000000"/>
        </w:rPr>
        <w:t>满足目标环境兼容与持续运维要求</w:t>
      </w:r>
      <w:bookmarkEnd w:id="175"/>
      <w:bookmarkEnd w:id="176"/>
      <w:bookmarkEnd w:id="177"/>
    </w:p>
    <w:p w14:paraId="0367848C">
      <w:pPr>
        <w:ind w:firstLine="480"/>
        <w:rPr>
          <w:rFonts w:hint="eastAsia"/>
          <w:color w:val="000000"/>
        </w:rPr>
      </w:pPr>
      <w:r>
        <w:rPr>
          <w:rFonts w:ascii="Songti SC" w:hAnsi="Songti SC" w:eastAsia="Songti SC" w:cs="Songti SC"/>
          <w:color w:val="000000"/>
        </w:rPr>
        <w:t>现有系统采用.NET、Windows Server 2012和SQL Server 2014，能否迁入目标环境应核对实际框架版本、操作系统依赖、数据库接口、第三方组件及发布条件。现代.NET具备跨平台能力，但不代表既有应用无需改造即可在任意国产操作系统和芯片上运行；同样，采用PHP也不能替代兼容性验证。本中心将依据实际差距确定改造工作，要求形成部署、运维、备份和回退资料，保证系统能够持续维护。</w:t>
      </w:r>
    </w:p>
    <w:p w14:paraId="3554AF86">
      <w:pPr>
        <w:pStyle w:val="3"/>
        <w:rPr>
          <w:rFonts w:hint="eastAsia"/>
          <w:color w:val="000000"/>
        </w:rPr>
      </w:pPr>
      <w:bookmarkStart w:id="178" w:name="_Toc252369815"/>
      <w:bookmarkStart w:id="179" w:name="_Toc66881458"/>
      <w:bookmarkStart w:id="180" w:name="_Toc1843628856"/>
      <w:bookmarkStart w:id="181" w:name="_Toc271804383"/>
      <w:bookmarkStart w:id="182" w:name="_Toc21717"/>
      <w:bookmarkStart w:id="183" w:name="_Toc259694415"/>
      <w:bookmarkStart w:id="184" w:name="_Toc1233309889"/>
      <w:bookmarkStart w:id="185" w:name="_Toc22138466"/>
      <w:bookmarkStart w:id="186" w:name="_Toc259782086"/>
      <w:r>
        <w:rPr>
          <w:rFonts w:ascii="Songti SC" w:hAnsi="Songti SC" w:eastAsia="Songti SC" w:cs="Songti SC"/>
          <w:color w:val="000000"/>
        </w:rPr>
        <w:t>项目建设的可行性</w:t>
      </w:r>
      <w:bookmarkEnd w:id="178"/>
      <w:bookmarkEnd w:id="179"/>
      <w:bookmarkEnd w:id="180"/>
      <w:bookmarkEnd w:id="181"/>
      <w:bookmarkEnd w:id="182"/>
      <w:bookmarkEnd w:id="183"/>
      <w:bookmarkEnd w:id="184"/>
      <w:bookmarkEnd w:id="185"/>
      <w:bookmarkEnd w:id="186"/>
    </w:p>
    <w:p w14:paraId="0CDE7828">
      <w:pPr>
        <w:pStyle w:val="4"/>
        <w:rPr>
          <w:rFonts w:hint="eastAsia"/>
          <w:color w:val="000000"/>
        </w:rPr>
      </w:pPr>
      <w:bookmarkStart w:id="187" w:name="_Toc1976123876"/>
      <w:bookmarkStart w:id="188" w:name="_Toc566527131"/>
      <w:bookmarkStart w:id="189" w:name="_Toc727143579"/>
      <w:bookmarkStart w:id="190" w:name="_Toc31003"/>
      <w:r>
        <w:rPr>
          <w:rFonts w:hint="eastAsia" w:ascii="Songti SC" w:hAnsi="Songti SC" w:eastAsia="Songti SC" w:cs="Songti SC"/>
          <w:color w:val="000000"/>
        </w:rPr>
        <w:t>政策保障</w:t>
      </w:r>
      <w:bookmarkEnd w:id="187"/>
      <w:bookmarkEnd w:id="188"/>
      <w:bookmarkEnd w:id="189"/>
      <w:bookmarkEnd w:id="190"/>
    </w:p>
    <w:p w14:paraId="4DB44D27">
      <w:pPr>
        <w:ind w:firstLine="480"/>
        <w:rPr>
          <w:rFonts w:hint="eastAsia"/>
          <w:color w:val="000000"/>
        </w:rPr>
      </w:pPr>
      <w:r>
        <w:rPr>
          <w:rFonts w:ascii="Songti SC" w:hAnsi="Songti SC" w:eastAsia="Songti SC" w:cs="Songti SC"/>
          <w:color w:val="000000"/>
        </w:rPr>
        <w:t>本项目符合政务信息化项目集约建设、数据共享和安全合规要求。建设范围聚焦现有系统的软件升级、兼容适配、数据承接、接口联调和安全整改，依托既有政务云资源并同步完成国产基础软件部署适配，有利于形成项目建设、验收和运维闭环。</w:t>
      </w:r>
    </w:p>
    <w:p w14:paraId="1900BAF8">
      <w:pPr>
        <w:pStyle w:val="4"/>
        <w:rPr>
          <w:rFonts w:hint="eastAsia"/>
          <w:color w:val="000000"/>
          <w:lang w:eastAsia="zh-CN"/>
        </w:rPr>
      </w:pPr>
      <w:bookmarkStart w:id="191" w:name="_Toc1920180823"/>
      <w:bookmarkStart w:id="192" w:name="_Toc11460"/>
      <w:bookmarkStart w:id="193" w:name="_Toc1826483566"/>
      <w:bookmarkStart w:id="194" w:name="_Toc1879383077"/>
      <w:r>
        <w:rPr>
          <w:rFonts w:hint="eastAsia" w:ascii="Songti SC" w:hAnsi="Songti SC" w:eastAsia="Songti SC" w:cs="Songti SC"/>
          <w:color w:val="000000"/>
        </w:rPr>
        <w:t>组织和人员保障</w:t>
      </w:r>
      <w:bookmarkEnd w:id="191"/>
      <w:bookmarkEnd w:id="192"/>
      <w:bookmarkEnd w:id="193"/>
      <w:bookmarkEnd w:id="194"/>
    </w:p>
    <w:p w14:paraId="4C1181DA">
      <w:pPr>
        <w:ind w:firstLine="480"/>
        <w:rPr>
          <w:rFonts w:hint="eastAsia"/>
          <w:color w:val="000000"/>
          <w:lang w:bidi="en-US"/>
        </w:rPr>
      </w:pPr>
      <w:r>
        <w:rPr>
          <w:rFonts w:hint="eastAsia" w:ascii="Songti SC" w:hAnsi="Songti SC" w:eastAsia="Songti SC" w:cs="Songti SC"/>
          <w:color w:val="000000"/>
          <w:lang w:bidi="en-US"/>
        </w:rPr>
        <w:t>本中心拟统筹业务、技术、财务和运行管理人员开展项目建设，明确需求确认、资源协调、采购合同管理、实施监督及验收责任。承建单位按合同承担实施和交付工作，相关专家提供技术咨询，测评机构独立开展评价。本中心负责协调各集中办公区及相关接口单位落实实施条件，不以尚未确认的团队配置作为已具备的实施保障。</w:t>
      </w:r>
    </w:p>
    <w:p w14:paraId="56AF6628">
      <w:pPr>
        <w:pStyle w:val="4"/>
        <w:rPr>
          <w:rFonts w:hint="eastAsia"/>
          <w:color w:val="000000"/>
          <w:lang w:eastAsia="zh-CN"/>
        </w:rPr>
      </w:pPr>
      <w:bookmarkStart w:id="195" w:name="_Toc94845045"/>
      <w:bookmarkStart w:id="196" w:name="_Toc6922"/>
      <w:bookmarkStart w:id="197" w:name="_Toc1578043544"/>
      <w:bookmarkStart w:id="198" w:name="_Toc1601895063"/>
      <w:r>
        <w:rPr>
          <w:rFonts w:hint="eastAsia" w:ascii="Songti SC" w:hAnsi="Songti SC" w:eastAsia="Songti SC" w:cs="Songti SC"/>
          <w:color w:val="000000"/>
        </w:rPr>
        <w:t>技术保障</w:t>
      </w:r>
      <w:bookmarkEnd w:id="195"/>
      <w:bookmarkEnd w:id="196"/>
      <w:bookmarkEnd w:id="197"/>
      <w:bookmarkEnd w:id="198"/>
    </w:p>
    <w:p w14:paraId="21EEDDD5">
      <w:pPr>
        <w:ind w:firstLine="480"/>
        <w:rPr>
          <w:rFonts w:hint="eastAsia"/>
          <w:color w:val="000000"/>
          <w:lang w:bidi="en-US"/>
        </w:rPr>
      </w:pPr>
      <w:r>
        <w:rPr>
          <w:rFonts w:ascii="Songti SC" w:hAnsi="Songti SC" w:eastAsia="Songti SC" w:cs="Songti SC"/>
          <w:color w:val="000000"/>
        </w:rPr>
        <w:t>本项目采用成熟PHP产品承接原.NET系统业务，目标为前后端分离、以B/S为主的应用架构。原业务规则、历史数据和外部接口构成迁移边界；国产操作系统、GBase 8s V8.8及相关支撑服务构成适配边界。通过模块对应、分批迁移、账务核对、接口联调和回退安排控制风险，不依赖修改原.NET代码才能完成实施。</w:t>
      </w:r>
    </w:p>
    <w:p w14:paraId="0D275466">
      <w:pPr>
        <w:ind w:firstLine="480"/>
        <w:rPr>
          <w:rFonts w:hint="eastAsia"/>
          <w:color w:val="000000"/>
          <w:lang w:bidi="ar"/>
        </w:rPr>
      </w:pPr>
      <w:r>
        <w:rPr>
          <w:rFonts w:hint="eastAsia" w:ascii="Songti SC" w:hAnsi="Songti SC" w:eastAsia="Songti SC" w:cs="Songti SC"/>
          <w:color w:val="000000"/>
          <w:lang w:bidi="ar"/>
        </w:rPr>
        <w:t>技术路线比较：沿用原系统适配，须核实源码使用条件、框架版本、Windows专用组件、数据库驱动和目标云支持范围，工作量包括环境适配、必要的组件改造和全业务回归；成熟产品替代，须核实现有功能覆盖、产品许可和目标环境兼容性，工作量包括差异功能、历史数据转换、接口及终端衔接。两条路线均需核算授权、实施和运维费用，比较停服窗口、账务核对及回退风险；未取得验证记录和报价前，不判定某条路线必然更便宜或更可靠。</w:t>
      </w:r>
    </w:p>
    <w:p w14:paraId="7BC5B82E">
      <w:pPr>
        <w:ind w:firstLine="480"/>
        <w:rPr>
          <w:rFonts w:hint="eastAsia"/>
          <w:color w:val="000000"/>
          <w:lang w:bidi="ar"/>
        </w:rPr>
      </w:pPr>
      <w:r>
        <w:rPr>
          <w:rFonts w:hint="eastAsia" w:ascii="Songti SC" w:hAnsi="Songti SC" w:eastAsia="Songti SC" w:cs="Songti SC"/>
          <w:color w:val="000000"/>
          <w:lang w:bidi="ar"/>
        </w:rPr>
        <w:t>本方案按成熟PHP产品承接原业务的路线编制后续建设内容，考虑复用人员账户、充值补贴、消费订单、退款审核、设备管理和统计报表等功能，集中处理原业务规则、历史数据及接口差异。本中心将以功能对应、目标环境验证、迁移回退和费用比较材料核查该路线的适用性；PHP是拟采用产品的技术实现，不作为立项必要性的独立依据，也不意味着原.NET系统无法上云。</w:t>
      </w:r>
    </w:p>
    <w:p w14:paraId="540C8DED">
      <w:pPr>
        <w:ind w:firstLine="480"/>
        <w:rPr>
          <w:rFonts w:hint="eastAsia"/>
          <w:color w:val="000000"/>
          <w:lang w:bidi="ar"/>
        </w:rPr>
      </w:pPr>
      <w:r>
        <w:rPr>
          <w:rFonts w:hint="eastAsia" w:ascii="Songti SC" w:hAnsi="Songti SC" w:eastAsia="Songti SC" w:cs="Songti SC"/>
          <w:color w:val="000000"/>
          <w:lang w:bidi="ar"/>
        </w:rPr>
        <w:t>目标技术分工：PHP用于服务端业务处理与接口；JavaScript/Vue用于PC管理界面；uniapp用于就餐人员移动端。Web入口负责接入转发，PHP运行时负责业务执行，数据库负责事务存储，消息组件负责异步通知。Java应用中间件不能被直接写成PHP代码运行容器，具体中间件部署必须与其协议、适配接口和授权范围对应。</w:t>
      </w:r>
    </w:p>
    <w:p w14:paraId="38119448">
      <w:pPr>
        <w:ind w:firstLine="480"/>
        <w:rPr>
          <w:rFonts w:hint="eastAsia"/>
          <w:color w:val="000000"/>
          <w:lang w:bidi="ar"/>
        </w:rPr>
      </w:pPr>
      <w:r>
        <w:rPr>
          <w:rFonts w:hint="eastAsia" w:ascii="Songti SC" w:hAnsi="Songti SC" w:eastAsia="Songti SC" w:cs="Songti SC"/>
          <w:color w:val="000000"/>
          <w:lang w:bidi="ar"/>
        </w:rPr>
        <w:t>现稿引用的《一卡（脸）通智慧平台数据库适配方案V1.1》（南大通用，2026年6月）提出PHP通过PDO_GBASEDBT连接GBase 8s V8.8的路径，可作为适配设计参考。本中心要求分别核验目标产品数据访问层适配与原SQL Server历史数据迁移，形成驱动及SQL测试、业务规则对应、余额流水核对和切换回退记录。设计资料不等同于本项目已完成兼容验证或成本论证。</w:t>
      </w:r>
    </w:p>
    <w:p w14:paraId="63C0EAED">
      <w:pPr>
        <w:pStyle w:val="3"/>
        <w:rPr>
          <w:rFonts w:hint="eastAsia"/>
          <w:color w:val="000000"/>
          <w:lang w:eastAsia="zh-CN"/>
        </w:rPr>
      </w:pPr>
      <w:bookmarkStart w:id="199" w:name="_Toc627805241"/>
      <w:bookmarkStart w:id="200" w:name="_Toc13418"/>
      <w:bookmarkStart w:id="201" w:name="_Toc754803558"/>
      <w:bookmarkStart w:id="202" w:name="_Toc47841402"/>
      <w:r>
        <w:rPr>
          <w:rFonts w:ascii="Songti SC" w:hAnsi="Songti SC" w:eastAsia="Songti SC" w:cs="Songti SC"/>
          <w:color w:val="000000"/>
        </w:rPr>
        <w:t>项目预期绩效</w:t>
      </w:r>
      <w:bookmarkEnd w:id="199"/>
      <w:bookmarkEnd w:id="200"/>
      <w:bookmarkEnd w:id="201"/>
      <w:bookmarkEnd w:id="202"/>
    </w:p>
    <w:p w14:paraId="7B0168ED">
      <w:pPr>
        <w:pStyle w:val="4"/>
        <w:rPr>
          <w:rFonts w:hint="eastAsia"/>
          <w:color w:val="000000"/>
        </w:rPr>
      </w:pPr>
      <w:bookmarkStart w:id="203" w:name="_Toc935527776"/>
      <w:bookmarkStart w:id="204" w:name="_Toc31714"/>
      <w:bookmarkStart w:id="205" w:name="_Toc797496477"/>
      <w:bookmarkStart w:id="206" w:name="_Toc911559436"/>
      <w:r>
        <w:rPr>
          <w:rFonts w:hint="eastAsia" w:ascii="Songti SC" w:hAnsi="Songti SC" w:eastAsia="Songti SC" w:cs="Songti SC"/>
          <w:color w:val="000000"/>
        </w:rPr>
        <w:t>社会效益</w:t>
      </w:r>
      <w:bookmarkEnd w:id="203"/>
      <w:bookmarkEnd w:id="204"/>
      <w:bookmarkEnd w:id="205"/>
      <w:bookmarkEnd w:id="206"/>
    </w:p>
    <w:p w14:paraId="00233C58">
      <w:pPr>
        <w:ind w:firstLine="480"/>
        <w:rPr>
          <w:rFonts w:hint="eastAsia"/>
          <w:color w:val="000000"/>
          <w:lang w:bidi="ar"/>
        </w:rPr>
      </w:pPr>
      <w:r>
        <w:rPr>
          <w:rFonts w:hint="eastAsia" w:ascii="Songti SC" w:hAnsi="Songti SC" w:eastAsia="Songti SC" w:cs="Songti SC"/>
          <w:color w:val="000000"/>
          <w:lang w:bidi="ar"/>
        </w:rPr>
        <w:t>通过本项目的建设，将实现以下社会效益：</w:t>
      </w:r>
    </w:p>
    <w:p w14:paraId="62CEB357">
      <w:pPr>
        <w:ind w:firstLine="480"/>
        <w:rPr>
          <w:rFonts w:hint="eastAsia"/>
          <w:color w:val="000000"/>
          <w:lang w:bidi="ar"/>
        </w:rPr>
      </w:pPr>
      <w:r>
        <w:rPr>
          <w:rFonts w:hint="eastAsia" w:ascii="Songti SC" w:hAnsi="Songti SC" w:eastAsia="Songti SC" w:cs="Songti SC"/>
          <w:color w:val="000000"/>
          <w:lang w:bidi="ar"/>
        </w:rPr>
        <w:t>一是强化信息安全保障。项目通过身份鉴别、访问控制、日志审计、通信保护、敏感数据脱敏和备份恢复，降低人员、账户及消费数据泄露、篡改或丢失风险。</w:t>
      </w:r>
    </w:p>
    <w:p w14:paraId="2EC2F35D">
      <w:pPr>
        <w:ind w:firstLine="480"/>
        <w:rPr>
          <w:rFonts w:hint="eastAsia"/>
          <w:color w:val="000000"/>
          <w:lang w:bidi="ar"/>
        </w:rPr>
      </w:pPr>
      <w:r>
        <w:rPr>
          <w:rFonts w:hint="eastAsia" w:ascii="Songti SC" w:hAnsi="Songti SC" w:eastAsia="Songti SC" w:cs="Songti SC"/>
          <w:color w:val="000000"/>
          <w:lang w:bidi="ar"/>
        </w:rPr>
        <w:t>二是促进信息技术产业发展，本项目的实施为服务器操作系统、数据库等基础软硬件产品提供应用场景，助力成熟技术推广应用，促进信息技术产业链完善，带动相关产业发展，推动国内信息技术自主创新，提升我国信息技术产业国际竞争力。</w:t>
      </w:r>
    </w:p>
    <w:p w14:paraId="07FF0816">
      <w:pPr>
        <w:ind w:firstLine="480"/>
        <w:rPr>
          <w:rFonts w:hint="eastAsia"/>
          <w:color w:val="000000"/>
        </w:rPr>
      </w:pPr>
      <w:r>
        <w:rPr>
          <w:rFonts w:hint="eastAsia" w:ascii="Songti SC" w:hAnsi="Songti SC" w:eastAsia="Songti SC" w:cs="Songti SC"/>
          <w:color w:val="000000"/>
          <w:lang w:bidi="ar"/>
        </w:rPr>
        <w:t>三是提升公共服务水平，稳定可靠的食堂消费系统能为办公人员提供便捷、高效的服务体验，提升集中办公区管理水平，间接优化公共服务环境，增强民众对政务服务的满意度和信任度。</w:t>
      </w:r>
    </w:p>
    <w:p w14:paraId="5DE5EA8A">
      <w:pPr>
        <w:pStyle w:val="4"/>
        <w:rPr>
          <w:rFonts w:hint="eastAsia"/>
          <w:color w:val="000000"/>
        </w:rPr>
      </w:pPr>
      <w:bookmarkStart w:id="207" w:name="_Toc27168"/>
      <w:bookmarkStart w:id="208" w:name="_Toc1077848012"/>
      <w:bookmarkStart w:id="209" w:name="_Toc431103154"/>
      <w:bookmarkStart w:id="210" w:name="_Toc1687551545"/>
      <w:r>
        <w:rPr>
          <w:rFonts w:hint="eastAsia" w:ascii="Songti SC" w:hAnsi="Songti SC" w:eastAsia="Songti SC" w:cs="Songti SC"/>
          <w:color w:val="000000"/>
        </w:rPr>
        <w:t>经济效益</w:t>
      </w:r>
      <w:bookmarkEnd w:id="207"/>
      <w:bookmarkEnd w:id="208"/>
      <w:bookmarkEnd w:id="209"/>
      <w:bookmarkEnd w:id="210"/>
    </w:p>
    <w:p w14:paraId="586392F6">
      <w:pPr>
        <w:ind w:firstLine="480"/>
        <w:rPr>
          <w:rFonts w:hint="eastAsia"/>
          <w:color w:val="000000"/>
          <w:lang w:bidi="ar"/>
        </w:rPr>
      </w:pPr>
      <w:r>
        <w:rPr>
          <w:rFonts w:hint="eastAsia" w:ascii="Songti SC" w:hAnsi="Songti SC" w:eastAsia="Songti SC" w:cs="Songti SC"/>
          <w:color w:val="000000"/>
          <w:lang w:bidi="ar"/>
        </w:rPr>
        <w:t>通过本项目的建设，将实现以下经济效益：</w:t>
      </w:r>
    </w:p>
    <w:p w14:paraId="7F09D79B">
      <w:pPr>
        <w:ind w:firstLine="480"/>
        <w:rPr>
          <w:rFonts w:hint="eastAsia"/>
          <w:color w:val="000000"/>
          <w:lang w:bidi="ar"/>
        </w:rPr>
      </w:pPr>
      <w:r>
        <w:rPr>
          <w:rFonts w:ascii="Songti SC" w:hAnsi="Songti SC" w:eastAsia="Songti SC" w:cs="Songti SC"/>
          <w:color w:val="000000"/>
        </w:rPr>
        <w:t>一是降低长期运维风险。通过系统全面升级与技术架构统一，可减少传统异构环境带来的兼容性问题、重复排障成本和长期运维压力，提升政务后勤信息化系统标准化、集约化运维水平。</w:t>
      </w:r>
    </w:p>
    <w:p w14:paraId="37A15942">
      <w:pPr>
        <w:ind w:firstLine="480"/>
        <w:rPr>
          <w:rFonts w:hint="eastAsia"/>
          <w:color w:val="000000"/>
          <w:lang w:bidi="ar"/>
        </w:rPr>
      </w:pPr>
      <w:r>
        <w:rPr>
          <w:rFonts w:ascii="Songti SC" w:hAnsi="Songti SC" w:eastAsia="Songti SC" w:cs="Songti SC"/>
          <w:color w:val="000000"/>
        </w:rPr>
        <w:t>二是提高业务处理效率。通过数据库适配、索引优化、读写访问优化和应用连接适配，保障早午餐高峰期刷卡、扫码、刷脸消费、充值、订单核销和报表查询的响应能力，减少因系统适配或接口问题造成的业务等待。</w:t>
      </w:r>
    </w:p>
    <w:p w14:paraId="43EA0DDF">
      <w:pPr>
        <w:ind w:firstLine="480"/>
        <w:rPr>
          <w:rFonts w:hint="eastAsia"/>
          <w:color w:val="000000"/>
        </w:rPr>
      </w:pPr>
      <w:r>
        <w:rPr>
          <w:rFonts w:hint="eastAsia" w:ascii="Songti SC" w:hAnsi="Songti SC" w:eastAsia="Songti SC" w:cs="Songti SC"/>
          <w:color w:val="000000"/>
          <w:lang w:bidi="ar"/>
        </w:rPr>
        <w:t>三是带动区域数字经济发展。项目作为大兴区政务领域信息化落地的应用场景，可带动信息技术适配、软硬件集成和数字化运维等上下游资源协同，促进区域信息技术产业生态完善。</w:t>
      </w:r>
    </w:p>
    <w:p w14:paraId="0522F623">
      <w:pPr>
        <w:pStyle w:val="4"/>
        <w:rPr>
          <w:rFonts w:hint="eastAsia"/>
          <w:color w:val="000000"/>
        </w:rPr>
      </w:pPr>
      <w:bookmarkStart w:id="211" w:name="_Toc4905"/>
      <w:bookmarkStart w:id="212" w:name="_Toc2088367947"/>
      <w:bookmarkStart w:id="213" w:name="_Toc862290886"/>
      <w:bookmarkStart w:id="214" w:name="_Toc1366975239"/>
      <w:r>
        <w:rPr>
          <w:rFonts w:hint="eastAsia" w:ascii="Songti SC" w:hAnsi="Songti SC" w:eastAsia="Songti SC" w:cs="Songti SC"/>
          <w:color w:val="000000"/>
        </w:rPr>
        <w:t>数据效益</w:t>
      </w:r>
      <w:bookmarkEnd w:id="211"/>
      <w:bookmarkEnd w:id="212"/>
      <w:bookmarkEnd w:id="213"/>
      <w:bookmarkEnd w:id="214"/>
    </w:p>
    <w:p w14:paraId="29495330">
      <w:pPr>
        <w:ind w:firstLine="480"/>
        <w:rPr>
          <w:rFonts w:hint="eastAsia"/>
          <w:color w:val="000000"/>
          <w:lang w:bidi="ar"/>
        </w:rPr>
      </w:pPr>
      <w:r>
        <w:rPr>
          <w:rFonts w:hint="eastAsia" w:ascii="Songti SC" w:hAnsi="Songti SC" w:eastAsia="Songti SC" w:cs="Songti SC"/>
          <w:color w:val="000000"/>
          <w:lang w:bidi="ar"/>
        </w:rPr>
        <w:t>通过本项目的建设，将实现以下数据效益：</w:t>
      </w:r>
    </w:p>
    <w:p w14:paraId="7D09344C">
      <w:pPr>
        <w:ind w:firstLine="480"/>
        <w:rPr>
          <w:rFonts w:hint="eastAsia"/>
          <w:color w:val="000000"/>
        </w:rPr>
      </w:pPr>
      <w:r>
        <w:rPr>
          <w:rFonts w:hint="eastAsia" w:ascii="Songti SC" w:hAnsi="Songti SC" w:eastAsia="Songti SC" w:cs="Songti SC"/>
          <w:color w:val="000000"/>
        </w:rPr>
        <w:t>依托现有运行环境和安全控制措施，提升数据在存储、传输和访问过程中的安全性，降低数据泄露、篡改或丢失风险，保障食堂消费系统数据资产安全。</w:t>
      </w:r>
    </w:p>
    <w:p w14:paraId="65283BF9">
      <w:pPr>
        <w:ind w:firstLine="480"/>
        <w:rPr>
          <w:rFonts w:hint="eastAsia"/>
          <w:color w:val="000000"/>
        </w:rPr>
      </w:pPr>
      <w:r>
        <w:rPr>
          <w:rFonts w:ascii="Songti SC" w:hAnsi="Songti SC" w:eastAsia="Songti SC" w:cs="Songti SC"/>
          <w:strike/>
          <w:color w:val="000000"/>
        </w:rPr>
        <w:br w:type="page"/>
      </w:r>
    </w:p>
    <w:p w14:paraId="53919CBE">
      <w:pPr>
        <w:pStyle w:val="2"/>
        <w:rPr>
          <w:rFonts w:hint="eastAsia"/>
          <w:color w:val="000000"/>
        </w:rPr>
      </w:pPr>
      <w:bookmarkStart w:id="215" w:name="_Toc972786267"/>
      <w:bookmarkStart w:id="216" w:name="_Toc727358661"/>
      <w:r>
        <w:rPr>
          <w:rFonts w:ascii="Songti SC" w:hAnsi="Songti SC" w:eastAsia="Songti SC" w:cs="Songti SC"/>
          <w:color w:val="000000"/>
        </w:rPr>
        <w:t>需求分析</w:t>
      </w:r>
      <w:bookmarkEnd w:id="215"/>
      <w:bookmarkEnd w:id="216"/>
    </w:p>
    <w:p w14:paraId="1DAE0C85">
      <w:pPr>
        <w:pStyle w:val="3"/>
        <w:rPr>
          <w:rFonts w:hint="eastAsia"/>
          <w:color w:val="000000"/>
        </w:rPr>
      </w:pPr>
      <w:bookmarkStart w:id="217" w:name="_Toc825784858"/>
      <w:bookmarkStart w:id="218" w:name="_Toc1240096703"/>
      <w:r>
        <w:rPr>
          <w:rFonts w:ascii="Songti SC" w:hAnsi="Songti SC" w:eastAsia="Songti SC" w:cs="Songti SC"/>
          <w:color w:val="000000"/>
        </w:rPr>
        <w:t>业务需求分析</w:t>
      </w:r>
      <w:bookmarkEnd w:id="217"/>
      <w:bookmarkEnd w:id="218"/>
    </w:p>
    <w:p w14:paraId="3923036A">
      <w:pPr>
        <w:ind w:firstLine="480"/>
        <w:rPr>
          <w:rFonts w:hint="eastAsia"/>
          <w:color w:val="000000"/>
        </w:rPr>
      </w:pPr>
      <w:r>
        <w:rPr>
          <w:rFonts w:ascii="Songti SC" w:hAnsi="Songti SC" w:eastAsia="Songti SC" w:cs="Songti SC"/>
          <w:color w:val="000000"/>
        </w:rPr>
        <w:t>现有食堂消费系统已经承担集中办公区日常就餐、线上充值、线下充值、人员注册、人员修改、人员注销、账户管理、财务结算和消费统计等工作。随着系统运行环境向建设单位统筹确定的政务云运行环境迁移，项目需求不再是单一软件部署，而是要在保持原有业务不中断的前提下，完成运行底座、业务功能、数据资源、外部接口和消费机接入的整体适配。</w:t>
      </w:r>
    </w:p>
    <w:p w14:paraId="0F46BCB9">
      <w:pPr>
        <w:pStyle w:val="4"/>
        <w:rPr>
          <w:rFonts w:hint="eastAsia"/>
          <w:color w:val="000000"/>
          <w:lang w:eastAsia="zh-CN"/>
        </w:rPr>
      </w:pPr>
      <w:bookmarkStart w:id="219" w:name="_Toc1926781492"/>
      <w:bookmarkStart w:id="220" w:name="_Toc976493186"/>
      <w:r>
        <w:rPr>
          <w:rFonts w:ascii="Songti SC" w:hAnsi="Songti SC" w:eastAsia="Songti SC" w:cs="Songti SC"/>
          <w:color w:val="000000"/>
          <w:lang w:eastAsia="zh-CN"/>
        </w:rPr>
        <w:t>基础运行与业务连续需求分析</w:t>
      </w:r>
      <w:bookmarkEnd w:id="219"/>
      <w:bookmarkEnd w:id="220"/>
    </w:p>
    <w:p w14:paraId="27C2B610">
      <w:pPr>
        <w:ind w:firstLine="480"/>
        <w:rPr>
          <w:rFonts w:hint="eastAsia"/>
          <w:color w:val="000000"/>
        </w:rPr>
      </w:pPr>
      <w:r>
        <w:rPr>
          <w:rFonts w:ascii="Songti SC" w:hAnsi="Songti SC" w:eastAsia="Songti SC" w:cs="Songti SC"/>
          <w:color w:val="000000"/>
        </w:rPr>
        <w:t>业务连续需求：迁移和适配过程中应保持就餐、充值、消费、查询、结算等核心服务连续，重点保障早午餐高峰、集中充值时段和财务对账节点。</w:t>
      </w:r>
    </w:p>
    <w:p w14:paraId="73CF47C5">
      <w:pPr>
        <w:ind w:firstLine="480"/>
        <w:rPr>
          <w:rFonts w:hint="eastAsia"/>
          <w:color w:val="000000"/>
        </w:rPr>
      </w:pPr>
      <w:r>
        <w:rPr>
          <w:rFonts w:ascii="Songti SC" w:hAnsi="Songti SC" w:eastAsia="Songti SC" w:cs="Songti SC"/>
          <w:color w:val="000000"/>
        </w:rPr>
        <w:t>运行环境兼容适配需求：以银河麒麟高级服务器操作系统V10、海光x86_64及GBase 8s V8.8为设计参考路径，适配PHP运行时、数据库驱动和应用接口。中间件按实际支撑职责配置，商业中间件型号及许可范围须与部署方案、预算一致。</w:t>
      </w:r>
    </w:p>
    <w:p w14:paraId="7201471A">
      <w:pPr>
        <w:ind w:firstLine="480"/>
        <w:rPr>
          <w:rFonts w:hint="eastAsia"/>
          <w:color w:val="000000"/>
        </w:rPr>
      </w:pPr>
      <w:r>
        <w:rPr>
          <w:rFonts w:ascii="Songti SC" w:hAnsi="Songti SC" w:eastAsia="Songti SC" w:cs="Songti SC"/>
          <w:color w:val="000000"/>
        </w:rPr>
        <w:t>数据一致需求：人员、账户余额、充值流水、消费流水、补贴流水、退款记录、订单记录和消费机交易记录在承接前后应保持完整、一致、可核对。</w:t>
      </w:r>
    </w:p>
    <w:p w14:paraId="36119812">
      <w:pPr>
        <w:ind w:firstLine="480"/>
        <w:rPr>
          <w:rFonts w:hint="eastAsia"/>
          <w:color w:val="000000"/>
        </w:rPr>
      </w:pPr>
      <w:r>
        <w:rPr>
          <w:rFonts w:ascii="Songti SC" w:hAnsi="Songti SC" w:eastAsia="Songti SC" w:cs="Songti SC"/>
          <w:color w:val="000000"/>
        </w:rPr>
        <w:t>接口联通需求：小程序端线上充值、工商银行充值交互、</w:t>
      </w:r>
      <w:r>
        <w:rPr>
          <w:rFonts w:hint="eastAsia" w:ascii="Songti SC" w:hAnsi="Songti SC" w:eastAsia="Songti SC" w:cs="Songti SC"/>
          <w:color w:val="000000"/>
          <w:lang w:eastAsia="zh-CN"/>
        </w:rPr>
        <w:t>大数据交互平台</w:t>
      </w:r>
      <w:r>
        <w:rPr>
          <w:rFonts w:ascii="Songti SC" w:hAnsi="Songti SC" w:eastAsia="Songti SC" w:cs="Songti SC"/>
          <w:color w:val="000000"/>
        </w:rPr>
        <w:t>、前置库和消费机接口应在新环境下保持稳定联通。</w:t>
      </w:r>
    </w:p>
    <w:p w14:paraId="5C03CC78">
      <w:pPr>
        <w:ind w:firstLine="480"/>
        <w:rPr>
          <w:rFonts w:hint="eastAsia"/>
          <w:color w:val="000000"/>
        </w:rPr>
      </w:pPr>
      <w:r>
        <w:rPr>
          <w:rFonts w:ascii="Songti SC" w:hAnsi="Songti SC" w:eastAsia="Songti SC" w:cs="Songti SC"/>
          <w:color w:val="000000"/>
        </w:rPr>
        <w:t>消费终端更新需求：现有各类现场消费终端统一纳入更新及接入适配范围，根据目标系统、接口协议和现场运行要求确定更新方式，并完成设备配置和联调。</w:t>
      </w:r>
    </w:p>
    <w:p w14:paraId="18C800F2">
      <w:pPr>
        <w:ind w:firstLine="480"/>
        <w:rPr>
          <w:rFonts w:hint="eastAsia"/>
          <w:color w:val="000000"/>
        </w:rPr>
      </w:pPr>
      <w:r>
        <w:rPr>
          <w:rFonts w:ascii="Songti SC" w:hAnsi="Songti SC" w:eastAsia="Songti SC" w:cs="Songti SC"/>
          <w:color w:val="000000"/>
        </w:rPr>
        <w:t>运行保障需求：上线后需要形成配置管理、日志审计、运行监测、备份恢复、问题闭环和人员培训等持续保障能力。</w:t>
      </w:r>
    </w:p>
    <w:p w14:paraId="4BD9063A">
      <w:pPr>
        <w:pStyle w:val="4"/>
        <w:rPr>
          <w:rFonts w:hint="eastAsia"/>
          <w:color w:val="000000"/>
          <w:lang w:eastAsia="zh-CN"/>
        </w:rPr>
      </w:pPr>
      <w:bookmarkStart w:id="221" w:name="_Toc850946728"/>
      <w:bookmarkStart w:id="222" w:name="_Toc1510622931"/>
      <w:r>
        <w:rPr>
          <w:rFonts w:ascii="Songti SC" w:hAnsi="Songti SC" w:eastAsia="Songti SC" w:cs="Songti SC"/>
          <w:color w:val="000000"/>
          <w:lang w:eastAsia="zh-CN"/>
        </w:rPr>
        <w:t>业务平台替代升级需求分析</w:t>
      </w:r>
      <w:bookmarkEnd w:id="221"/>
      <w:bookmarkEnd w:id="222"/>
    </w:p>
    <w:p w14:paraId="5FD0AF64">
      <w:pPr>
        <w:ind w:firstLine="480"/>
        <w:rPr>
          <w:rFonts w:hint="eastAsia"/>
          <w:color w:val="000000"/>
        </w:rPr>
      </w:pPr>
      <w:r>
        <w:rPr>
          <w:rFonts w:ascii="Songti SC" w:hAnsi="Songti SC" w:eastAsia="Songti SC" w:cs="Songti SC"/>
          <w:color w:val="000000"/>
        </w:rPr>
        <w:t>本期按“业务保留、实现升级、数据承接”组织功能：原人员和账户业务由目标人员档案、账户及权限模块承接；充值、补贴和退款由目标财务模块承接；消费结算由订单、消费策略及设备模块承接；统计查询由报表模块承接。各模块完成原业务规则映射后，统一接入目标运行环境。</w:t>
      </w:r>
    </w:p>
    <w:p w14:paraId="63E584BD">
      <w:pPr>
        <w:ind w:firstLine="480"/>
        <w:rPr>
          <w:rFonts w:hint="eastAsia"/>
          <w:color w:val="000000"/>
        </w:rPr>
      </w:pPr>
      <w:r>
        <w:rPr>
          <w:rFonts w:ascii="Songti SC" w:hAnsi="Songti SC" w:eastAsia="Songti SC" w:cs="Songti SC"/>
          <w:color w:val="000000"/>
        </w:rPr>
        <w:t>本期将环境地址、接口凭据、餐次和消费规则、设备绑定及任务状态纳入统一配置管理，提供变更记录与回退机制。该项是目标平台的实施要求，不改变人员、账户、充值、消费和财务对账的业务边界。</w:t>
      </w:r>
    </w:p>
    <w:p w14:paraId="772238B3">
      <w:pPr>
        <w:ind w:firstLine="480"/>
        <w:rPr>
          <w:rFonts w:hint="eastAsia"/>
          <w:color w:val="000000"/>
        </w:rPr>
      </w:pPr>
      <w:r>
        <w:rPr>
          <w:rFonts w:ascii="Songti SC" w:hAnsi="Songti SC" w:eastAsia="Songti SC" w:cs="Songti SC"/>
          <w:color w:val="000000"/>
        </w:rPr>
        <w:t>需要保持既有业务流程不变，在新环境中完成管理端、小程序端、后台服务和消费机接入的功能回归。</w:t>
      </w:r>
    </w:p>
    <w:p w14:paraId="6A27BEC1">
      <w:pPr>
        <w:ind w:firstLine="480"/>
        <w:rPr>
          <w:rFonts w:hint="eastAsia"/>
          <w:color w:val="000000"/>
          <w:lang w:bidi="ar"/>
        </w:rPr>
      </w:pPr>
      <w:r>
        <w:rPr>
          <w:rFonts w:hint="eastAsia" w:ascii="Songti SC" w:hAnsi="Songti SC" w:eastAsia="Songti SC" w:cs="Songti SC"/>
          <w:b/>
          <w:color w:val="000000"/>
          <w:lang w:bidi="ar"/>
        </w:rPr>
        <w:t>三类软件端及终端的升级范围对照</w:t>
      </w:r>
    </w:p>
    <w:tbl>
      <w:tblPr>
        <w:tblStyle w:val="60"/>
        <w:tblW w:w="8500"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75" w:type="dxa"/>
          <w:left w:w="75" w:type="dxa"/>
          <w:bottom w:w="75" w:type="dxa"/>
          <w:right w:w="75" w:type="dxa"/>
        </w:tblCellMar>
      </w:tblPr>
      <w:tblGrid>
        <w:gridCol w:w="1600"/>
        <w:gridCol w:w="2500"/>
        <w:gridCol w:w="4400"/>
      </w:tblGrid>
      <w:tr w14:paraId="4CB6478A">
        <w:trPr>
          <w:cantSplit/>
          <w:tblHeader/>
        </w:trPr>
        <w:tc>
          <w:tcPr>
            <w:tcW w:w="1600" w:type="dxa"/>
            <w:vAlign w:val="center"/>
          </w:tcPr>
          <w:p w14:paraId="1FE293EC">
            <w:pPr>
              <w:spacing w:before="40" w:after="40" w:line="260" w:lineRule="auto"/>
            </w:pPr>
            <w:r>
              <w:rPr>
                <w:rFonts w:hint="eastAsia" w:ascii="Songti SC" w:hAnsi="Songti SC" w:eastAsia="Songti SC" w:cs="Songti SC"/>
                <w:b/>
                <w:color w:val="000000"/>
                <w:sz w:val="21"/>
                <w:szCs w:val="21"/>
                <w:lang w:bidi="ar"/>
              </w:rPr>
              <w:t>对象</w:t>
            </w:r>
          </w:p>
        </w:tc>
        <w:tc>
          <w:tcPr>
            <w:tcW w:w="2500" w:type="dxa"/>
            <w:vAlign w:val="center"/>
          </w:tcPr>
          <w:p w14:paraId="4CBC41CD">
            <w:pPr>
              <w:spacing w:before="40" w:after="40" w:line="260" w:lineRule="auto"/>
            </w:pPr>
            <w:r>
              <w:rPr>
                <w:rFonts w:hint="eastAsia" w:ascii="Songti SC" w:hAnsi="Songti SC" w:eastAsia="Songti SC" w:cs="Songti SC"/>
                <w:b/>
                <w:color w:val="000000"/>
                <w:sz w:val="21"/>
                <w:szCs w:val="21"/>
                <w:lang w:bidi="ar"/>
              </w:rPr>
              <w:t>原业务承接范围</w:t>
            </w:r>
          </w:p>
        </w:tc>
        <w:tc>
          <w:tcPr>
            <w:tcW w:w="4400" w:type="dxa"/>
            <w:vAlign w:val="center"/>
          </w:tcPr>
          <w:p w14:paraId="2ACCB40A">
            <w:pPr>
              <w:spacing w:before="40" w:after="40" w:line="260" w:lineRule="auto"/>
            </w:pPr>
            <w:r>
              <w:rPr>
                <w:rFonts w:hint="eastAsia" w:ascii="Songti SC" w:hAnsi="Songti SC" w:eastAsia="Songti SC" w:cs="Songti SC"/>
                <w:b/>
                <w:color w:val="000000"/>
                <w:sz w:val="21"/>
                <w:szCs w:val="21"/>
                <w:lang w:bidi="ar"/>
              </w:rPr>
              <w:t>本期变化与完成结果</w:t>
            </w:r>
          </w:p>
        </w:tc>
      </w:tr>
      <w:tr w14:paraId="57D377C0">
        <w:trPr>
          <w:cantSplit/>
        </w:trPr>
        <w:tc>
          <w:tcPr>
            <w:tcW w:w="1600" w:type="dxa"/>
            <w:vAlign w:val="center"/>
          </w:tcPr>
          <w:p w14:paraId="2587E953">
            <w:pPr>
              <w:spacing w:before="40" w:after="40" w:line="260" w:lineRule="auto"/>
            </w:pPr>
            <w:r>
              <w:rPr>
                <w:rFonts w:hint="eastAsia" w:ascii="Songti SC" w:hAnsi="Songti SC" w:eastAsia="Songti SC" w:cs="Songti SC"/>
                <w:color w:val="000000"/>
                <w:sz w:val="21"/>
                <w:szCs w:val="21"/>
                <w:lang w:bidi="ar"/>
              </w:rPr>
              <w:t>服务管理后台</w:t>
            </w:r>
          </w:p>
        </w:tc>
        <w:tc>
          <w:tcPr>
            <w:tcW w:w="2500" w:type="dxa"/>
            <w:vAlign w:val="center"/>
          </w:tcPr>
          <w:p w14:paraId="3A4C00B4">
            <w:pPr>
              <w:spacing w:before="40" w:after="40" w:line="260" w:lineRule="auto"/>
            </w:pPr>
            <w:r>
              <w:rPr>
                <w:rFonts w:hint="eastAsia" w:ascii="Songti SC" w:hAnsi="Songti SC" w:eastAsia="Songti SC" w:cs="Songti SC"/>
                <w:color w:val="000000"/>
                <w:sz w:val="21"/>
                <w:szCs w:val="21"/>
                <w:lang w:bidi="ar"/>
              </w:rPr>
              <w:t>原人员、账户、充值、消费、结算及统计业务。</w:t>
            </w:r>
          </w:p>
        </w:tc>
        <w:tc>
          <w:tcPr>
            <w:tcW w:w="4400" w:type="dxa"/>
            <w:vAlign w:val="center"/>
          </w:tcPr>
          <w:p w14:paraId="40C98C26">
            <w:pPr>
              <w:spacing w:before="40" w:after="40" w:line="260" w:lineRule="auto"/>
            </w:pPr>
            <w:r>
              <w:rPr>
                <w:rFonts w:hint="eastAsia" w:ascii="Songti SC" w:hAnsi="Songti SC" w:eastAsia="Songti SC" w:cs="Songti SC"/>
                <w:color w:val="000000"/>
                <w:sz w:val="21"/>
                <w:szCs w:val="21"/>
                <w:lang w:bidi="ar"/>
              </w:rPr>
              <w:t>目标人员账户、充值补贴、订单售后和报表模块承接；PHP API统一处理扣款、入账和权限。完成规则映射、余额流水迁移及异常处理；对应概算第2—9项。</w:t>
            </w:r>
          </w:p>
        </w:tc>
      </w:tr>
      <w:tr w14:paraId="549ADCAC">
        <w:trPr>
          <w:cantSplit/>
        </w:trPr>
        <w:tc>
          <w:tcPr>
            <w:tcW w:w="1600" w:type="dxa"/>
            <w:vAlign w:val="center"/>
          </w:tcPr>
          <w:p w14:paraId="40BBE9FD">
            <w:pPr>
              <w:spacing w:before="40" w:after="40" w:line="260" w:lineRule="auto"/>
            </w:pPr>
            <w:r>
              <w:rPr>
                <w:rFonts w:hint="eastAsia" w:ascii="Songti SC" w:hAnsi="Songti SC" w:eastAsia="Songti SC" w:cs="Songti SC"/>
                <w:color w:val="000000"/>
                <w:sz w:val="21"/>
                <w:szCs w:val="21"/>
                <w:lang w:bidi="ar"/>
              </w:rPr>
              <w:t>管理用户端</w:t>
            </w:r>
          </w:p>
        </w:tc>
        <w:tc>
          <w:tcPr>
            <w:tcW w:w="2500" w:type="dxa"/>
            <w:vAlign w:val="center"/>
          </w:tcPr>
          <w:p w14:paraId="52BFC9E9">
            <w:pPr>
              <w:spacing w:before="40" w:after="40" w:line="260" w:lineRule="auto"/>
            </w:pPr>
            <w:r>
              <w:rPr>
                <w:rFonts w:hint="eastAsia" w:ascii="Songti SC" w:hAnsi="Songti SC" w:eastAsia="Songti SC" w:cs="Songti SC"/>
                <w:color w:val="000000"/>
                <w:sz w:val="21"/>
                <w:szCs w:val="21"/>
                <w:lang w:bidi="ar"/>
              </w:rPr>
              <w:t>人员、餐厅、财务等管理人员的业务办理入口。</w:t>
            </w:r>
          </w:p>
        </w:tc>
        <w:tc>
          <w:tcPr>
            <w:tcW w:w="4400" w:type="dxa"/>
            <w:vAlign w:val="center"/>
          </w:tcPr>
          <w:p w14:paraId="1A9A6E13">
            <w:pPr>
              <w:spacing w:before="40" w:after="40" w:line="260" w:lineRule="auto"/>
            </w:pPr>
            <w:r>
              <w:rPr>
                <w:rFonts w:hint="eastAsia" w:ascii="Songti SC" w:hAnsi="Songti SC" w:eastAsia="Songti SC" w:cs="Songti SC"/>
                <w:color w:val="000000"/>
                <w:sz w:val="21"/>
                <w:szCs w:val="21"/>
                <w:lang w:bidi="ar"/>
              </w:rPr>
              <w:t>Vue管理端承接人员、配置、财务、订单和报表操作，按部门及角色配置权限；对应概算第2—8项，与服务后台合并为同一模块交付，不重复计费。</w:t>
            </w:r>
          </w:p>
        </w:tc>
      </w:tr>
      <w:tr w14:paraId="1748BBD6">
        <w:trPr>
          <w:cantSplit/>
        </w:trPr>
        <w:tc>
          <w:tcPr>
            <w:tcW w:w="1600" w:type="dxa"/>
            <w:vAlign w:val="center"/>
          </w:tcPr>
          <w:p w14:paraId="6B88CF06">
            <w:pPr>
              <w:spacing w:before="40" w:after="40" w:line="260" w:lineRule="auto"/>
            </w:pPr>
            <w:r>
              <w:rPr>
                <w:rFonts w:hint="eastAsia" w:ascii="Songti SC" w:hAnsi="Songti SC" w:eastAsia="Songti SC" w:cs="Songti SC"/>
                <w:color w:val="000000"/>
                <w:sz w:val="21"/>
                <w:szCs w:val="21"/>
                <w:lang w:bidi="ar"/>
              </w:rPr>
              <w:t>就餐者微信小程序</w:t>
            </w:r>
          </w:p>
        </w:tc>
        <w:tc>
          <w:tcPr>
            <w:tcW w:w="2500" w:type="dxa"/>
            <w:vAlign w:val="center"/>
          </w:tcPr>
          <w:p w14:paraId="4C7FD46B">
            <w:pPr>
              <w:spacing w:before="40" w:after="40" w:line="260" w:lineRule="auto"/>
            </w:pPr>
            <w:r>
              <w:rPr>
                <w:rFonts w:hint="eastAsia" w:ascii="Songti SC" w:hAnsi="Songti SC" w:eastAsia="Songti SC" w:cs="Songti SC"/>
                <w:color w:val="000000"/>
                <w:sz w:val="21"/>
                <w:szCs w:val="21"/>
                <w:lang w:bidi="ar"/>
              </w:rPr>
              <w:t>原有充值、余额及消费记录查询等移动服务。</w:t>
            </w:r>
          </w:p>
        </w:tc>
        <w:tc>
          <w:tcPr>
            <w:tcW w:w="4400" w:type="dxa"/>
            <w:vAlign w:val="center"/>
          </w:tcPr>
          <w:p w14:paraId="4BF98E15">
            <w:pPr>
              <w:spacing w:before="40" w:after="40" w:line="260" w:lineRule="auto"/>
            </w:pPr>
            <w:r>
              <w:rPr>
                <w:rFonts w:hint="eastAsia" w:ascii="Songti SC" w:hAnsi="Songti SC" w:eastAsia="Songti SC" w:cs="Songti SC"/>
                <w:color w:val="000000"/>
                <w:sz w:val="21"/>
                <w:szCs w:val="21"/>
                <w:lang w:bidi="ar"/>
              </w:rPr>
              <w:t>uniapp移动端承接登录、余额、充值及个人记录查询，接入PHP后台；工商银行充值按发起、回调、查询、对账闭环适配，对应概算第14项。</w:t>
            </w:r>
          </w:p>
        </w:tc>
      </w:tr>
      <w:tr w14:paraId="2D7AB231">
        <w:trPr>
          <w:cantSplit/>
        </w:trPr>
        <w:tc>
          <w:tcPr>
            <w:tcW w:w="1600" w:type="dxa"/>
            <w:vAlign w:val="center"/>
          </w:tcPr>
          <w:p w14:paraId="53645403">
            <w:pPr>
              <w:spacing w:before="40" w:after="40" w:line="260" w:lineRule="auto"/>
            </w:pPr>
            <w:r>
              <w:rPr>
                <w:rFonts w:hint="eastAsia" w:ascii="Songti SC" w:hAnsi="Songti SC" w:eastAsia="Songti SC" w:cs="Songti SC"/>
                <w:color w:val="000000"/>
                <w:sz w:val="21"/>
                <w:szCs w:val="21"/>
                <w:lang w:bidi="ar"/>
              </w:rPr>
              <w:t>55台现场终端</w:t>
            </w:r>
          </w:p>
        </w:tc>
        <w:tc>
          <w:tcPr>
            <w:tcW w:w="2500" w:type="dxa"/>
            <w:vAlign w:val="center"/>
          </w:tcPr>
          <w:p w14:paraId="43C556B5">
            <w:pPr>
              <w:spacing w:before="40" w:after="40" w:line="260" w:lineRule="auto"/>
            </w:pPr>
            <w:r>
              <w:rPr>
                <w:rFonts w:hint="eastAsia" w:ascii="Songti SC" w:hAnsi="Songti SC" w:eastAsia="Songti SC" w:cs="Songti SC"/>
                <w:color w:val="000000"/>
                <w:sz w:val="21"/>
                <w:szCs w:val="21"/>
                <w:lang w:bidi="ar"/>
              </w:rPr>
              <w:t>办公区现场消费入口与既有点位。</w:t>
            </w:r>
          </w:p>
        </w:tc>
        <w:tc>
          <w:tcPr>
            <w:tcW w:w="4400" w:type="dxa"/>
            <w:vAlign w:val="center"/>
          </w:tcPr>
          <w:p w14:paraId="12CEACB5">
            <w:pPr>
              <w:spacing w:before="40" w:after="40" w:line="260" w:lineRule="auto"/>
            </w:pPr>
            <w:r>
              <w:rPr>
                <w:rFonts w:hint="eastAsia" w:ascii="Songti SC" w:hAnsi="Songti SC" w:eastAsia="Songti SC" w:cs="Songti SC"/>
                <w:color w:val="000000"/>
                <w:sz w:val="21"/>
                <w:szCs w:val="21"/>
                <w:lang w:bidi="ar"/>
              </w:rPr>
              <w:t>55台终端更新后接入新平台：按三类设备完成协议与本机功能适配，公共同步和任务管理单列范围；对应概算第10—13项，逐点验证不重复计列同类协议开发。</w:t>
            </w:r>
          </w:p>
        </w:tc>
      </w:tr>
    </w:tbl>
    <w:p w14:paraId="76E61666">
      <w:pPr>
        <w:ind w:firstLine="480"/>
        <w:rPr>
          <w:rFonts w:hint="eastAsia"/>
          <w:color w:val="000000"/>
        </w:rPr>
      </w:pPr>
      <w:r>
        <w:rPr>
          <w:rFonts w:ascii="Songti SC" w:hAnsi="Songti SC" w:eastAsia="Songti SC" w:cs="Songti SC"/>
          <w:color w:val="000000"/>
        </w:rPr>
        <w:t>需要将业务异常处理、日志留痕、状态追踪和对账核查作为目标系统的基础能力，而不是仅做页面迁移。</w:t>
      </w:r>
    </w:p>
    <w:p w14:paraId="73F62C21">
      <w:pPr>
        <w:pStyle w:val="4"/>
        <w:rPr>
          <w:rFonts w:hint="eastAsia"/>
          <w:color w:val="000000"/>
        </w:rPr>
      </w:pPr>
      <w:bookmarkStart w:id="223" w:name="_Toc1487926483"/>
      <w:bookmarkStart w:id="224" w:name="_Toc1768052123"/>
      <w:r>
        <w:rPr>
          <w:rFonts w:ascii="Songti SC" w:hAnsi="Songti SC" w:eastAsia="Songti SC" w:cs="Songti SC"/>
          <w:color w:val="000000"/>
        </w:rPr>
        <w:t>核心业务闭环需求分析</w:t>
      </w:r>
      <w:bookmarkEnd w:id="223"/>
      <w:bookmarkEnd w:id="224"/>
    </w:p>
    <w:p w14:paraId="4607EF8A">
      <w:pPr>
        <w:ind w:firstLine="480"/>
        <w:rPr>
          <w:rFonts w:hint="eastAsia"/>
          <w:color w:val="000000"/>
        </w:rPr>
      </w:pPr>
      <w:r>
        <w:rPr>
          <w:rFonts w:ascii="Songti SC" w:hAnsi="Songti SC" w:eastAsia="Songti SC" w:cs="Songti SC"/>
          <w:color w:val="000000"/>
        </w:rPr>
        <w:t>项目建设需要围绕“人员准入、账户管理、充值入账、现场消费、订单留痕、财务对账、报表汇总、异常处置”形成完整业务闭环。每一笔充值、每一笔消费、每一次补贴发放和每一次退款处理，都应能够从业务发起追踪到系统处理结果，并能够在财务、报表和运行日志中找到一致记录。</w:t>
      </w:r>
    </w:p>
    <w:p w14:paraId="397D5D38">
      <w:pPr>
        <w:ind w:firstLine="480"/>
        <w:rPr>
          <w:rFonts w:hint="eastAsia"/>
          <w:color w:val="000000"/>
        </w:rPr>
      </w:pPr>
      <w:r>
        <w:rPr>
          <w:rFonts w:ascii="Songti SC" w:hAnsi="Songti SC" w:eastAsia="Songti SC" w:cs="Songti SC"/>
          <w:color w:val="000000"/>
        </w:rPr>
        <w:t>人员准入闭环：人员注册后形成档案、账户、身份类别和消费权限，人员修改、挂失、恢复、离职和注销后同步影响账户使用和消费机识别。</w:t>
      </w:r>
    </w:p>
    <w:p w14:paraId="196E1040">
      <w:pPr>
        <w:ind w:firstLine="480"/>
        <w:rPr>
          <w:rFonts w:hint="eastAsia"/>
          <w:color w:val="000000"/>
        </w:rPr>
      </w:pPr>
      <w:r>
        <w:rPr>
          <w:rFonts w:ascii="Songti SC" w:hAnsi="Songti SC" w:eastAsia="Songti SC" w:cs="Songti SC"/>
          <w:color w:val="000000"/>
        </w:rPr>
        <w:t>充值入账闭环：线上充值由小程序发起，平台形成充值订单，银行返回处理结果，系统完成入账并写入账户流水，异常订单进入回查和对账流程。</w:t>
      </w:r>
    </w:p>
    <w:p w14:paraId="2E723819">
      <w:pPr>
        <w:ind w:firstLine="480"/>
        <w:rPr>
          <w:rFonts w:hint="eastAsia"/>
          <w:color w:val="000000"/>
        </w:rPr>
      </w:pPr>
      <w:r>
        <w:rPr>
          <w:rFonts w:ascii="Songti SC" w:hAnsi="Songti SC" w:eastAsia="Songti SC" w:cs="Songti SC"/>
          <w:color w:val="000000"/>
        </w:rPr>
        <w:t>现场消费闭环：消费机识别人员或凭证后提交交易请求，后台完成身份、卡状态、账户余额、消费策略和餐次规则校验，扣款后返回结果并形成订单和账户流水。</w:t>
      </w:r>
    </w:p>
    <w:p w14:paraId="6EDEF08B">
      <w:pPr>
        <w:ind w:firstLine="480"/>
        <w:rPr>
          <w:rFonts w:hint="eastAsia"/>
          <w:color w:val="000000"/>
        </w:rPr>
      </w:pPr>
      <w:r>
        <w:rPr>
          <w:rFonts w:ascii="Songti SC" w:hAnsi="Songti SC" w:eastAsia="Songti SC" w:cs="Songti SC"/>
          <w:color w:val="000000"/>
        </w:rPr>
        <w:t>离线补传闭环：网络异常期间消费机暂存交易，网络恢复后补传后台，后台通过设备编号、本地订单号和交易时间判重，避免重复扣款和漏记流水。</w:t>
      </w:r>
    </w:p>
    <w:p w14:paraId="79BF000D">
      <w:pPr>
        <w:ind w:firstLine="480"/>
        <w:rPr>
          <w:rFonts w:hint="eastAsia"/>
          <w:color w:val="000000"/>
        </w:rPr>
      </w:pPr>
      <w:r>
        <w:rPr>
          <w:rFonts w:ascii="Songti SC" w:hAnsi="Songti SC" w:eastAsia="Songti SC" w:cs="Songti SC"/>
          <w:color w:val="000000"/>
        </w:rPr>
        <w:t>财务对账闭环：充值、消费、退款和补贴数据分别形成明细、汇总和差异清单，支持财务人员按日期、批次、渠道、餐厅和人员维度核对。</w:t>
      </w:r>
    </w:p>
    <w:p w14:paraId="2F71E0CB">
      <w:pPr>
        <w:ind w:firstLine="480"/>
        <w:rPr>
          <w:rFonts w:hint="eastAsia"/>
          <w:color w:val="000000"/>
        </w:rPr>
      </w:pPr>
      <w:r>
        <w:rPr>
          <w:rFonts w:ascii="Songti SC" w:hAnsi="Songti SC" w:eastAsia="Songti SC" w:cs="Songti SC"/>
          <w:color w:val="000000"/>
        </w:rPr>
        <w:t>异常处置闭环：交易失败、扣款异常、充值未到账、补传失败、消息未送达和接口超时等问题应有状态、原因、处理人、处理时间和最终结果。</w:t>
      </w:r>
    </w:p>
    <w:p w14:paraId="3EC99F24">
      <w:pPr>
        <w:pStyle w:val="4"/>
        <w:rPr>
          <w:rFonts w:hint="eastAsia"/>
          <w:color w:val="000000"/>
        </w:rPr>
      </w:pPr>
      <w:bookmarkStart w:id="225" w:name="_Toc133330466"/>
      <w:bookmarkStart w:id="226" w:name="_Toc920807722"/>
      <w:r>
        <w:rPr>
          <w:rFonts w:ascii="Songti SC" w:hAnsi="Songti SC" w:eastAsia="Songti SC" w:cs="Songti SC"/>
          <w:color w:val="000000"/>
        </w:rPr>
        <w:t>高峰服务保障需求分析</w:t>
      </w:r>
      <w:bookmarkEnd w:id="225"/>
      <w:bookmarkEnd w:id="226"/>
    </w:p>
    <w:p w14:paraId="57EB0849">
      <w:pPr>
        <w:ind w:firstLine="480"/>
        <w:rPr>
          <w:rFonts w:hint="eastAsia"/>
          <w:color w:val="000000"/>
        </w:rPr>
      </w:pPr>
      <w:r>
        <w:rPr>
          <w:rFonts w:ascii="Songti SC" w:hAnsi="Songti SC" w:eastAsia="Songti SC" w:cs="Songti SC"/>
          <w:color w:val="000000"/>
        </w:rPr>
        <w:t>集中办公区食堂业务具有明显的时段性，早餐、午餐和集中充值窗口对系统响应、消费机联通、账户扣款和报表入库提出更高要求。项目建设需要把高峰时段作为重要场景进行设计，确保高峰期间前端交易快速、后台扣款准确、异常处理可控。</w:t>
      </w:r>
    </w:p>
    <w:p w14:paraId="6EA9BB0C">
      <w:pPr>
        <w:ind w:firstLine="480"/>
        <w:rPr>
          <w:rFonts w:hint="eastAsia"/>
          <w:color w:val="000000"/>
        </w:rPr>
      </w:pPr>
      <w:r>
        <w:rPr>
          <w:rFonts w:ascii="Songti SC" w:hAnsi="Songti SC" w:eastAsia="Songti SC" w:cs="Songti SC"/>
          <w:color w:val="000000"/>
        </w:rPr>
        <w:t>就餐高峰期间，消费机识别、交易提交、后台校验和扣款结果返回应保持稳定，避免因接口阻塞影响现场排队秩序。</w:t>
      </w:r>
    </w:p>
    <w:p w14:paraId="0079B619">
      <w:pPr>
        <w:ind w:firstLine="480"/>
        <w:rPr>
          <w:rFonts w:hint="eastAsia"/>
          <w:color w:val="000000"/>
        </w:rPr>
      </w:pPr>
      <w:r>
        <w:rPr>
          <w:rFonts w:ascii="Songti SC" w:hAnsi="Songti SC" w:eastAsia="Songti SC" w:cs="Songti SC"/>
          <w:color w:val="000000"/>
        </w:rPr>
        <w:t>集中充值期间，平台应能承接短时间内较多充值订单，并对银行回调、主动回查和重复通知进行稳妥处理。</w:t>
      </w:r>
    </w:p>
    <w:p w14:paraId="584B7E93">
      <w:pPr>
        <w:ind w:firstLine="480"/>
        <w:rPr>
          <w:rFonts w:hint="eastAsia"/>
          <w:color w:val="000000"/>
        </w:rPr>
      </w:pPr>
      <w:r>
        <w:rPr>
          <w:rFonts w:ascii="Songti SC" w:hAnsi="Songti SC" w:eastAsia="Songti SC" w:cs="Songti SC"/>
          <w:color w:val="000000"/>
        </w:rPr>
        <w:t>财务结算期间，系统应支持大批量明细查询、汇总查询和导出，避免因报表任务影响现场消费服务。</w:t>
      </w:r>
    </w:p>
    <w:p w14:paraId="6343AEA9">
      <w:pPr>
        <w:ind w:firstLine="480"/>
        <w:rPr>
          <w:rFonts w:hint="eastAsia"/>
          <w:color w:val="000000"/>
        </w:rPr>
      </w:pPr>
      <w:r>
        <w:rPr>
          <w:rFonts w:ascii="Songti SC" w:hAnsi="Songti SC" w:eastAsia="Songti SC" w:cs="Songti SC"/>
          <w:color w:val="000000"/>
        </w:rPr>
        <w:t>数据同步期间，人员、人脸、挂失和注销信息应优先保障状态变更及时下发，降低无权限人员误消费风险。</w:t>
      </w:r>
    </w:p>
    <w:p w14:paraId="369065DB">
      <w:pPr>
        <w:pStyle w:val="3"/>
        <w:rPr>
          <w:rFonts w:hint="eastAsia"/>
          <w:color w:val="000000"/>
        </w:rPr>
      </w:pPr>
      <w:bookmarkStart w:id="227" w:name="_Toc1248223372"/>
      <w:bookmarkStart w:id="228" w:name="_Toc1059698241"/>
      <w:r>
        <w:rPr>
          <w:rFonts w:ascii="Songti SC" w:hAnsi="Songti SC" w:eastAsia="Songti SC" w:cs="Songti SC"/>
          <w:color w:val="000000"/>
        </w:rPr>
        <w:t>服务对象分析</w:t>
      </w:r>
      <w:bookmarkEnd w:id="227"/>
      <w:bookmarkEnd w:id="228"/>
    </w:p>
    <w:p w14:paraId="5CA061F1">
      <w:pPr>
        <w:ind w:firstLine="480"/>
        <w:rPr>
          <w:rFonts w:hint="eastAsia"/>
          <w:color w:val="000000"/>
        </w:rPr>
      </w:pPr>
      <w:r>
        <w:rPr>
          <w:rFonts w:ascii="Songti SC" w:hAnsi="Songti SC" w:eastAsia="Songti SC" w:cs="Songti SC"/>
          <w:color w:val="000000"/>
        </w:rPr>
        <w:t>本项目服务对象覆盖集中办公区就餐人员、后台业务管理人员、财务管理人员、餐厅管理人员、系统运维人员和外部接口协同方。不同服务对象关注点不同，但最终都围绕人员准确、账户准确、交易准确、报表准确和系统稳定运行展开。</w:t>
      </w:r>
    </w:p>
    <w:p w14:paraId="0FDA3D29">
      <w:pPr>
        <w:ind w:firstLine="480"/>
        <w:rPr>
          <w:rFonts w:hint="eastAsia"/>
          <w:color w:val="000000"/>
        </w:rPr>
      </w:pPr>
      <w:r>
        <w:rPr>
          <w:rFonts w:ascii="Songti SC" w:hAnsi="Songti SC" w:eastAsia="Songti SC" w:cs="Songti SC"/>
          <w:color w:val="000000"/>
        </w:rPr>
        <w:t>就餐人员关注小程序端余额查询、线上充值、消费记录查询，以及消费机现场刷卡、扫码、人脸等消费方式是否便捷可用。</w:t>
      </w:r>
    </w:p>
    <w:p w14:paraId="426902DE">
      <w:pPr>
        <w:ind w:firstLine="480"/>
        <w:rPr>
          <w:rFonts w:hint="eastAsia"/>
          <w:color w:val="000000"/>
        </w:rPr>
      </w:pPr>
      <w:r>
        <w:rPr>
          <w:rFonts w:ascii="Songti SC" w:hAnsi="Songti SC" w:eastAsia="Songti SC" w:cs="Songti SC"/>
          <w:color w:val="000000"/>
        </w:rPr>
        <w:t>业务管理人员关注人员注册、批量导入、挂失、离职、身份类别、有效期、消费权限和消费机同步状态是否准确。</w:t>
      </w:r>
    </w:p>
    <w:p w14:paraId="519FE899">
      <w:pPr>
        <w:ind w:firstLine="480"/>
        <w:rPr>
          <w:rFonts w:hint="eastAsia"/>
          <w:color w:val="000000"/>
        </w:rPr>
      </w:pPr>
      <w:r>
        <w:rPr>
          <w:rFonts w:ascii="Songti SC" w:hAnsi="Songti SC" w:eastAsia="Songti SC" w:cs="Songti SC"/>
          <w:color w:val="000000"/>
        </w:rPr>
        <w:t>财务管理人员关注充值、批量充值、自动充值、退款、补贴发放、余额查询、对账和结算报表是否准确可核。</w:t>
      </w:r>
    </w:p>
    <w:p w14:paraId="7EAB0946">
      <w:pPr>
        <w:ind w:firstLine="480"/>
        <w:rPr>
          <w:rFonts w:hint="eastAsia"/>
          <w:color w:val="000000"/>
        </w:rPr>
      </w:pPr>
      <w:r>
        <w:rPr>
          <w:rFonts w:ascii="Songti SC" w:hAnsi="Songti SC" w:eastAsia="Songti SC" w:cs="Songti SC"/>
          <w:color w:val="000000"/>
        </w:rPr>
        <w:t>餐厅管理人员关注餐厅</w:t>
      </w:r>
      <w:r>
        <w:rPr>
          <w:rFonts w:hint="eastAsia" w:ascii="Songti SC" w:hAnsi="Songti SC" w:eastAsia="Songti SC" w:cs="Songti SC"/>
          <w:color w:val="000000"/>
        </w:rPr>
        <w:t>、</w:t>
      </w:r>
      <w:r>
        <w:rPr>
          <w:rFonts w:ascii="Songti SC" w:hAnsi="Songti SC" w:eastAsia="Songti SC" w:cs="Songti SC"/>
          <w:color w:val="000000"/>
        </w:rPr>
        <w:t>菜品、餐次、消费策略、菜品销售、营收和经营分析数据是否清晰。</w:t>
      </w:r>
    </w:p>
    <w:p w14:paraId="028FBE84">
      <w:pPr>
        <w:ind w:firstLine="480"/>
        <w:rPr>
          <w:rFonts w:hint="eastAsia"/>
          <w:color w:val="000000"/>
        </w:rPr>
      </w:pPr>
      <w:r>
        <w:rPr>
          <w:rFonts w:ascii="Songti SC" w:hAnsi="Songti SC" w:eastAsia="Songti SC" w:cs="Songti SC"/>
          <w:color w:val="000000"/>
        </w:rPr>
        <w:t>系统运维人员关注目标运行环境部署、服务状态、数据库状态、接口状态、消费机在线率、补传积压、日志和备份是否可管理。</w:t>
      </w:r>
    </w:p>
    <w:p w14:paraId="5F8C79A2">
      <w:pPr>
        <w:ind w:firstLine="480"/>
        <w:rPr>
          <w:rFonts w:hint="eastAsia"/>
          <w:color w:val="000000"/>
        </w:rPr>
      </w:pPr>
      <w:r>
        <w:rPr>
          <w:rFonts w:ascii="Songti SC" w:hAnsi="Songti SC" w:eastAsia="Songti SC" w:cs="Songti SC"/>
          <w:color w:val="000000"/>
        </w:rPr>
        <w:t>外部接口协同方关注工商银行、</w:t>
      </w:r>
      <w:r>
        <w:rPr>
          <w:rFonts w:hint="eastAsia" w:ascii="Songti SC" w:hAnsi="Songti SC" w:eastAsia="Songti SC" w:cs="Songti SC"/>
          <w:color w:val="000000"/>
          <w:lang w:eastAsia="zh-CN"/>
        </w:rPr>
        <w:t>大数据交互平台</w:t>
      </w:r>
      <w:r>
        <w:rPr>
          <w:rFonts w:ascii="Songti SC" w:hAnsi="Songti SC" w:eastAsia="Songti SC" w:cs="Songti SC"/>
          <w:color w:val="000000"/>
        </w:rPr>
        <w:t>、前置库和系统平台之间的交互边界、数据状态和异常处理是否明确。</w:t>
      </w:r>
    </w:p>
    <w:p w14:paraId="2B233816">
      <w:pPr>
        <w:pStyle w:val="4"/>
        <w:rPr>
          <w:rFonts w:hint="eastAsia"/>
          <w:color w:val="000000"/>
        </w:rPr>
      </w:pPr>
      <w:bookmarkStart w:id="229" w:name="_Toc122465661"/>
      <w:bookmarkStart w:id="230" w:name="_Toc1266451916"/>
      <w:r>
        <w:rPr>
          <w:rFonts w:ascii="Songti SC" w:hAnsi="Songti SC" w:eastAsia="Songti SC" w:cs="Songti SC"/>
          <w:color w:val="000000"/>
        </w:rPr>
        <w:t>典型使用场景分析</w:t>
      </w:r>
      <w:bookmarkEnd w:id="229"/>
      <w:bookmarkEnd w:id="230"/>
    </w:p>
    <w:p w14:paraId="012B749F">
      <w:pPr>
        <w:ind w:firstLine="480"/>
        <w:rPr>
          <w:rFonts w:hint="eastAsia"/>
          <w:color w:val="000000"/>
        </w:rPr>
      </w:pPr>
      <w:r>
        <w:rPr>
          <w:rFonts w:ascii="Songti SC" w:hAnsi="Songti SC" w:eastAsia="Songti SC" w:cs="Songti SC"/>
          <w:color w:val="000000"/>
        </w:rPr>
        <w:t>不同服务对象对系统的使用不是孤立操作，而是在同一条业务链路中相互衔接。建设时需要把前台使用便利、后台管理准确、财务核对清楚和运维处置及时统一起来，减少线下沟通、人工核算和重复确认。</w:t>
      </w:r>
    </w:p>
    <w:p w14:paraId="7B2595F4">
      <w:pPr>
        <w:ind w:firstLine="480"/>
        <w:rPr>
          <w:rFonts w:hint="eastAsia"/>
          <w:color w:val="000000"/>
        </w:rPr>
      </w:pPr>
      <w:r>
        <w:rPr>
          <w:rFonts w:ascii="Songti SC" w:hAnsi="Songti SC" w:eastAsia="Songti SC" w:cs="Songti SC"/>
          <w:color w:val="000000"/>
        </w:rPr>
        <w:t>普通就餐人员的典型场景是查询余额、线上充值、现场消费、查看订单和咨询异常。系统需要让个人端查询清晰、充值状态明确、消费结果及时可见。</w:t>
      </w:r>
    </w:p>
    <w:p w14:paraId="6BF6B98F">
      <w:pPr>
        <w:ind w:firstLine="480"/>
        <w:rPr>
          <w:rFonts w:hint="eastAsia"/>
          <w:color w:val="000000"/>
        </w:rPr>
      </w:pPr>
      <w:r>
        <w:rPr>
          <w:rFonts w:ascii="Songti SC" w:hAnsi="Songti SC" w:eastAsia="Songti SC" w:cs="Songti SC"/>
          <w:color w:val="000000"/>
        </w:rPr>
        <w:t>业务管理人员的典型场景是新增人员、调整部门、变更身份类别、处理挂失恢复、办理离职注销和查看同步结果。系统需要减少重复录入，并把关键状态自动联动到消费机。</w:t>
      </w:r>
    </w:p>
    <w:p w14:paraId="73399B5B">
      <w:pPr>
        <w:ind w:firstLine="480"/>
        <w:rPr>
          <w:rFonts w:hint="eastAsia"/>
          <w:color w:val="000000"/>
        </w:rPr>
      </w:pPr>
      <w:r>
        <w:rPr>
          <w:rFonts w:ascii="Songti SC" w:hAnsi="Songti SC" w:eastAsia="Songti SC" w:cs="Songti SC"/>
          <w:color w:val="000000"/>
        </w:rPr>
        <w:t>财务管理人员的典型场景是充值入账、补贴发放、退款处理、日清对账、月度汇总和差异核查。系统需要提供明细、批次、汇总和异常清单，便于形成可解释的账务结果。</w:t>
      </w:r>
    </w:p>
    <w:p w14:paraId="0409EE5E">
      <w:pPr>
        <w:ind w:firstLine="480"/>
        <w:rPr>
          <w:rFonts w:hint="eastAsia"/>
          <w:color w:val="000000"/>
        </w:rPr>
      </w:pPr>
      <w:r>
        <w:rPr>
          <w:rFonts w:ascii="Songti SC" w:hAnsi="Songti SC" w:eastAsia="Songti SC" w:cs="Songti SC"/>
          <w:color w:val="000000"/>
        </w:rPr>
        <w:t>餐厅管理人员的典型场景是维护餐厅、菜品、餐次、价格、营业状态和销售分析。系统需要把菜品销售、营收、就餐峰值转化为经营管理依据。</w:t>
      </w:r>
    </w:p>
    <w:p w14:paraId="0C0A4CD1">
      <w:pPr>
        <w:ind w:firstLine="480"/>
        <w:rPr>
          <w:rFonts w:hint="eastAsia"/>
          <w:color w:val="000000"/>
        </w:rPr>
      </w:pPr>
      <w:r>
        <w:rPr>
          <w:rFonts w:ascii="Songti SC" w:hAnsi="Songti SC" w:eastAsia="Songti SC" w:cs="Songti SC"/>
          <w:color w:val="000000"/>
        </w:rPr>
        <w:t>运维人员的典型场景是查看服务状态、接口状态、消费机在线状态、补传积压、定时任务和备份结果。系统需要在问题发生前发现风险，在问题发生后快速定位影响范围。</w:t>
      </w:r>
    </w:p>
    <w:p w14:paraId="0231980A">
      <w:pPr>
        <w:pStyle w:val="3"/>
        <w:rPr>
          <w:rFonts w:hint="eastAsia"/>
          <w:color w:val="000000"/>
        </w:rPr>
      </w:pPr>
      <w:bookmarkStart w:id="231" w:name="_Toc1546926795"/>
      <w:bookmarkStart w:id="232" w:name="_Toc991030601"/>
      <w:r>
        <w:rPr>
          <w:rFonts w:ascii="Songti SC" w:hAnsi="Songti SC" w:eastAsia="Songti SC" w:cs="Songti SC"/>
          <w:color w:val="000000"/>
        </w:rPr>
        <w:t>系统功能需求分析</w:t>
      </w:r>
      <w:bookmarkEnd w:id="231"/>
      <w:bookmarkEnd w:id="232"/>
    </w:p>
    <w:p w14:paraId="43A26E41">
      <w:pPr>
        <w:ind w:firstLine="480"/>
        <w:rPr>
          <w:rFonts w:hint="eastAsia"/>
          <w:color w:val="000000"/>
        </w:rPr>
      </w:pPr>
      <w:r>
        <w:rPr>
          <w:rFonts w:ascii="Songti SC" w:hAnsi="Songti SC" w:eastAsia="Songti SC" w:cs="Songti SC"/>
          <w:color w:val="000000"/>
        </w:rPr>
        <w:t>业务服务需求来自集中办公区日常食堂管理和工作人员就餐服务。系统需要同时面向管理人员、财务人员、运维人员、餐厅管理人员和普通就餐人员提供服务，因此需求应覆盖管理端、小程序端和消费机现场交易三个入口。</w:t>
      </w:r>
    </w:p>
    <w:p w14:paraId="1307F469">
      <w:pPr>
        <w:ind w:firstLine="480"/>
        <w:rPr>
          <w:rFonts w:hint="eastAsia"/>
          <w:color w:val="000000"/>
        </w:rPr>
      </w:pPr>
      <w:r>
        <w:rPr>
          <w:rFonts w:ascii="Songti SC" w:hAnsi="Songti SC" w:eastAsia="Songti SC" w:cs="Songti SC"/>
          <w:color w:val="000000"/>
        </w:rPr>
        <w:t>本期功能范围以现有系统高频业务为基础，重点保障人员组织、账户余额、充值补贴、提现退款、刷卡/扫码/刷脸消费、交易流水、财务结算、常规报表、权限管理和消费设备接入等日常必需能力。</w:t>
      </w:r>
    </w:p>
    <w:p w14:paraId="534CA73A">
      <w:pPr>
        <w:ind w:firstLine="480"/>
        <w:rPr>
          <w:rFonts w:hint="eastAsia"/>
          <w:color w:val="000000"/>
        </w:rPr>
      </w:pPr>
      <w:r>
        <w:rPr>
          <w:rFonts w:ascii="Songti SC" w:hAnsi="Songti SC" w:eastAsia="Songti SC" w:cs="Songti SC"/>
          <w:color w:val="000000"/>
        </w:rPr>
        <w:t>功能优化以业务连续、操作便捷和账务准确为主，不扩展缺少现实使用依据的新业务模块；对重复统计口径进行归并，对低频配置入口结合现有角色权限进行整理，避免形成新的独立系统和重复建设内容。</w:t>
      </w:r>
    </w:p>
    <w:p w14:paraId="496C9D6A">
      <w:pPr>
        <w:pStyle w:val="4"/>
        <w:rPr>
          <w:rFonts w:hint="eastAsia"/>
          <w:color w:val="000000"/>
        </w:rPr>
      </w:pPr>
      <w:bookmarkStart w:id="233" w:name="_Toc1761612983"/>
      <w:bookmarkStart w:id="234" w:name="_Toc368144875"/>
      <w:r>
        <w:rPr>
          <w:rFonts w:ascii="Songti SC" w:hAnsi="Songti SC" w:eastAsia="Songti SC" w:cs="Songti SC"/>
          <w:color w:val="000000"/>
        </w:rPr>
        <w:t>平台基础参数需求</w:t>
      </w:r>
      <w:bookmarkEnd w:id="233"/>
      <w:bookmarkEnd w:id="234"/>
    </w:p>
    <w:p w14:paraId="66DFC844">
      <w:pPr>
        <w:ind w:firstLine="480"/>
        <w:rPr>
          <w:rFonts w:hint="eastAsia"/>
          <w:color w:val="000000"/>
        </w:rPr>
      </w:pPr>
      <w:r>
        <w:rPr>
          <w:rFonts w:ascii="Songti SC" w:hAnsi="Songti SC" w:eastAsia="Songti SC" w:cs="Songti SC"/>
          <w:color w:val="000000"/>
        </w:rPr>
        <w:t>需要统一管理系统参数、用户参数、操作员参数和报表参数，保障不同环境、不同办公区、不同业务角色使用同一套配置口径。</w:t>
      </w:r>
    </w:p>
    <w:p w14:paraId="3212D3F6">
      <w:pPr>
        <w:ind w:firstLine="480"/>
        <w:rPr>
          <w:rFonts w:hint="eastAsia"/>
          <w:color w:val="000000"/>
        </w:rPr>
      </w:pPr>
      <w:r>
        <w:rPr>
          <w:rFonts w:ascii="Songti SC" w:hAnsi="Songti SC" w:eastAsia="Songti SC" w:cs="Songti SC"/>
          <w:color w:val="000000"/>
        </w:rPr>
        <w:t>需要将服务地址、文件路径、银行交互、消费机接口、导入导出、报表参数等从程序包中剥离，形成可维护配置。</w:t>
      </w:r>
    </w:p>
    <w:p w14:paraId="175A567E">
      <w:pPr>
        <w:ind w:firstLine="480"/>
        <w:rPr>
          <w:rFonts w:hint="eastAsia"/>
          <w:color w:val="000000"/>
        </w:rPr>
      </w:pPr>
      <w:r>
        <w:rPr>
          <w:rFonts w:ascii="Songti SC" w:hAnsi="Songti SC" w:eastAsia="Songti SC" w:cs="Songti SC"/>
          <w:color w:val="000000"/>
        </w:rPr>
        <w:t>需要对关键参数变更留痕，避免上线切换和日常运维过程中出现参数混用。</w:t>
      </w:r>
    </w:p>
    <w:p w14:paraId="7FB4D63E">
      <w:pPr>
        <w:pStyle w:val="4"/>
        <w:rPr>
          <w:rFonts w:hint="eastAsia"/>
          <w:color w:val="000000"/>
        </w:rPr>
      </w:pPr>
      <w:bookmarkStart w:id="235" w:name="_Toc72364092"/>
      <w:bookmarkStart w:id="236" w:name="_Toc510527118"/>
      <w:r>
        <w:rPr>
          <w:rFonts w:ascii="Songti SC" w:hAnsi="Songti SC" w:eastAsia="Songti SC" w:cs="Songti SC"/>
          <w:color w:val="000000"/>
        </w:rPr>
        <w:t>配置管理需求</w:t>
      </w:r>
      <w:bookmarkEnd w:id="235"/>
      <w:bookmarkEnd w:id="236"/>
    </w:p>
    <w:p w14:paraId="578C0ABF">
      <w:pPr>
        <w:ind w:firstLine="480"/>
        <w:rPr>
          <w:rFonts w:hint="eastAsia"/>
          <w:color w:val="000000"/>
        </w:rPr>
      </w:pPr>
      <w:r>
        <w:rPr>
          <w:rFonts w:ascii="Songti SC" w:hAnsi="Songti SC" w:eastAsia="Songti SC" w:cs="Songti SC"/>
          <w:color w:val="000000"/>
        </w:rPr>
        <w:t>需要维护操作员角色、操作员配置、卡类型、部门、人员属性、餐厅、菜品等基础配置。</w:t>
      </w:r>
    </w:p>
    <w:p w14:paraId="328535E7">
      <w:pPr>
        <w:ind w:firstLine="480"/>
        <w:rPr>
          <w:rFonts w:hint="eastAsia"/>
          <w:color w:val="000000"/>
        </w:rPr>
      </w:pPr>
      <w:r>
        <w:rPr>
          <w:rFonts w:ascii="Songti SC" w:hAnsi="Songti SC" w:eastAsia="Songti SC" w:cs="Songti SC"/>
          <w:color w:val="000000"/>
        </w:rPr>
        <w:t>需要保证部门、身份类别、餐厅</w:t>
      </w:r>
      <w:r>
        <w:rPr>
          <w:rFonts w:hint="eastAsia" w:ascii="Songti SC" w:hAnsi="Songti SC" w:eastAsia="Songti SC" w:cs="Songti SC"/>
          <w:color w:val="000000"/>
        </w:rPr>
        <w:t>、</w:t>
      </w:r>
      <w:r>
        <w:rPr>
          <w:rFonts w:ascii="Songti SC" w:hAnsi="Songti SC" w:eastAsia="Songti SC" w:cs="Songti SC"/>
          <w:color w:val="000000"/>
        </w:rPr>
        <w:t>菜品和消费机之间关系稳定，支撑权限管理、消费策略和报表统计。</w:t>
      </w:r>
    </w:p>
    <w:p w14:paraId="3B71A3B4">
      <w:pPr>
        <w:ind w:firstLine="480"/>
        <w:rPr>
          <w:rFonts w:hint="eastAsia"/>
          <w:color w:val="000000"/>
        </w:rPr>
      </w:pPr>
      <w:r>
        <w:rPr>
          <w:rFonts w:ascii="Songti SC" w:hAnsi="Songti SC" w:eastAsia="Songti SC" w:cs="Songti SC"/>
          <w:color w:val="000000"/>
        </w:rPr>
        <w:t>需要保留历史停用和变更信息，确保历史订单、财务报表和经营分析能够追溯。</w:t>
      </w:r>
    </w:p>
    <w:p w14:paraId="11A2007E">
      <w:pPr>
        <w:pStyle w:val="4"/>
        <w:rPr>
          <w:rFonts w:hint="eastAsia"/>
          <w:color w:val="000000"/>
        </w:rPr>
      </w:pPr>
      <w:bookmarkStart w:id="237" w:name="_Toc1232102461"/>
      <w:bookmarkStart w:id="238" w:name="_Toc747550042"/>
      <w:r>
        <w:rPr>
          <w:rFonts w:ascii="Songti SC" w:hAnsi="Songti SC" w:eastAsia="Songti SC" w:cs="Songti SC"/>
          <w:color w:val="000000"/>
        </w:rPr>
        <w:t>用户管理需求</w:t>
      </w:r>
      <w:bookmarkEnd w:id="237"/>
      <w:bookmarkEnd w:id="238"/>
    </w:p>
    <w:p w14:paraId="0EF99BEC">
      <w:pPr>
        <w:ind w:firstLine="480"/>
        <w:rPr>
          <w:rFonts w:hint="eastAsia"/>
          <w:color w:val="000000"/>
        </w:rPr>
      </w:pPr>
      <w:r>
        <w:rPr>
          <w:rFonts w:ascii="Songti SC" w:hAnsi="Songti SC" w:eastAsia="Songti SC" w:cs="Songti SC"/>
          <w:color w:val="000000"/>
        </w:rPr>
        <w:t>需要支持单个人员注册、批量快速注册、人员查询、人员修改、批量修改有效期、批量离职、挂失、恢复和离职处理等业务。</w:t>
      </w:r>
    </w:p>
    <w:p w14:paraId="18DF5E6A">
      <w:pPr>
        <w:ind w:firstLine="480"/>
        <w:rPr>
          <w:rFonts w:hint="eastAsia"/>
          <w:color w:val="000000"/>
        </w:rPr>
      </w:pPr>
      <w:r>
        <w:rPr>
          <w:rFonts w:ascii="Songti SC" w:hAnsi="Songti SC" w:eastAsia="Songti SC" w:cs="Songti SC"/>
          <w:color w:val="000000"/>
        </w:rPr>
        <w:t>人员档案应包含姓名、人员编号、部门、身份类别、手机号、有效期、卡号、人脸信息和状态等信息，并能与账户、消费权限和消费机同步关联。</w:t>
      </w:r>
    </w:p>
    <w:p w14:paraId="4C35CC64">
      <w:pPr>
        <w:ind w:firstLine="480"/>
        <w:rPr>
          <w:rFonts w:hint="eastAsia"/>
          <w:color w:val="000000"/>
        </w:rPr>
      </w:pPr>
      <w:r>
        <w:rPr>
          <w:rFonts w:ascii="Songti SC" w:hAnsi="Songti SC" w:eastAsia="Songti SC" w:cs="Songti SC"/>
          <w:color w:val="000000"/>
        </w:rPr>
        <w:t>身份类别应作为消费策略和补贴规则的业务分类字段使用，不与后台操作员角色混用。</w:t>
      </w:r>
    </w:p>
    <w:p w14:paraId="46EF07E5">
      <w:pPr>
        <w:ind w:firstLine="480"/>
        <w:rPr>
          <w:rFonts w:hint="eastAsia"/>
          <w:color w:val="000000"/>
        </w:rPr>
      </w:pPr>
      <w:r>
        <w:rPr>
          <w:rFonts w:ascii="Songti SC" w:hAnsi="Songti SC" w:eastAsia="Songti SC" w:cs="Songti SC"/>
          <w:color w:val="000000"/>
        </w:rPr>
        <w:t>人员状态变化应联动影响充值、补贴、消费和消费机识别，避免离职、注销、挂失或过期人员继续现场消费。</w:t>
      </w:r>
    </w:p>
    <w:p w14:paraId="5B0EC7C9">
      <w:pPr>
        <w:pStyle w:val="4"/>
        <w:rPr>
          <w:rFonts w:hint="eastAsia"/>
          <w:color w:val="000000"/>
        </w:rPr>
      </w:pPr>
      <w:bookmarkStart w:id="239" w:name="_Toc1908737653"/>
      <w:bookmarkStart w:id="240" w:name="_Toc1294220944"/>
      <w:r>
        <w:rPr>
          <w:rFonts w:ascii="Songti SC" w:hAnsi="Songti SC" w:eastAsia="Songti SC" w:cs="Songti SC"/>
          <w:color w:val="000000"/>
        </w:rPr>
        <w:t>消费配置管理需求</w:t>
      </w:r>
      <w:bookmarkEnd w:id="239"/>
      <w:bookmarkEnd w:id="240"/>
    </w:p>
    <w:p w14:paraId="611363ED">
      <w:pPr>
        <w:ind w:firstLine="480"/>
        <w:rPr>
          <w:rFonts w:hint="eastAsia"/>
          <w:color w:val="000000"/>
        </w:rPr>
      </w:pPr>
      <w:r>
        <w:rPr>
          <w:rFonts w:ascii="Songti SC" w:hAnsi="Songti SC" w:eastAsia="Songti SC" w:cs="Songti SC"/>
          <w:color w:val="000000"/>
        </w:rPr>
        <w:t>需要维护餐厅类型、餐厅</w:t>
      </w:r>
      <w:r>
        <w:rPr>
          <w:rFonts w:hint="eastAsia" w:ascii="Songti SC" w:hAnsi="Songti SC" w:eastAsia="Songti SC" w:cs="Songti SC"/>
          <w:color w:val="000000"/>
        </w:rPr>
        <w:t>、</w:t>
      </w:r>
      <w:r>
        <w:rPr>
          <w:rFonts w:ascii="Songti SC" w:hAnsi="Songti SC" w:eastAsia="Songti SC" w:cs="Songti SC"/>
          <w:color w:val="000000"/>
        </w:rPr>
        <w:t>菜品、餐次、消费策略、用户消费权限和操作员权限等基础配置。</w:t>
      </w:r>
    </w:p>
    <w:p w14:paraId="3FED693E">
      <w:pPr>
        <w:ind w:firstLine="480"/>
        <w:rPr>
          <w:rFonts w:hint="eastAsia"/>
          <w:color w:val="000000"/>
        </w:rPr>
      </w:pPr>
      <w:r>
        <w:rPr>
          <w:rFonts w:ascii="Songti SC" w:hAnsi="Songti SC" w:eastAsia="Songti SC" w:cs="Songti SC"/>
          <w:color w:val="000000"/>
        </w:rPr>
        <w:t>消费策略应支持按身份类别、部门、餐次、餐厅</w:t>
      </w:r>
      <w:r>
        <w:rPr>
          <w:rFonts w:hint="eastAsia" w:ascii="Songti SC" w:hAnsi="Songti SC" w:eastAsia="Songti SC" w:cs="Songti SC"/>
          <w:color w:val="000000"/>
        </w:rPr>
        <w:t>、</w:t>
      </w:r>
      <w:r>
        <w:rPr>
          <w:rFonts w:ascii="Songti SC" w:hAnsi="Songti SC" w:eastAsia="Songti SC" w:cs="Songti SC"/>
          <w:color w:val="000000"/>
        </w:rPr>
        <w:t>余额、补贴和消费方式进行匹配，保证现场扣款规则清晰。</w:t>
      </w:r>
    </w:p>
    <w:p w14:paraId="11EB49D1">
      <w:pPr>
        <w:ind w:firstLine="480"/>
        <w:rPr>
          <w:rFonts w:hint="eastAsia"/>
          <w:color w:val="000000"/>
        </w:rPr>
      </w:pPr>
      <w:r>
        <w:rPr>
          <w:rFonts w:ascii="Songti SC" w:hAnsi="Songti SC" w:eastAsia="Songti SC" w:cs="Songti SC"/>
          <w:color w:val="000000"/>
        </w:rPr>
        <w:t>餐次和营业时段需要与服务器时间、消费机时间和报表统计时间保持一致，避免跨餐次消费判断异常。</w:t>
      </w:r>
    </w:p>
    <w:p w14:paraId="0A7B85AF">
      <w:pPr>
        <w:ind w:firstLine="480"/>
        <w:rPr>
          <w:rFonts w:hint="eastAsia"/>
          <w:color w:val="000000"/>
        </w:rPr>
      </w:pPr>
      <w:r>
        <w:rPr>
          <w:rFonts w:ascii="Songti SC" w:hAnsi="Songti SC" w:eastAsia="Songti SC" w:cs="Songti SC"/>
          <w:color w:val="000000"/>
        </w:rPr>
        <w:t>菜品价格、菜品上下架归属调整应保留历史记录，保证历史订单和经营报表仍可追溯。</w:t>
      </w:r>
    </w:p>
    <w:p w14:paraId="3FC44B3D">
      <w:pPr>
        <w:pStyle w:val="4"/>
        <w:rPr>
          <w:rFonts w:hint="eastAsia"/>
          <w:color w:val="000000"/>
        </w:rPr>
      </w:pPr>
      <w:bookmarkStart w:id="241" w:name="_Toc1043015085"/>
      <w:bookmarkStart w:id="242" w:name="_Toc109545345"/>
      <w:r>
        <w:rPr>
          <w:rFonts w:ascii="Songti SC" w:hAnsi="Songti SC" w:eastAsia="Songti SC" w:cs="Songti SC"/>
          <w:color w:val="000000"/>
        </w:rPr>
        <w:t>财务管理需求</w:t>
      </w:r>
      <w:bookmarkEnd w:id="241"/>
      <w:bookmarkEnd w:id="242"/>
    </w:p>
    <w:p w14:paraId="688733A2">
      <w:pPr>
        <w:ind w:firstLine="480"/>
        <w:rPr>
          <w:rFonts w:hint="eastAsia"/>
          <w:color w:val="000000"/>
        </w:rPr>
      </w:pPr>
      <w:r>
        <w:rPr>
          <w:rFonts w:ascii="Songti SC" w:hAnsi="Songti SC" w:eastAsia="Songti SC" w:cs="Songti SC"/>
          <w:color w:val="000000"/>
        </w:rPr>
        <w:t>需要支持充值管理、批量充值、自动充值、补贴规则管理、补贴发放和补贴失效等业务。</w:t>
      </w:r>
    </w:p>
    <w:p w14:paraId="25D4AAD7">
      <w:pPr>
        <w:ind w:firstLine="480"/>
        <w:rPr>
          <w:rFonts w:hint="eastAsia"/>
          <w:color w:val="000000"/>
        </w:rPr>
      </w:pPr>
      <w:r>
        <w:rPr>
          <w:rFonts w:ascii="Songti SC" w:hAnsi="Songti SC" w:eastAsia="Songti SC" w:cs="Songti SC"/>
          <w:color w:val="000000"/>
        </w:rPr>
        <w:t>充值、消费、退款和补贴均应生成账户流水，余额变化应与业务订单保持一致，保证财务核对有据可查。</w:t>
      </w:r>
    </w:p>
    <w:p w14:paraId="6AAABD8A">
      <w:pPr>
        <w:ind w:firstLine="480"/>
        <w:rPr>
          <w:rFonts w:hint="eastAsia"/>
          <w:color w:val="000000"/>
        </w:rPr>
      </w:pPr>
      <w:r>
        <w:rPr>
          <w:rFonts w:ascii="Songti SC" w:hAnsi="Songti SC" w:eastAsia="Songti SC" w:cs="Songti SC"/>
          <w:color w:val="000000"/>
        </w:rPr>
        <w:t>线上充值应支持订单发起、银行处理、回调、回查、入账、异常处理和日清对账，避免用户已扣款但系统未入账。</w:t>
      </w:r>
    </w:p>
    <w:p w14:paraId="33364341">
      <w:pPr>
        <w:ind w:firstLine="480"/>
        <w:rPr>
          <w:rFonts w:hint="eastAsia"/>
          <w:color w:val="000000"/>
        </w:rPr>
      </w:pPr>
      <w:r>
        <w:rPr>
          <w:rFonts w:ascii="Songti SC" w:hAnsi="Songti SC" w:eastAsia="Songti SC" w:cs="Songti SC"/>
          <w:color w:val="000000"/>
        </w:rPr>
        <w:t>批量充值和补贴发放应支持批次化处理，能够展示成功、失败、失败原因和后续重试结果。</w:t>
      </w:r>
    </w:p>
    <w:p w14:paraId="43BEF293">
      <w:pPr>
        <w:pStyle w:val="4"/>
        <w:rPr>
          <w:rFonts w:hint="eastAsia"/>
          <w:color w:val="000000"/>
        </w:rPr>
      </w:pPr>
      <w:bookmarkStart w:id="243" w:name="_Toc45523134"/>
      <w:bookmarkStart w:id="244" w:name="_Toc735127936"/>
      <w:r>
        <w:rPr>
          <w:rFonts w:ascii="Songti SC" w:hAnsi="Songti SC" w:eastAsia="Songti SC" w:cs="Songti SC"/>
          <w:color w:val="000000"/>
        </w:rPr>
        <w:t>订单与售后管理需求</w:t>
      </w:r>
      <w:bookmarkEnd w:id="243"/>
      <w:bookmarkEnd w:id="244"/>
    </w:p>
    <w:p w14:paraId="0F6CC2B4">
      <w:pPr>
        <w:ind w:firstLine="480"/>
        <w:rPr>
          <w:rFonts w:hint="eastAsia"/>
          <w:color w:val="000000"/>
        </w:rPr>
      </w:pPr>
      <w:r>
        <w:rPr>
          <w:rFonts w:ascii="Songti SC" w:hAnsi="Songti SC" w:eastAsia="Songti SC" w:cs="Songti SC"/>
          <w:color w:val="000000"/>
        </w:rPr>
        <w:t>需要支持消费订单查询、订单明细管理、订单售后处理和消息通知，覆盖刷卡、扫码、人脸、菜品消费和离线补传等订单类型。</w:t>
      </w:r>
    </w:p>
    <w:p w14:paraId="5A7629F0">
      <w:pPr>
        <w:ind w:firstLine="480"/>
        <w:rPr>
          <w:rFonts w:hint="eastAsia"/>
          <w:color w:val="000000"/>
        </w:rPr>
      </w:pPr>
      <w:r>
        <w:rPr>
          <w:rFonts w:ascii="Songti SC" w:hAnsi="Songti SC" w:eastAsia="Songti SC" w:cs="Songti SC"/>
          <w:color w:val="000000"/>
        </w:rPr>
        <w:t>订单详情应能够展示人员、消费机、餐厅</w:t>
      </w:r>
      <w:r>
        <w:rPr>
          <w:rFonts w:hint="eastAsia" w:ascii="Songti SC" w:hAnsi="Songti SC" w:eastAsia="Songti SC" w:cs="Songti SC"/>
          <w:color w:val="000000"/>
        </w:rPr>
        <w:t>、</w:t>
      </w:r>
      <w:r>
        <w:rPr>
          <w:rFonts w:ascii="Songti SC" w:hAnsi="Songti SC" w:eastAsia="Songti SC" w:cs="Songti SC"/>
          <w:color w:val="000000"/>
        </w:rPr>
        <w:t>金额、余额前后值、消费方式、交易时间、补传时间和处理状态。</w:t>
      </w:r>
    </w:p>
    <w:p w14:paraId="0233BF06">
      <w:pPr>
        <w:ind w:firstLine="480"/>
        <w:rPr>
          <w:rFonts w:hint="eastAsia"/>
          <w:color w:val="000000"/>
        </w:rPr>
      </w:pPr>
      <w:r>
        <w:rPr>
          <w:rFonts w:ascii="Songti SC" w:hAnsi="Songti SC" w:eastAsia="Songti SC" w:cs="Songti SC"/>
          <w:color w:val="000000"/>
        </w:rPr>
        <w:t>对重复扣款、金额异常、补传失败、交易失败、充值未到账等问题，应形成可查询、可处理、可追踪的异常处理流程。</w:t>
      </w:r>
    </w:p>
    <w:p w14:paraId="1633ECB3">
      <w:pPr>
        <w:ind w:firstLine="480"/>
        <w:rPr>
          <w:rFonts w:hint="eastAsia"/>
          <w:color w:val="000000" w:themeColor="text1"/>
          <w14:textFill>
            <w14:solidFill>
              <w14:schemeClr w14:val="tx1"/>
            </w14:solidFill>
          </w14:textFill>
        </w:rPr>
      </w:pPr>
      <w:r>
        <w:rPr>
          <w:rFonts w:ascii="Songti SC" w:hAnsi="Songti SC" w:eastAsia="Songti SC" w:cs="Songti SC"/>
          <w:color w:val="000000"/>
        </w:rPr>
        <w:t>消息通知应支持充值成功、订单完成、支付失败等场景，通知失败不影响主交易结果，但需要保留发送状态和失败原因。</w:t>
      </w:r>
    </w:p>
    <w:p w14:paraId="610C4640">
      <w:pPr>
        <w:pStyle w:val="4"/>
        <w:rPr>
          <w:rFonts w:hint="eastAsia"/>
          <w:color w:val="000000"/>
          <w:lang w:eastAsia="zh-CN"/>
        </w:rPr>
      </w:pPr>
      <w:bookmarkStart w:id="245" w:name="_Toc603134806"/>
      <w:bookmarkStart w:id="246" w:name="_Toc821799161"/>
      <w:r>
        <w:rPr>
          <w:rFonts w:ascii="Songti SC" w:hAnsi="Songti SC" w:eastAsia="Songti SC" w:cs="Songti SC"/>
          <w:color w:val="000000"/>
          <w:lang w:eastAsia="zh-CN"/>
        </w:rPr>
        <w:t>报表统计与经营分析需求</w:t>
      </w:r>
      <w:bookmarkEnd w:id="245"/>
      <w:bookmarkEnd w:id="246"/>
    </w:p>
    <w:p w14:paraId="2EEFF113">
      <w:pPr>
        <w:ind w:firstLine="480"/>
        <w:rPr>
          <w:rFonts w:hint="eastAsia"/>
          <w:color w:val="000000"/>
        </w:rPr>
      </w:pPr>
      <w:r>
        <w:rPr>
          <w:rFonts w:ascii="Songti SC" w:hAnsi="Songti SC" w:eastAsia="Songti SC" w:cs="Songti SC"/>
          <w:color w:val="000000"/>
        </w:rPr>
        <w:t>需要支持按日期、人员、部门、餐厅</w:t>
      </w:r>
      <w:r>
        <w:rPr>
          <w:rFonts w:hint="eastAsia" w:ascii="Songti SC" w:hAnsi="Songti SC" w:eastAsia="Songti SC" w:cs="Songti SC"/>
          <w:color w:val="000000"/>
        </w:rPr>
        <w:t>、</w:t>
      </w:r>
      <w:r>
        <w:rPr>
          <w:rFonts w:ascii="Songti SC" w:hAnsi="Songti SC" w:eastAsia="Songti SC" w:cs="Songti SC"/>
          <w:color w:val="000000"/>
        </w:rPr>
        <w:t>菜品、消费机、支付方式等维度进行统计查询。</w:t>
      </w:r>
    </w:p>
    <w:p w14:paraId="460027FD">
      <w:pPr>
        <w:ind w:firstLine="480"/>
        <w:rPr>
          <w:rFonts w:hint="eastAsia"/>
          <w:color w:val="000000"/>
        </w:rPr>
      </w:pPr>
      <w:r>
        <w:rPr>
          <w:rFonts w:ascii="Songti SC" w:hAnsi="Songti SC" w:eastAsia="Songti SC" w:cs="Songti SC"/>
          <w:color w:val="000000"/>
        </w:rPr>
        <w:t>需要覆盖收银统计、综合汇总、用户余额、部门消费、餐厅消费、消费机汇总、菜品销售等报表。</w:t>
      </w:r>
    </w:p>
    <w:p w14:paraId="0F0AF6B2">
      <w:pPr>
        <w:ind w:firstLine="480"/>
        <w:rPr>
          <w:rFonts w:hint="eastAsia"/>
          <w:color w:val="000000"/>
        </w:rPr>
      </w:pPr>
      <w:r>
        <w:rPr>
          <w:rFonts w:ascii="Songti SC" w:hAnsi="Songti SC" w:eastAsia="Songti SC" w:cs="Songti SC"/>
          <w:color w:val="000000"/>
        </w:rPr>
        <w:t>需要通过现有常规报表呈现收银统计、账户余额、充值补贴、部门消费、餐厅消费、设备汇总等信息。</w:t>
      </w:r>
    </w:p>
    <w:p w14:paraId="42159A09">
      <w:pPr>
        <w:pStyle w:val="4"/>
        <w:rPr>
          <w:rFonts w:hint="eastAsia"/>
          <w:color w:val="000000"/>
          <w:lang w:eastAsia="zh-CN"/>
        </w:rPr>
      </w:pPr>
      <w:bookmarkStart w:id="247" w:name="_Toc763870602"/>
      <w:r>
        <w:rPr>
          <w:rFonts w:hint="eastAsia" w:ascii="Songti SC" w:hAnsi="Songti SC" w:eastAsia="Songti SC" w:cs="Songti SC"/>
          <w:color w:val="000000"/>
          <w:lang w:eastAsia="zh-CN"/>
        </w:rPr>
        <w:t>消费机支持软件运行环境兼容适配需求分析</w:t>
      </w:r>
      <w:bookmarkEnd w:id="247"/>
    </w:p>
    <w:p w14:paraId="51C31AD8">
      <w:pPr>
        <w:ind w:firstLine="480"/>
        <w:rPr>
          <w:rFonts w:hint="eastAsia"/>
          <w:color w:val="000000"/>
        </w:rPr>
      </w:pPr>
      <w:r>
        <w:rPr>
          <w:rFonts w:hint="eastAsia" w:ascii="Songti SC" w:hAnsi="Songti SC" w:eastAsia="Songti SC" w:cs="Songti SC"/>
          <w:color w:val="000000"/>
        </w:rPr>
        <w:t>消费终端是食堂现场消费服务的关键入口，承担刷卡消费、扫码消费、人脸消费、菜品消费、余额查询、订单同步、离线补传和状态回传等业务。随着食堂消费系统迁移至目标政务云环境，应根据新平台、新接口、新参数和新数据链路要求对消费终端进行必要更新，并完成设备接入及软件功能适配，确保现场交易业务稳定运行。</w:t>
      </w:r>
    </w:p>
    <w:p w14:paraId="44E9A690">
      <w:pPr>
        <w:ind w:firstLine="480"/>
        <w:rPr>
          <w:rFonts w:hint="eastAsia"/>
          <w:color w:val="000000"/>
        </w:rPr>
      </w:pPr>
      <w:r>
        <w:rPr>
          <w:rFonts w:hint="eastAsia" w:ascii="Songti SC" w:hAnsi="Songti SC" w:eastAsia="Songti SC" w:cs="Songti SC"/>
          <w:color w:val="000000"/>
        </w:rPr>
        <w:t>本项目需围绕55台消费终端更新、设备接入和软件功能适配开展联调验证，重点满足以下需求：</w:t>
      </w:r>
    </w:p>
    <w:p w14:paraId="52A7B0D6">
      <w:pPr>
        <w:ind w:firstLine="480"/>
        <w:rPr>
          <w:rFonts w:hint="eastAsia"/>
          <w:color w:val="000000"/>
        </w:rPr>
      </w:pPr>
      <w:r>
        <w:rPr>
          <w:rFonts w:hint="eastAsia" w:ascii="Songti SC" w:hAnsi="Songti SC" w:eastAsia="Songti SC" w:cs="Songti SC"/>
          <w:color w:val="000000"/>
        </w:rPr>
        <w:t>更新后的消费终端应纳入系统统一管理，支持按办公区、餐厅、档口、设备编号等维度完成绑定和参数配置。</w:t>
      </w:r>
    </w:p>
    <w:p w14:paraId="0637E95F">
      <w:pPr>
        <w:ind w:firstLine="480"/>
        <w:rPr>
          <w:rFonts w:hint="eastAsia"/>
          <w:color w:val="000000"/>
        </w:rPr>
      </w:pPr>
      <w:r>
        <w:rPr>
          <w:rFonts w:hint="eastAsia" w:ascii="Songti SC" w:hAnsi="Songti SC" w:eastAsia="Songti SC" w:cs="Songti SC"/>
          <w:color w:val="000000"/>
        </w:rPr>
        <w:t>系统应支持将人员信息、卡号信息、人脸信息、消费权限、挂失状态、离职状态等同步至消费机，保障现场消费身份识别准确。</w:t>
      </w:r>
    </w:p>
    <w:p w14:paraId="2A009D02">
      <w:pPr>
        <w:ind w:firstLine="480"/>
        <w:rPr>
          <w:rFonts w:hint="eastAsia"/>
          <w:color w:val="000000"/>
        </w:rPr>
      </w:pPr>
      <w:r>
        <w:rPr>
          <w:rFonts w:hint="eastAsia" w:ascii="Songti SC" w:hAnsi="Songti SC" w:eastAsia="Songti SC" w:cs="Songti SC"/>
          <w:color w:val="000000"/>
        </w:rPr>
        <w:t>消费机应继续支持刷卡、扫码、人脸、菜品等消费方式，交易结果应能及时回传平台，形成消费订单、账户流水和报表统计数据。</w:t>
      </w:r>
    </w:p>
    <w:p w14:paraId="749411BE">
      <w:pPr>
        <w:ind w:firstLine="480"/>
        <w:rPr>
          <w:rFonts w:hint="eastAsia"/>
          <w:color w:val="000000"/>
        </w:rPr>
      </w:pPr>
      <w:r>
        <w:rPr>
          <w:rFonts w:hint="eastAsia" w:ascii="Songti SC" w:hAnsi="Songti SC" w:eastAsia="Songti SC" w:cs="Songti SC"/>
          <w:color w:val="000000"/>
        </w:rPr>
        <w:t>在网络异常或消费机短时离线情况下，应支持已同步人员范围内的离线消费记录暂存，并在恢复联网后完成补传、入账和核对。</w:t>
      </w:r>
    </w:p>
    <w:p w14:paraId="6F7992D1">
      <w:pPr>
        <w:ind w:firstLine="480"/>
        <w:rPr>
          <w:rFonts w:hint="eastAsia"/>
          <w:color w:val="000000"/>
        </w:rPr>
      </w:pPr>
      <w:r>
        <w:rPr>
          <w:rFonts w:hint="eastAsia" w:ascii="Songti SC" w:hAnsi="Songti SC" w:eastAsia="Songti SC" w:cs="Songti SC"/>
          <w:color w:val="000000"/>
        </w:rPr>
        <w:t>系统应支持消费机在线状态、最近交易、同步结果、补传状态和异常信息查询，便于运维人员及时发现和处理现场问题。</w:t>
      </w:r>
    </w:p>
    <w:p w14:paraId="2602523D">
      <w:pPr>
        <w:ind w:firstLine="480"/>
        <w:rPr>
          <w:rFonts w:hint="eastAsia"/>
          <w:color w:val="000000"/>
        </w:rPr>
      </w:pPr>
      <w:r>
        <w:rPr>
          <w:rFonts w:hint="eastAsia" w:ascii="Songti SC" w:hAnsi="Songti SC" w:eastAsia="Songti SC" w:cs="Songti SC"/>
          <w:color w:val="000000"/>
        </w:rPr>
        <w:t>消费机适配完成后，应按办公区和设备逐步开展联网测试、人员同步测试、刷卡/扫码/人脸消费测试、离线补传测试和订单同步测试，确保现场消费业务平稳衔接。</w:t>
      </w:r>
    </w:p>
    <w:p w14:paraId="4219C0CE">
      <w:pPr>
        <w:pStyle w:val="4"/>
        <w:rPr>
          <w:rFonts w:hint="eastAsia"/>
          <w:color w:val="000000" w:themeColor="text1"/>
          <w:lang w:eastAsia="zh-CN"/>
          <w14:textFill>
            <w14:solidFill>
              <w14:schemeClr w14:val="tx1"/>
            </w14:solidFill>
          </w14:textFill>
        </w:rPr>
      </w:pPr>
      <w:bookmarkStart w:id="248" w:name="_Toc715966048"/>
      <w:r>
        <w:rPr>
          <w:rFonts w:hint="eastAsia" w:ascii="Songti SC" w:hAnsi="Songti SC" w:eastAsia="Songti SC" w:cs="Songti SC"/>
          <w:color w:val="000000"/>
          <w:lang w:eastAsia="zh-CN"/>
        </w:rPr>
        <w:t>小程序端线上充值及工商银行接口适配需求分析</w:t>
      </w:r>
      <w:bookmarkEnd w:id="248"/>
    </w:p>
    <w:p w14:paraId="71068616">
      <w:pPr>
        <w:ind w:firstLine="480"/>
        <w:rPr>
          <w:rFonts w:hint="eastAsia"/>
          <w:color w:val="000000" w:themeColor="text1"/>
          <w14:textFill>
            <w14:solidFill>
              <w14:schemeClr w14:val="tx1"/>
            </w14:solidFill>
          </w14:textFill>
        </w:rPr>
      </w:pPr>
      <w:r>
        <w:rPr>
          <w:rFonts w:hint="eastAsia" w:ascii="Songti SC" w:hAnsi="Songti SC" w:eastAsia="Songti SC" w:cs="Songti SC"/>
          <w:color w:val="000000"/>
        </w:rPr>
        <w:t>小程序端线上充值及工商银行接口适配需求分析</w:t>
      </w:r>
    </w:p>
    <w:p w14:paraId="2252DF5F">
      <w:pPr>
        <w:ind w:firstLine="480"/>
        <w:rPr>
          <w:rFonts w:hint="eastAsia"/>
          <w:color w:val="000000"/>
        </w:rPr>
      </w:pPr>
      <w:r>
        <w:rPr>
          <w:rFonts w:hint="eastAsia" w:ascii="Songti SC" w:hAnsi="Songti SC" w:eastAsia="Songti SC" w:cs="Songti SC"/>
          <w:color w:val="000000"/>
        </w:rPr>
        <w:t>小程序端线上充值是就餐人员自助办理账户充值、余额查询、提现申请和消费记录查询的重要入口。现有食堂消费系统升级改造后，应继续支撑就餐人员通过移动端完成充值相关操作，并通过工商银行接口完成支付、回调、入账、查询和对账等业务闭环，保障线上充值业务连续可用。</w:t>
      </w:r>
    </w:p>
    <w:p w14:paraId="60501035">
      <w:pPr>
        <w:ind w:firstLine="480"/>
        <w:rPr>
          <w:rFonts w:hint="eastAsia"/>
          <w:color w:val="000000"/>
        </w:rPr>
      </w:pPr>
      <w:r>
        <w:rPr>
          <w:rFonts w:hint="eastAsia" w:ascii="Songti SC" w:hAnsi="Songti SC" w:eastAsia="Songti SC" w:cs="Songti SC"/>
          <w:color w:val="000000"/>
        </w:rPr>
        <w:t>本项目需围绕小程序端、后台服务、前置库、</w:t>
      </w:r>
      <w:r>
        <w:rPr>
          <w:rFonts w:hint="eastAsia" w:ascii="Songti SC" w:hAnsi="Songti SC" w:eastAsia="Songti SC" w:cs="Songti SC"/>
          <w:color w:val="000000"/>
          <w:lang w:eastAsia="zh-CN"/>
        </w:rPr>
        <w:t>大数据交互平台</w:t>
      </w:r>
      <w:r>
        <w:rPr>
          <w:rFonts w:hint="eastAsia" w:ascii="Songti SC" w:hAnsi="Songti SC" w:eastAsia="Songti SC" w:cs="Songti SC"/>
          <w:color w:val="000000"/>
        </w:rPr>
        <w:t>和工商银行接口开展适配联调，重点满足以下需求：</w:t>
      </w:r>
    </w:p>
    <w:p w14:paraId="7A8AB324">
      <w:pPr>
        <w:ind w:firstLine="480"/>
        <w:rPr>
          <w:rFonts w:hint="eastAsia"/>
          <w:color w:val="000000"/>
        </w:rPr>
      </w:pPr>
      <w:r>
        <w:rPr>
          <w:rFonts w:hint="eastAsia" w:ascii="Songti SC" w:hAnsi="Songti SC" w:eastAsia="Songti SC" w:cs="Songti SC"/>
          <w:color w:val="000000"/>
        </w:rPr>
        <w:t>就餐人员应能够通过小程序端发起充值、查看充值结果、提交提现申请、查询账户余额以及充值和提现记录，充值入口和操作流程应保持稳定。</w:t>
      </w:r>
    </w:p>
    <w:p w14:paraId="36076FE1">
      <w:pPr>
        <w:ind w:firstLine="480"/>
        <w:rPr>
          <w:rFonts w:hint="eastAsia"/>
          <w:color w:val="000000"/>
        </w:rPr>
      </w:pPr>
      <w:r>
        <w:rPr>
          <w:rFonts w:hint="eastAsia" w:ascii="Songti SC" w:hAnsi="Songti SC" w:eastAsia="Songti SC" w:cs="Songti SC"/>
          <w:color w:val="000000"/>
        </w:rPr>
        <w:t>充值成功后，系统应形成充值订单、账户流水和余额变更记录，确保银行支付结果、平台订单状态和用户账户余额一致。</w:t>
      </w:r>
    </w:p>
    <w:p w14:paraId="565BD1B2">
      <w:pPr>
        <w:ind w:firstLine="480"/>
        <w:rPr>
          <w:rFonts w:hint="eastAsia"/>
          <w:color w:val="000000"/>
        </w:rPr>
      </w:pPr>
      <w:r>
        <w:rPr>
          <w:rFonts w:hint="eastAsia" w:ascii="Songti SC" w:hAnsi="Songti SC" w:eastAsia="Songti SC" w:cs="Songti SC"/>
          <w:color w:val="000000"/>
        </w:rPr>
        <w:t>系统应结合工商银行接口规范，完成充值请求、支付结果接收、交易查询、对账处理等接口适配，保障线上充值链路完整。</w:t>
      </w:r>
    </w:p>
    <w:p w14:paraId="1B887408">
      <w:pPr>
        <w:ind w:firstLine="480"/>
        <w:rPr>
          <w:rFonts w:hint="eastAsia"/>
          <w:color w:val="000000"/>
        </w:rPr>
      </w:pPr>
      <w:r>
        <w:rPr>
          <w:rFonts w:hint="eastAsia" w:ascii="Songti SC" w:hAnsi="Songti SC" w:eastAsia="Songti SC" w:cs="Songti SC"/>
          <w:color w:val="000000"/>
        </w:rPr>
        <w:t>系统应按照建设单位既有数据交互要求，与前置库、</w:t>
      </w:r>
      <w:r>
        <w:rPr>
          <w:rFonts w:hint="eastAsia" w:ascii="Songti SC" w:hAnsi="Songti SC" w:eastAsia="Songti SC" w:cs="Songti SC"/>
          <w:color w:val="000000"/>
          <w:lang w:eastAsia="zh-CN"/>
        </w:rPr>
        <w:t>大数据交互平台</w:t>
      </w:r>
      <w:r>
        <w:rPr>
          <w:rFonts w:hint="eastAsia" w:ascii="Songti SC" w:hAnsi="Songti SC" w:eastAsia="Songti SC" w:cs="Songti SC"/>
          <w:color w:val="000000"/>
        </w:rPr>
        <w:t>完成必要的数据传输和状态同步，保持外部系统协同关系不变。</w:t>
      </w:r>
    </w:p>
    <w:p w14:paraId="5CD80CA1">
      <w:pPr>
        <w:ind w:firstLine="480"/>
        <w:rPr>
          <w:rFonts w:hint="eastAsia"/>
          <w:color w:val="000000"/>
        </w:rPr>
      </w:pPr>
      <w:r>
        <w:rPr>
          <w:rFonts w:hint="eastAsia" w:ascii="Songti SC" w:hAnsi="Songti SC" w:eastAsia="Songti SC" w:cs="Songti SC"/>
          <w:color w:val="000000"/>
        </w:rPr>
        <w:t>针对充值未到账、支付结果延迟、接口调用失败、重复通知、订单状态不一致等情况，应具备查询、补偿、复核和日志追溯能力。</w:t>
      </w:r>
    </w:p>
    <w:p w14:paraId="67695F64">
      <w:pPr>
        <w:ind w:firstLine="480"/>
        <w:rPr>
          <w:rFonts w:hint="eastAsia"/>
          <w:color w:val="000000"/>
        </w:rPr>
      </w:pPr>
      <w:r>
        <w:rPr>
          <w:rFonts w:hint="eastAsia" w:ascii="Songti SC" w:hAnsi="Songti SC" w:eastAsia="Songti SC" w:cs="Songti SC"/>
          <w:color w:val="000000"/>
        </w:rPr>
        <w:t>对账与审计需求：系统应支持按日期、人员、订单、金额、支付状态等维度开展充值查询和对账，保留接口调用日志、订单处理日志和操作记录，为财务核对和问题追溯提供依据。</w:t>
      </w:r>
    </w:p>
    <w:p w14:paraId="507D768A">
      <w:pPr>
        <w:pStyle w:val="4"/>
        <w:rPr>
          <w:rFonts w:hint="eastAsia"/>
          <w:color w:val="000000"/>
          <w:lang w:eastAsia="zh-CN"/>
        </w:rPr>
      </w:pPr>
      <w:bookmarkStart w:id="249" w:name="_Toc890494595"/>
      <w:bookmarkStart w:id="250" w:name="_Toc1775996860"/>
      <w:r>
        <w:rPr>
          <w:rFonts w:ascii="Songti SC" w:hAnsi="Songti SC" w:eastAsia="Songti SC" w:cs="Songti SC"/>
          <w:color w:val="000000"/>
          <w:lang w:eastAsia="zh-CN"/>
        </w:rPr>
        <w:t>历史数据迁移与一致性校验需求</w:t>
      </w:r>
      <w:bookmarkEnd w:id="249"/>
      <w:bookmarkEnd w:id="250"/>
    </w:p>
    <w:p w14:paraId="78396598">
      <w:pPr>
        <w:ind w:firstLine="480"/>
        <w:rPr>
          <w:rFonts w:hint="eastAsia"/>
          <w:color w:val="000000"/>
        </w:rPr>
      </w:pPr>
      <w:r>
        <w:rPr>
          <w:rFonts w:ascii="Songti SC" w:hAnsi="Songti SC" w:eastAsia="Songti SC" w:cs="Songti SC"/>
          <w:color w:val="000000"/>
        </w:rPr>
        <w:t>本项目由原运行环境迁移至建设单位统筹确定的政务云运行环境和数据库环境，需完整承接现有人员、账户、充值、消费、补贴、退款、提现、菜品菜单、设备、权限和报表基础数据，确保升级前后业务连续、账务一致。</w:t>
      </w:r>
    </w:p>
    <w:p w14:paraId="4CFB73C6">
      <w:pPr>
        <w:ind w:firstLine="480"/>
        <w:rPr>
          <w:rFonts w:hint="eastAsia"/>
          <w:color w:val="000000"/>
        </w:rPr>
      </w:pPr>
      <w:r>
        <w:rPr>
          <w:rFonts w:ascii="Songti SC" w:hAnsi="Songti SC" w:eastAsia="Songti SC" w:cs="Songti SC"/>
          <w:color w:val="000000"/>
        </w:rPr>
        <w:t>迁移前应完成源系统版本、数据库对象、数据规模、字段类型、主外键关系、存量问题和数据增长情况核查，形成数据迁移范围清单和核对基线。</w:t>
      </w:r>
    </w:p>
    <w:p w14:paraId="659560FF">
      <w:pPr>
        <w:ind w:firstLine="480"/>
        <w:rPr>
          <w:rFonts w:hint="eastAsia"/>
          <w:color w:val="000000"/>
        </w:rPr>
      </w:pPr>
      <w:r>
        <w:rPr>
          <w:rFonts w:ascii="Songti SC" w:hAnsi="Songti SC" w:eastAsia="Songti SC" w:cs="Songti SC"/>
          <w:color w:val="000000"/>
        </w:rPr>
        <w:t>迁移过程应按照全量迁移、增量同步、停机窗口确认和正式割接的步骤实施，对数据类型、字符集、金额精度、日期时间、空值和状态枚举进行转换校验。</w:t>
      </w:r>
    </w:p>
    <w:p w14:paraId="2EB71052">
      <w:pPr>
        <w:ind w:firstLine="480"/>
        <w:rPr>
          <w:rFonts w:hint="eastAsia"/>
          <w:color w:val="000000"/>
        </w:rPr>
      </w:pPr>
      <w:r>
        <w:rPr>
          <w:rFonts w:ascii="Songti SC" w:hAnsi="Songti SC" w:eastAsia="Songti SC" w:cs="Songti SC"/>
          <w:color w:val="000000"/>
        </w:rPr>
        <w:t>迁移后应核对人员数量、账户余额、补贴余额、充值和消费流水、退款提现记录、设备归属、权限关系及报表汇总结果，账务类数据应逐项形成差异清单并闭环处理。</w:t>
      </w:r>
    </w:p>
    <w:p w14:paraId="3FF9F307">
      <w:pPr>
        <w:ind w:firstLine="480"/>
        <w:rPr>
          <w:rFonts w:hint="eastAsia"/>
          <w:color w:val="000000"/>
        </w:rPr>
      </w:pPr>
      <w:r>
        <w:rPr>
          <w:rFonts w:ascii="Songti SC" w:hAnsi="Songti SC" w:eastAsia="Songti SC" w:cs="Songti SC"/>
          <w:color w:val="000000"/>
        </w:rPr>
        <w:t>数据迁移不得影响现有55台消费设备和17个集中办公区正常就餐服务，应结合备份、试迁移、回退预案和分批验证控制割接风险。</w:t>
      </w:r>
    </w:p>
    <w:p w14:paraId="72ED3A31">
      <w:pPr>
        <w:ind w:firstLine="480"/>
        <w:rPr>
          <w:rFonts w:hint="eastAsia"/>
          <w:color w:val="000000"/>
        </w:rPr>
      </w:pPr>
      <w:r>
        <w:rPr>
          <w:rFonts w:ascii="Songti SC" w:hAnsi="Songti SC" w:eastAsia="Songti SC" w:cs="Songti SC"/>
          <w:color w:val="000000"/>
        </w:rPr>
        <w:t>迁移全过程应保留导出、转换、导入、核验、差异处理和确认记录，涉及人员及交易信息的文件应落实最小权限、传输保护和使用后清理要求。</w:t>
      </w:r>
    </w:p>
    <w:p w14:paraId="11DE6429">
      <w:pPr>
        <w:pStyle w:val="3"/>
        <w:rPr>
          <w:rFonts w:hint="eastAsia"/>
          <w:color w:val="000000"/>
        </w:rPr>
      </w:pPr>
      <w:bookmarkStart w:id="251" w:name="_Toc1304016367"/>
      <w:bookmarkStart w:id="252" w:name="_Toc729122222"/>
      <w:r>
        <w:rPr>
          <w:rFonts w:ascii="Songti SC" w:hAnsi="Songti SC" w:eastAsia="Songti SC" w:cs="Songti SC"/>
          <w:color w:val="000000"/>
        </w:rPr>
        <w:t>数据资源需求分析</w:t>
      </w:r>
      <w:bookmarkEnd w:id="251"/>
      <w:bookmarkEnd w:id="252"/>
    </w:p>
    <w:p w14:paraId="1BB54433">
      <w:pPr>
        <w:ind w:firstLine="480"/>
        <w:rPr>
          <w:rFonts w:hint="eastAsia"/>
          <w:color w:val="000000"/>
        </w:rPr>
      </w:pPr>
      <w:r>
        <w:rPr>
          <w:rFonts w:ascii="Songti SC" w:hAnsi="Songti SC" w:eastAsia="Songti SC" w:cs="Songti SC"/>
          <w:color w:val="000000"/>
        </w:rPr>
        <w:t>项目数据资源主要包括基础资料、人员账户、交易订单、设备运行、报表统计和运维审计等内容。建设过程中需要解决数据完整承接、数据标准统一、账务数据一致、报表口径稳定和敏感数据保护等问题，确保</w:t>
      </w:r>
      <w:r>
        <w:rPr>
          <w:rFonts w:hint="eastAsia" w:ascii="Songti SC" w:hAnsi="Songti SC" w:eastAsia="Songti SC" w:cs="Songti SC"/>
          <w:color w:val="000000"/>
        </w:rPr>
        <w:t>数据</w:t>
      </w:r>
      <w:r>
        <w:rPr>
          <w:rFonts w:ascii="Songti SC" w:hAnsi="Songti SC" w:eastAsia="Songti SC" w:cs="Songti SC"/>
          <w:color w:val="000000"/>
        </w:rPr>
        <w:t>承接前后数据可查、可核、可追溯。</w:t>
      </w:r>
    </w:p>
    <w:p w14:paraId="14062110">
      <w:pPr>
        <w:ind w:firstLine="480"/>
        <w:rPr>
          <w:rFonts w:hint="eastAsia"/>
          <w:color w:val="000000"/>
        </w:rPr>
      </w:pPr>
      <w:r>
        <w:rPr>
          <w:rFonts w:ascii="Songti SC" w:hAnsi="Songti SC" w:eastAsia="Songti SC" w:cs="Songti SC"/>
          <w:color w:val="000000"/>
        </w:rPr>
        <w:t>基础资料需求：办公区、部门、身份类别、餐厅</w:t>
      </w:r>
      <w:r>
        <w:rPr>
          <w:rFonts w:hint="eastAsia" w:ascii="Songti SC" w:hAnsi="Songti SC" w:eastAsia="Songti SC" w:cs="Songti SC"/>
          <w:color w:val="000000"/>
        </w:rPr>
        <w:t>、</w:t>
      </w:r>
      <w:r>
        <w:rPr>
          <w:rFonts w:ascii="Songti SC" w:hAnsi="Songti SC" w:eastAsia="Songti SC" w:cs="Songti SC"/>
          <w:color w:val="000000"/>
        </w:rPr>
        <w:t>菜品、餐次、卡类型、消费策略和补贴规则需形成统一编码和稳定关联。</w:t>
      </w:r>
    </w:p>
    <w:p w14:paraId="4A2F0FB2">
      <w:pPr>
        <w:ind w:firstLine="480"/>
        <w:rPr>
          <w:rFonts w:hint="eastAsia"/>
          <w:color w:val="000000"/>
        </w:rPr>
      </w:pPr>
      <w:r>
        <w:rPr>
          <w:rFonts w:ascii="Songti SC" w:hAnsi="Songti SC" w:eastAsia="Songti SC" w:cs="Songti SC"/>
          <w:color w:val="000000"/>
        </w:rPr>
        <w:t>人员账户需求：人员档案、卡号、人脸、账户余额、补贴余额、账户状态、有效期和挂失信息应完整承接并可同步至消费机。</w:t>
      </w:r>
    </w:p>
    <w:p w14:paraId="0A79F1F0">
      <w:pPr>
        <w:ind w:firstLine="480"/>
        <w:rPr>
          <w:rFonts w:hint="eastAsia"/>
          <w:color w:val="000000"/>
        </w:rPr>
      </w:pPr>
      <w:r>
        <w:rPr>
          <w:rFonts w:ascii="Songti SC" w:hAnsi="Songti SC" w:eastAsia="Songti SC" w:cs="Songti SC"/>
          <w:color w:val="000000"/>
        </w:rPr>
        <w:t>交易订单需求：充值订单、消费订单、菜品订单、退款订单、补贴发放记录、异常订单和离线补传记录应可统一查询和核对。</w:t>
      </w:r>
    </w:p>
    <w:p w14:paraId="0343489A">
      <w:pPr>
        <w:ind w:firstLine="480"/>
        <w:rPr>
          <w:rFonts w:hint="eastAsia"/>
          <w:color w:val="000000"/>
        </w:rPr>
      </w:pPr>
      <w:r>
        <w:rPr>
          <w:rFonts w:ascii="Songti SC" w:hAnsi="Songti SC" w:eastAsia="Songti SC" w:cs="Songti SC"/>
          <w:color w:val="000000"/>
        </w:rPr>
        <w:t>设备运行需求：消费机编号、点位、所属办公区、参数版本、在线状态、最近心跳、最近交易和异常码应可持续记录。</w:t>
      </w:r>
    </w:p>
    <w:p w14:paraId="4744E934">
      <w:pPr>
        <w:ind w:firstLine="480"/>
        <w:rPr>
          <w:rFonts w:hint="eastAsia"/>
          <w:color w:val="000000"/>
        </w:rPr>
      </w:pPr>
      <w:r>
        <w:rPr>
          <w:rFonts w:ascii="Songti SC" w:hAnsi="Songti SC" w:eastAsia="Songti SC" w:cs="Songti SC"/>
          <w:color w:val="000000"/>
        </w:rPr>
        <w:t>报表统计需求：需支持按日期、部门、餐厅</w:t>
      </w:r>
      <w:r>
        <w:rPr>
          <w:rFonts w:hint="eastAsia" w:ascii="Songti SC" w:hAnsi="Songti SC" w:eastAsia="Songti SC" w:cs="Songti SC"/>
          <w:color w:val="000000"/>
        </w:rPr>
        <w:t>、</w:t>
      </w:r>
      <w:r>
        <w:rPr>
          <w:rFonts w:ascii="Songti SC" w:hAnsi="Songti SC" w:eastAsia="Songti SC" w:cs="Songti SC"/>
          <w:color w:val="000000"/>
        </w:rPr>
        <w:t>菜品、人员、身份类别和消费机等维度开展统计分析。</w:t>
      </w:r>
    </w:p>
    <w:p w14:paraId="39B33EA5">
      <w:pPr>
        <w:ind w:firstLine="480"/>
        <w:rPr>
          <w:rFonts w:hint="eastAsia"/>
          <w:color w:val="000000"/>
        </w:rPr>
      </w:pPr>
      <w:r>
        <w:rPr>
          <w:rFonts w:ascii="Songti SC" w:hAnsi="Songti SC" w:eastAsia="Songti SC" w:cs="Songti SC"/>
          <w:color w:val="000000"/>
        </w:rPr>
        <w:t>运维审计需求：登录、导入、导出、充值、退款、补贴、策略调整、接口调用、补传处理和配置变更等关键操作需要留痕。</w:t>
      </w:r>
    </w:p>
    <w:p w14:paraId="2C7706C0">
      <w:pPr>
        <w:pStyle w:val="3"/>
        <w:rPr>
          <w:rFonts w:hint="eastAsia"/>
          <w:color w:val="000000"/>
        </w:rPr>
      </w:pPr>
      <w:bookmarkStart w:id="253" w:name="_Toc815495372"/>
      <w:r>
        <w:rPr>
          <w:rFonts w:ascii="Songti SC" w:hAnsi="Songti SC" w:eastAsia="Songti SC" w:cs="Songti SC"/>
          <w:color w:val="000000"/>
        </w:rPr>
        <w:t>运行环境兼容适配需求分析</w:t>
      </w:r>
      <w:bookmarkEnd w:id="253"/>
    </w:p>
    <w:p w14:paraId="6D4AC02D">
      <w:pPr>
        <w:ind w:firstLine="480"/>
        <w:rPr>
          <w:rFonts w:hint="eastAsia"/>
          <w:color w:val="000000"/>
        </w:rPr>
      </w:pPr>
      <w:r>
        <w:rPr>
          <w:rFonts w:ascii="Songti SC" w:hAnsi="Songti SC" w:eastAsia="Songti SC" w:cs="Songti SC"/>
          <w:color w:val="000000"/>
        </w:rPr>
        <w:t>运行环境兼容适配需求是本项目的核心技术需求。系统应在建设单位统筹确定的政务云运行环境上完成操作系统、数据库、中间件、应用运行环境、浏览器、接口证书、定时任务、文件服务和安全组件等方面的适配，使现有业务在新环境中稳定运行。</w:t>
      </w:r>
    </w:p>
    <w:p w14:paraId="67BB62AD">
      <w:pPr>
        <w:pStyle w:val="4"/>
        <w:rPr>
          <w:rFonts w:hint="eastAsia"/>
          <w:color w:val="000000"/>
        </w:rPr>
      </w:pPr>
      <w:bookmarkStart w:id="254" w:name="_Toc1326430467"/>
      <w:bookmarkStart w:id="255" w:name="_Toc790082050"/>
      <w:r>
        <w:rPr>
          <w:rFonts w:ascii="Songti SC" w:hAnsi="Songti SC" w:eastAsia="Songti SC" w:cs="Songti SC"/>
          <w:color w:val="000000"/>
        </w:rPr>
        <w:t>操作系统适配需求</w:t>
      </w:r>
      <w:bookmarkEnd w:id="254"/>
      <w:bookmarkEnd w:id="255"/>
    </w:p>
    <w:p w14:paraId="1AC56915">
      <w:pPr>
        <w:ind w:firstLine="480"/>
        <w:rPr>
          <w:rFonts w:hint="eastAsia"/>
          <w:color w:val="000000"/>
        </w:rPr>
      </w:pPr>
      <w:r>
        <w:rPr>
          <w:rFonts w:ascii="Songti SC" w:hAnsi="Songti SC" w:eastAsia="Songti SC" w:cs="Songti SC"/>
          <w:color w:val="000000"/>
        </w:rPr>
        <w:t>需要适配应用服务启动、停止、重启、状态查看、服务自启动和异常恢复方式。</w:t>
      </w:r>
    </w:p>
    <w:p w14:paraId="225D0321">
      <w:pPr>
        <w:ind w:firstLine="480"/>
        <w:rPr>
          <w:rFonts w:hint="eastAsia"/>
          <w:color w:val="000000"/>
        </w:rPr>
      </w:pPr>
      <w:r>
        <w:rPr>
          <w:rFonts w:ascii="Songti SC" w:hAnsi="Songti SC" w:eastAsia="Songti SC" w:cs="Songti SC"/>
          <w:color w:val="000000"/>
        </w:rPr>
        <w:t>需要适配上传目录、导出目录、日志目录、备份目录、临时目录、人脸文件目录和交易照片目录的权限。</w:t>
      </w:r>
    </w:p>
    <w:p w14:paraId="654DBAD0">
      <w:pPr>
        <w:ind w:firstLine="480"/>
        <w:rPr>
          <w:rFonts w:hint="eastAsia"/>
          <w:color w:val="000000"/>
        </w:rPr>
      </w:pPr>
      <w:r>
        <w:rPr>
          <w:rFonts w:ascii="Songti SC" w:hAnsi="Songti SC" w:eastAsia="Songti SC" w:cs="Songti SC"/>
          <w:color w:val="000000"/>
        </w:rPr>
        <w:t>需要适配中文文件名、报表字体、时间同步、证书路径、系统任务和资源限制。</w:t>
      </w:r>
    </w:p>
    <w:p w14:paraId="7204B5BF">
      <w:pPr>
        <w:ind w:firstLine="480"/>
        <w:rPr>
          <w:rFonts w:hint="eastAsia"/>
          <w:color w:val="000000"/>
        </w:rPr>
      </w:pPr>
      <w:r>
        <w:rPr>
          <w:rFonts w:ascii="Songti SC" w:hAnsi="Songti SC" w:eastAsia="Songti SC" w:cs="Songti SC"/>
          <w:color w:val="000000"/>
        </w:rPr>
        <w:t>需要保证 PC 管理端、小程序接口、消费机接口和外部接口在服务器操作系统中均可稳定运行。</w:t>
      </w:r>
    </w:p>
    <w:p w14:paraId="39BD47B7">
      <w:pPr>
        <w:pStyle w:val="4"/>
        <w:rPr>
          <w:rFonts w:hint="eastAsia"/>
          <w:color w:val="000000"/>
        </w:rPr>
      </w:pPr>
      <w:bookmarkStart w:id="256" w:name="_Toc1017624949"/>
      <w:r>
        <w:rPr>
          <w:rFonts w:ascii="Songti SC" w:hAnsi="Songti SC" w:eastAsia="Songti SC" w:cs="Songti SC"/>
          <w:color w:val="000000"/>
        </w:rPr>
        <w:t>数据库适配需求</w:t>
      </w:r>
      <w:bookmarkEnd w:id="256"/>
    </w:p>
    <w:p w14:paraId="2D74FD8A">
      <w:pPr>
        <w:ind w:firstLine="480"/>
        <w:rPr>
          <w:rFonts w:hint="eastAsia"/>
          <w:color w:val="000000"/>
        </w:rPr>
      </w:pPr>
      <w:r>
        <w:rPr>
          <w:rFonts w:ascii="Songti SC" w:hAnsi="Songti SC" w:eastAsia="Songti SC" w:cs="Songti SC"/>
          <w:color w:val="000000"/>
        </w:rPr>
        <w:t>需要适配数据类型、主键、索引、字段长度、默认值、金额精度、日期函数、分页语法、空值处理和事务控制。</w:t>
      </w:r>
    </w:p>
    <w:p w14:paraId="7C2F6A99">
      <w:pPr>
        <w:ind w:firstLine="480"/>
        <w:rPr>
          <w:rFonts w:hint="eastAsia"/>
          <w:color w:val="000000"/>
        </w:rPr>
      </w:pPr>
      <w:r>
        <w:rPr>
          <w:rFonts w:ascii="Songti SC" w:hAnsi="Songti SC" w:eastAsia="Songti SC" w:cs="Songti SC"/>
          <w:color w:val="000000"/>
        </w:rPr>
        <w:t>需要对人员查询、账户流水、订单查询、充值对账、报表汇总等高频 SQL 进行改造和优化。</w:t>
      </w:r>
    </w:p>
    <w:p w14:paraId="42197D1F">
      <w:pPr>
        <w:ind w:firstLine="480"/>
        <w:rPr>
          <w:rFonts w:hint="eastAsia"/>
          <w:color w:val="000000"/>
        </w:rPr>
      </w:pPr>
      <w:r>
        <w:rPr>
          <w:rFonts w:ascii="Songti SC" w:hAnsi="Songti SC" w:eastAsia="Songti SC" w:cs="Songti SC"/>
          <w:color w:val="000000"/>
        </w:rPr>
        <w:t>需要保障</w:t>
      </w:r>
      <w:r>
        <w:rPr>
          <w:rFonts w:hint="eastAsia" w:ascii="Songti SC" w:hAnsi="Songti SC" w:eastAsia="Songti SC" w:cs="Songti SC"/>
          <w:color w:val="000000"/>
        </w:rPr>
        <w:t>数据</w:t>
      </w:r>
      <w:r>
        <w:rPr>
          <w:rFonts w:ascii="Songti SC" w:hAnsi="Songti SC" w:eastAsia="Songti SC" w:cs="Songti SC"/>
          <w:color w:val="000000"/>
        </w:rPr>
        <w:t>承接前后人员数、余额合计、充值总额、消费总额、补贴余额和退款金额一致。</w:t>
      </w:r>
    </w:p>
    <w:p w14:paraId="66E1ECBF">
      <w:pPr>
        <w:ind w:firstLine="480"/>
        <w:rPr>
          <w:rFonts w:hint="eastAsia"/>
          <w:color w:val="000000"/>
        </w:rPr>
      </w:pPr>
      <w:r>
        <w:rPr>
          <w:rFonts w:ascii="Songti SC" w:hAnsi="Songti SC" w:eastAsia="Songti SC" w:cs="Songti SC"/>
          <w:color w:val="000000"/>
        </w:rPr>
        <w:t>需要通过索引、汇总表、分页查询和异步导出等方式保障大数据量报表查询稳定。</w:t>
      </w:r>
    </w:p>
    <w:p w14:paraId="0444371A">
      <w:pPr>
        <w:pStyle w:val="4"/>
        <w:rPr>
          <w:rFonts w:hint="eastAsia"/>
          <w:color w:val="000000"/>
          <w:lang w:eastAsia="zh-CN"/>
        </w:rPr>
      </w:pPr>
      <w:bookmarkStart w:id="257" w:name="_Toc662753135"/>
      <w:bookmarkStart w:id="258" w:name="_Toc1621107620"/>
      <w:r>
        <w:rPr>
          <w:rFonts w:ascii="Songti SC" w:hAnsi="Songti SC" w:eastAsia="Songti SC" w:cs="Songti SC"/>
          <w:color w:val="000000"/>
          <w:lang w:eastAsia="zh-CN"/>
        </w:rPr>
        <w:t>中间件及应用软件适配需求</w:t>
      </w:r>
      <w:bookmarkEnd w:id="257"/>
      <w:bookmarkEnd w:id="258"/>
    </w:p>
    <w:p w14:paraId="4802A082">
      <w:pPr>
        <w:ind w:firstLine="480"/>
        <w:rPr>
          <w:rFonts w:hint="eastAsia"/>
          <w:color w:val="000000"/>
        </w:rPr>
      </w:pPr>
      <w:r>
        <w:rPr>
          <w:rFonts w:ascii="Songti SC" w:hAnsi="Songti SC" w:eastAsia="Songti SC" w:cs="Songti SC"/>
          <w:color w:val="000000"/>
        </w:rPr>
        <w:t>需要适配管理端、小程序端、消费机接口和外部接口的统一访问入口、证书、端口、请求大小、超时和日志。</w:t>
      </w:r>
    </w:p>
    <w:p w14:paraId="27D480AE">
      <w:pPr>
        <w:ind w:firstLine="480"/>
        <w:rPr>
          <w:rFonts w:hint="eastAsia"/>
          <w:color w:val="000000"/>
        </w:rPr>
      </w:pPr>
      <w:r>
        <w:rPr>
          <w:rFonts w:ascii="Songti SC" w:hAnsi="Songti SC" w:eastAsia="Songti SC" w:cs="Songti SC"/>
          <w:color w:val="000000"/>
        </w:rPr>
        <w:t>需要适配运行时版本、依赖组件、字体、编码、时区、证书和环境变量。</w:t>
      </w:r>
    </w:p>
    <w:p w14:paraId="1E596ACE">
      <w:pPr>
        <w:ind w:firstLine="480"/>
        <w:rPr>
          <w:rFonts w:hint="eastAsia"/>
          <w:color w:val="000000"/>
        </w:rPr>
      </w:pPr>
      <w:r>
        <w:rPr>
          <w:rFonts w:ascii="Songti SC" w:hAnsi="Songti SC" w:eastAsia="Songti SC" w:cs="Songti SC"/>
          <w:color w:val="000000"/>
        </w:rPr>
        <w:t>需要梳理订单结算、补贴发放、补贴失效、充值对账、离线补传、报表导出和数据清理等定时任务。</w:t>
      </w:r>
    </w:p>
    <w:p w14:paraId="67632146">
      <w:pPr>
        <w:ind w:firstLine="480"/>
        <w:rPr>
          <w:rFonts w:hint="eastAsia"/>
          <w:color w:val="000000"/>
        </w:rPr>
      </w:pPr>
      <w:r>
        <w:rPr>
          <w:rFonts w:ascii="Songti SC" w:hAnsi="Songti SC" w:eastAsia="Songti SC" w:cs="Songti SC"/>
          <w:color w:val="000000"/>
        </w:rPr>
        <w:t>需要保障文件上传、模板下载、报表导出、人脸文件访问、交易照片访问等文件类能力正常使用。</w:t>
      </w:r>
    </w:p>
    <w:p w14:paraId="61005C5C">
      <w:pPr>
        <w:pStyle w:val="4"/>
        <w:rPr>
          <w:rFonts w:hint="eastAsia"/>
          <w:color w:val="000000"/>
        </w:rPr>
      </w:pPr>
      <w:bookmarkStart w:id="259" w:name="_Toc2041746603"/>
      <w:bookmarkStart w:id="260" w:name="_Toc830739851"/>
      <w:r>
        <w:rPr>
          <w:rFonts w:ascii="Songti SC" w:hAnsi="Songti SC" w:eastAsia="Songti SC" w:cs="Songti SC"/>
          <w:color w:val="000000"/>
        </w:rPr>
        <w:t>浏览器兼容需求</w:t>
      </w:r>
      <w:bookmarkEnd w:id="259"/>
      <w:bookmarkEnd w:id="260"/>
    </w:p>
    <w:p w14:paraId="65E41EC5">
      <w:pPr>
        <w:ind w:firstLine="480"/>
        <w:rPr>
          <w:rFonts w:hint="eastAsia"/>
          <w:color w:val="000000"/>
        </w:rPr>
      </w:pPr>
      <w:r>
        <w:rPr>
          <w:rFonts w:ascii="Songti SC" w:hAnsi="Songti SC" w:eastAsia="Songti SC" w:cs="Songti SC"/>
          <w:color w:val="000000"/>
        </w:rPr>
        <w:t>需要适配政府办公常用浏览器下的登录、菜单、表单、弹窗、分页、日期选择、文件上传和报表导出。</w:t>
      </w:r>
    </w:p>
    <w:p w14:paraId="7B7D543D">
      <w:pPr>
        <w:ind w:firstLine="480"/>
        <w:rPr>
          <w:rFonts w:hint="eastAsia"/>
          <w:color w:val="000000"/>
        </w:rPr>
      </w:pPr>
      <w:r>
        <w:rPr>
          <w:rFonts w:ascii="Songti SC" w:hAnsi="Songti SC" w:eastAsia="Songti SC" w:cs="Songti SC"/>
          <w:color w:val="000000"/>
        </w:rPr>
        <w:t>需要保障人员注册、批量导入、充值处理、报表查询、消费机状态查询等高频页面稳定可用。</w:t>
      </w:r>
    </w:p>
    <w:p w14:paraId="12159EDA">
      <w:pPr>
        <w:ind w:firstLine="480"/>
        <w:rPr>
          <w:rFonts w:hint="eastAsia"/>
          <w:color w:val="000000"/>
        </w:rPr>
      </w:pPr>
      <w:r>
        <w:rPr>
          <w:rFonts w:ascii="Songti SC" w:hAnsi="Songti SC" w:eastAsia="Songti SC" w:cs="Songti SC"/>
          <w:color w:val="000000"/>
        </w:rPr>
        <w:t>需要处理中文文件名、Excel 下载、页面布局、按钮交互和打印预览等兼容问题。</w:t>
      </w:r>
    </w:p>
    <w:p w14:paraId="627BB9E1">
      <w:pPr>
        <w:pStyle w:val="3"/>
        <w:rPr>
          <w:rFonts w:hint="eastAsia"/>
          <w:color w:val="000000"/>
          <w:lang w:eastAsia="zh-CN"/>
        </w:rPr>
      </w:pPr>
      <w:bookmarkStart w:id="261" w:name="_Toc993961208"/>
      <w:bookmarkStart w:id="262" w:name="_Toc1453486610"/>
      <w:r>
        <w:rPr>
          <w:rFonts w:ascii="Songti SC" w:hAnsi="Songti SC" w:eastAsia="Songti SC" w:cs="Songti SC"/>
          <w:color w:val="000000"/>
          <w:lang w:eastAsia="zh-CN"/>
        </w:rPr>
        <w:t>外部接口与线上充值需求分析</w:t>
      </w:r>
      <w:bookmarkEnd w:id="261"/>
      <w:bookmarkEnd w:id="262"/>
    </w:p>
    <w:p w14:paraId="3F96DEC8">
      <w:pPr>
        <w:ind w:firstLine="480"/>
        <w:rPr>
          <w:rFonts w:hint="eastAsia"/>
          <w:color w:val="000000"/>
        </w:rPr>
      </w:pPr>
      <w:r>
        <w:rPr>
          <w:rFonts w:ascii="Songti SC" w:hAnsi="Songti SC" w:eastAsia="Songti SC" w:cs="Songti SC"/>
          <w:color w:val="000000"/>
        </w:rPr>
        <w:t>系统线上充值业务涉及小程序端、平台充值订单、前置库、大数据交互平台和工商银行等环节。需求重点不是改变既有业务边界，而是在现有运行环境下保障充值链路可发起、可回调、可回查、可入账、可对账、可处理异常。</w:t>
      </w:r>
    </w:p>
    <w:p w14:paraId="19ED63AB">
      <w:pPr>
        <w:ind w:firstLine="480"/>
        <w:rPr>
          <w:rFonts w:hint="eastAsia"/>
          <w:color w:val="000000"/>
        </w:rPr>
      </w:pPr>
      <w:r>
        <w:rPr>
          <w:rFonts w:ascii="Songti SC" w:hAnsi="Songti SC" w:eastAsia="Songti SC" w:cs="Songti SC"/>
          <w:color w:val="000000"/>
        </w:rPr>
        <w:t>小程序端需要支持登录、余额查询、充值发起、充值及提现查询、消费记录查询、订单明细查询查询。</w:t>
      </w:r>
    </w:p>
    <w:p w14:paraId="431555C3">
      <w:pPr>
        <w:ind w:firstLine="480"/>
        <w:rPr>
          <w:rFonts w:hint="eastAsia"/>
          <w:color w:val="000000"/>
        </w:rPr>
      </w:pPr>
      <w:r>
        <w:rPr>
          <w:rFonts w:ascii="Songti SC" w:hAnsi="Songti SC" w:eastAsia="Songti SC" w:cs="Songti SC"/>
          <w:color w:val="000000"/>
        </w:rPr>
        <w:t>工商银行充值接口需要支持订单提交、银行处理、成功回调、失败回调、重复回调、延迟回调和主动回查。</w:t>
      </w:r>
    </w:p>
    <w:p w14:paraId="2487EDFC">
      <w:pPr>
        <w:ind w:firstLine="480"/>
        <w:rPr>
          <w:rFonts w:hint="eastAsia"/>
          <w:color w:val="000000"/>
        </w:rPr>
      </w:pPr>
      <w:r>
        <w:rPr>
          <w:rFonts w:ascii="Songti SC" w:hAnsi="Songti SC" w:eastAsia="Songti SC" w:cs="Songti SC"/>
          <w:color w:val="000000"/>
        </w:rPr>
        <w:t>前置库和</w:t>
      </w:r>
      <w:r>
        <w:rPr>
          <w:rFonts w:hint="eastAsia" w:ascii="Songti SC" w:hAnsi="Songti SC" w:eastAsia="Songti SC" w:cs="Songti SC"/>
          <w:color w:val="000000"/>
          <w:lang w:eastAsia="zh-CN"/>
        </w:rPr>
        <w:t>大数据交互平台</w:t>
      </w:r>
      <w:r>
        <w:rPr>
          <w:rFonts w:ascii="Songti SC" w:hAnsi="Songti SC" w:eastAsia="Songti SC" w:cs="Songti SC"/>
          <w:color w:val="000000"/>
        </w:rPr>
        <w:t>需要保持既有交互边界，重点适配连接方式、字段口径、状态枚举、网络策略和异常日志。</w:t>
      </w:r>
    </w:p>
    <w:p w14:paraId="0DC1B5B7">
      <w:pPr>
        <w:ind w:firstLine="480"/>
        <w:rPr>
          <w:rFonts w:hint="eastAsia"/>
          <w:color w:val="000000"/>
        </w:rPr>
      </w:pPr>
      <w:r>
        <w:rPr>
          <w:rFonts w:ascii="Songti SC" w:hAnsi="Songti SC" w:eastAsia="Songti SC" w:cs="Songti SC"/>
          <w:color w:val="000000"/>
        </w:rPr>
        <w:t>充值订单需要建立状态机，防止重复回调造成重复入账，未完成订单需要通过定时回查和对账机制处理。</w:t>
      </w:r>
    </w:p>
    <w:p w14:paraId="5B64E6CD">
      <w:pPr>
        <w:ind w:firstLine="480"/>
        <w:rPr>
          <w:rFonts w:hint="eastAsia"/>
          <w:color w:val="000000"/>
        </w:rPr>
      </w:pPr>
      <w:r>
        <w:rPr>
          <w:rFonts w:ascii="Songti SC" w:hAnsi="Songti SC" w:eastAsia="Songti SC" w:cs="Songti SC"/>
          <w:color w:val="000000"/>
        </w:rPr>
        <w:t>对账需求应覆盖平台订单、前置库记录和银行状态，差异订单应形成清单并进入处理流程。</w:t>
      </w:r>
    </w:p>
    <w:p w14:paraId="484BBF66">
      <w:pPr>
        <w:ind w:firstLine="480"/>
        <w:rPr>
          <w:rFonts w:hint="eastAsia"/>
          <w:color w:val="000000"/>
        </w:rPr>
      </w:pPr>
      <w:r>
        <w:rPr>
          <w:rFonts w:ascii="Songti SC" w:hAnsi="Songti SC" w:eastAsia="Songti SC" w:cs="Songti SC"/>
          <w:color w:val="000000"/>
        </w:rPr>
        <w:t>区大数据平台及前置库等既有业务链路为主，不包含京办、京通等第三方服务入口接入；相关接入事项后续根据业务需求及外部平台接入条件另行评估。</w:t>
      </w:r>
    </w:p>
    <w:p w14:paraId="48F71E97">
      <w:pPr>
        <w:pStyle w:val="4"/>
        <w:rPr>
          <w:rFonts w:hint="eastAsia"/>
          <w:color w:val="000000"/>
        </w:rPr>
      </w:pPr>
      <w:bookmarkStart w:id="263" w:name="_Toc230732843"/>
      <w:bookmarkStart w:id="264" w:name="_Toc1122969645"/>
      <w:r>
        <w:rPr>
          <w:rFonts w:ascii="Songti SC" w:hAnsi="Songti SC" w:eastAsia="Songti SC" w:cs="Songti SC"/>
          <w:color w:val="000000"/>
        </w:rPr>
        <w:t>线上充值完整链路需求</w:t>
      </w:r>
      <w:bookmarkEnd w:id="263"/>
      <w:bookmarkEnd w:id="264"/>
    </w:p>
    <w:p w14:paraId="4B5D51B5">
      <w:pPr>
        <w:ind w:firstLine="480"/>
        <w:rPr>
          <w:rFonts w:hint="eastAsia"/>
          <w:color w:val="000000"/>
        </w:rPr>
      </w:pPr>
      <w:r>
        <w:rPr>
          <w:rFonts w:ascii="Songti SC" w:hAnsi="Songti SC" w:eastAsia="Songti SC" w:cs="Songti SC"/>
          <w:color w:val="000000"/>
        </w:rPr>
        <w:t>线上充值链路直接关系到用户资金体验和财务准确性，需要把“用户已付款、系统未入账”“银行重复通知、系统重复入账”“订单状态不一致、人工难核查”等常见风险纳入设计。</w:t>
      </w:r>
    </w:p>
    <w:p w14:paraId="56147833">
      <w:pPr>
        <w:ind w:firstLine="480"/>
        <w:rPr>
          <w:rFonts w:hint="eastAsia"/>
          <w:color w:val="000000"/>
        </w:rPr>
      </w:pPr>
      <w:r>
        <w:rPr>
          <w:rFonts w:ascii="Songti SC" w:hAnsi="Songti SC" w:eastAsia="Songti SC" w:cs="Songti SC"/>
          <w:color w:val="000000"/>
        </w:rPr>
        <w:t>订单发起环节需要生成唯一订单号，记录人员、金额、渠道、发起时间、订单状态和请求流水，便于后续查找。</w:t>
      </w:r>
    </w:p>
    <w:p w14:paraId="6A54287F">
      <w:pPr>
        <w:ind w:firstLine="480"/>
        <w:rPr>
          <w:rFonts w:hint="eastAsia"/>
          <w:color w:val="000000"/>
        </w:rPr>
      </w:pPr>
      <w:r>
        <w:rPr>
          <w:rFonts w:ascii="Songti SC" w:hAnsi="Songti SC" w:eastAsia="Songti SC" w:cs="Songti SC"/>
          <w:color w:val="000000"/>
        </w:rPr>
        <w:t>银行处理环节需要记录请求报文摘要、返回状态、失败原因、回调时间和回查结果，便于定位银行侧或平台侧问题。</w:t>
      </w:r>
    </w:p>
    <w:p w14:paraId="39A28686">
      <w:pPr>
        <w:ind w:firstLine="480"/>
        <w:rPr>
          <w:rFonts w:hint="eastAsia"/>
          <w:color w:val="000000"/>
        </w:rPr>
      </w:pPr>
      <w:r>
        <w:rPr>
          <w:rFonts w:ascii="Songti SC" w:hAnsi="Songti SC" w:eastAsia="Songti SC" w:cs="Songti SC"/>
          <w:color w:val="000000"/>
        </w:rPr>
        <w:t>入账环节需要以订单状态和账户流水为准，严格控制重复入账，同一成功订单只能形成一次余额增加。</w:t>
      </w:r>
    </w:p>
    <w:p w14:paraId="2B0F9C38">
      <w:pPr>
        <w:ind w:firstLine="480"/>
        <w:rPr>
          <w:rFonts w:hint="eastAsia"/>
          <w:color w:val="000000" w:themeColor="text1"/>
          <w14:textFill>
            <w14:solidFill>
              <w14:schemeClr w14:val="tx1"/>
            </w14:solidFill>
          </w14:textFill>
        </w:rPr>
      </w:pPr>
      <w:r>
        <w:rPr>
          <w:rFonts w:ascii="Songti SC" w:hAnsi="Songti SC" w:eastAsia="Songti SC" w:cs="Songti SC"/>
          <w:color w:val="000000"/>
        </w:rPr>
        <w:t>对账环节应支持平台订单、银行处理结果和账户流水的核对；发现差异时，应记录差异原因并进入人工复核或按既定规则进行补偿处理。</w:t>
      </w:r>
    </w:p>
    <w:p w14:paraId="10E8EC82">
      <w:pPr>
        <w:ind w:firstLine="480"/>
        <w:rPr>
          <w:rFonts w:hint="eastAsia"/>
          <w:color w:val="000000"/>
        </w:rPr>
      </w:pPr>
      <w:r>
        <w:rPr>
          <w:rFonts w:ascii="Songti SC" w:hAnsi="Songti SC" w:eastAsia="Songti SC" w:cs="Songti SC"/>
          <w:color w:val="000000"/>
        </w:rPr>
        <w:t>用户查询环节需要用清晰状态展示充值处理中、充值成功、充值失败和退款处理等结果，减少线下咨询压力。</w:t>
      </w:r>
    </w:p>
    <w:p w14:paraId="6B2DDD1A">
      <w:pPr>
        <w:pStyle w:val="3"/>
        <w:rPr>
          <w:rFonts w:hint="eastAsia" w:ascii="Songti SC" w:hAnsi="Songti SC" w:eastAsia="Songti SC" w:cs="Songti SC"/>
          <w:color w:val="000000"/>
          <w:lang w:eastAsia="zh-CN"/>
        </w:rPr>
      </w:pPr>
      <w:bookmarkStart w:id="265" w:name="_Toc1718909466"/>
      <w:bookmarkStart w:id="266" w:name="_Toc1664533679"/>
      <w:r>
        <w:rPr>
          <w:rFonts w:ascii="Songti SC" w:hAnsi="Songti SC" w:eastAsia="Songti SC" w:cs="Songti SC"/>
          <w:color w:val="000000"/>
          <w:lang w:eastAsia="zh-CN"/>
        </w:rPr>
        <w:t>消费终端更新及接入适配需求分析</w:t>
      </w:r>
      <w:bookmarkEnd w:id="265"/>
      <w:bookmarkEnd w:id="266"/>
    </w:p>
    <w:p w14:paraId="52C5FABC">
      <w:pPr>
        <w:ind w:firstLine="480"/>
        <w:rPr>
          <w:rFonts w:hint="eastAsia"/>
          <w:color w:val="000000" w:themeColor="text1"/>
          <w14:textFill>
            <w14:solidFill>
              <w14:schemeClr w14:val="tx1"/>
            </w14:solidFill>
          </w14:textFill>
        </w:rPr>
      </w:pPr>
      <w:r>
        <w:rPr>
          <w:rFonts w:ascii="Songti SC" w:hAnsi="Songti SC" w:eastAsia="Songti SC" w:cs="Songti SC"/>
          <w:color w:val="000000"/>
          <w:lang w:eastAsia="zh-CN"/>
        </w:rPr>
        <w:t>本项目对现场设备的需求边界是“消费终端更新及接入适配”。项目根据目标系统、接口协议和现场运行要求，对55台消费终端进行必要更新，并完成服务地址配置、设备身份绑定、人员及人脸同步、刷卡/扫码/人脸消费、菜品消费、离线补传、状态监测和异常回传等接入适配工作。终端更新属于系统升级的配套实施内容，不单独以硬件采购为建设目的。</w:t>
      </w:r>
    </w:p>
    <w:p w14:paraId="40A93CCE">
      <w:pPr>
        <w:ind w:firstLine="480"/>
        <w:rPr>
          <w:rFonts w:hint="eastAsia"/>
          <w:color w:val="000000"/>
        </w:rPr>
      </w:pPr>
      <w:r>
        <w:rPr>
          <w:rFonts w:ascii="Songti SC" w:hAnsi="Songti SC" w:eastAsia="Songti SC" w:cs="Songti SC"/>
          <w:color w:val="000000"/>
        </w:rPr>
        <w:t>基础接入需求：需要逐台建立消费机台账，维护设备编号、点位、办公区、餐厅</w:t>
      </w:r>
      <w:r>
        <w:rPr>
          <w:rFonts w:hint="eastAsia" w:ascii="Songti SC" w:hAnsi="Songti SC" w:eastAsia="Songti SC" w:cs="Songti SC"/>
          <w:color w:val="000000"/>
        </w:rPr>
        <w:t>、</w:t>
      </w:r>
      <w:r>
        <w:rPr>
          <w:rFonts w:ascii="Songti SC" w:hAnsi="Songti SC" w:eastAsia="Songti SC" w:cs="Songti SC"/>
          <w:color w:val="000000"/>
        </w:rPr>
        <w:t>服务地址、软件版本和责任人。</w:t>
      </w:r>
    </w:p>
    <w:p w14:paraId="378E7C82">
      <w:pPr>
        <w:ind w:firstLine="480"/>
        <w:rPr>
          <w:rFonts w:hint="eastAsia"/>
          <w:color w:val="000000"/>
        </w:rPr>
      </w:pPr>
      <w:r>
        <w:rPr>
          <w:rFonts w:ascii="Songti SC" w:hAnsi="Songti SC" w:eastAsia="Songti SC" w:cs="Songti SC"/>
          <w:color w:val="000000"/>
        </w:rPr>
        <w:t>人员同步需求：需要支持全量同步、增量同步、同步失败重发和同步结果查询，确保新增、修改、注销、挂失、恢复等状态在消费机生效。</w:t>
      </w:r>
    </w:p>
    <w:p w14:paraId="704B609D">
      <w:pPr>
        <w:ind w:firstLine="480"/>
        <w:rPr>
          <w:rFonts w:hint="eastAsia"/>
          <w:color w:val="000000"/>
        </w:rPr>
      </w:pPr>
      <w:r>
        <w:rPr>
          <w:rFonts w:ascii="Songti SC" w:hAnsi="Songti SC" w:eastAsia="Songti SC" w:cs="Songti SC"/>
          <w:color w:val="000000"/>
        </w:rPr>
        <w:t>人脸同步需求：需要支持人脸新增、更新、删除、批量下发和失败重发，人员注销或离职后应同步禁用。</w:t>
      </w:r>
    </w:p>
    <w:p w14:paraId="16C65BA0">
      <w:pPr>
        <w:ind w:firstLine="480"/>
        <w:rPr>
          <w:rFonts w:hint="eastAsia"/>
          <w:color w:val="000000"/>
        </w:rPr>
      </w:pPr>
      <w:r>
        <w:rPr>
          <w:rFonts w:ascii="Songti SC" w:hAnsi="Songti SC" w:eastAsia="Songti SC" w:cs="Songti SC"/>
          <w:color w:val="000000"/>
        </w:rPr>
        <w:t>交易处理需求：刷卡、扫码、人脸、菜品消费和称重计价等现场交易应统一提交后台校验，后台以人员状态、卡状态、账户余额、身份类别、消费策略和餐次规则决定扣款结果。</w:t>
      </w:r>
    </w:p>
    <w:p w14:paraId="52B5D4E0">
      <w:pPr>
        <w:ind w:firstLine="480"/>
        <w:rPr>
          <w:rFonts w:hint="eastAsia"/>
          <w:color w:val="000000"/>
        </w:rPr>
      </w:pPr>
      <w:r>
        <w:rPr>
          <w:rFonts w:ascii="Songti SC" w:hAnsi="Songti SC" w:eastAsia="Songti SC" w:cs="Songti SC"/>
          <w:color w:val="000000"/>
        </w:rPr>
        <w:t>离线补传需求：网络异常时消费机本地保存订单，网络恢复后按队列补传，后台应通过设备号、本地订单号和交易时间进行幂等处理。</w:t>
      </w:r>
    </w:p>
    <w:p w14:paraId="24B487B8">
      <w:pPr>
        <w:ind w:firstLine="480"/>
        <w:rPr>
          <w:rFonts w:hint="eastAsia"/>
          <w:color w:val="000000"/>
        </w:rPr>
      </w:pPr>
      <w:r>
        <w:rPr>
          <w:rFonts w:ascii="Songti SC" w:hAnsi="Songti SC" w:eastAsia="Songti SC" w:cs="Songti SC"/>
          <w:color w:val="000000"/>
        </w:rPr>
        <w:t>状态监测需求：消费机应定时上报在线状态、心跳、版本、最近交易、异常码和补传积压，管理端可按办公区和餐厅查询。</w:t>
      </w:r>
    </w:p>
    <w:p w14:paraId="3CC7585D">
      <w:pPr>
        <w:pStyle w:val="4"/>
        <w:rPr>
          <w:rFonts w:hint="eastAsia"/>
          <w:color w:val="000000"/>
          <w:lang w:eastAsia="zh-CN"/>
        </w:rPr>
      </w:pPr>
      <w:bookmarkStart w:id="267" w:name="_Toc548073484"/>
      <w:bookmarkStart w:id="268" w:name="_Toc1761375618"/>
      <w:r>
        <w:rPr>
          <w:rFonts w:ascii="Songti SC" w:hAnsi="Songti SC" w:eastAsia="Songti SC" w:cs="Songti SC"/>
          <w:color w:val="000000"/>
          <w:lang w:eastAsia="zh-CN"/>
        </w:rPr>
        <w:t>消费机软件功能适配需求</w:t>
      </w:r>
      <w:bookmarkEnd w:id="267"/>
      <w:bookmarkEnd w:id="268"/>
    </w:p>
    <w:p w14:paraId="4695BC4E">
      <w:pPr>
        <w:ind w:firstLine="480"/>
        <w:rPr>
          <w:rFonts w:hint="eastAsia"/>
          <w:color w:val="000000"/>
        </w:rPr>
      </w:pPr>
      <w:r>
        <w:rPr>
          <w:rFonts w:ascii="Songti SC" w:hAnsi="Songti SC" w:eastAsia="Songti SC" w:cs="Songti SC"/>
          <w:color w:val="000000"/>
        </w:rPr>
        <w:t>消费机软件适配需要围绕现场交易的真实使用方式展开，既要保障刷卡、扫码、人脸、菜品消费等既有能力继续可用，也要保障交易数据能够稳定进入后台账户、订单和报表体系。</w:t>
      </w:r>
    </w:p>
    <w:p w14:paraId="7965D1FA">
      <w:pPr>
        <w:ind w:firstLine="480"/>
        <w:rPr>
          <w:rFonts w:hint="eastAsia"/>
          <w:color w:val="000000"/>
        </w:rPr>
      </w:pPr>
      <w:r>
        <w:rPr>
          <w:rFonts w:ascii="Songti SC" w:hAnsi="Songti SC" w:eastAsia="Songti SC" w:cs="Songti SC"/>
          <w:color w:val="000000"/>
        </w:rPr>
        <w:t>刷卡消费适配：消费机读取卡号后，后台应校验卡状态、人员状态、账户状态、余额和消费权限，返回允许扣款或拒绝原因。</w:t>
      </w:r>
    </w:p>
    <w:p w14:paraId="52355543">
      <w:pPr>
        <w:ind w:firstLine="480"/>
        <w:rPr>
          <w:rFonts w:hint="eastAsia"/>
          <w:color w:val="000000"/>
        </w:rPr>
      </w:pPr>
      <w:r>
        <w:rPr>
          <w:rFonts w:ascii="Songti SC" w:hAnsi="Songti SC" w:eastAsia="Songti SC" w:cs="Songti SC"/>
          <w:color w:val="000000"/>
        </w:rPr>
        <w:t>扫码消费适配：二维码应与人员账户或支付凭证关联，消费机提交码值、金额、餐次和设备信息，后台完成有效性校验和扣款处理。</w:t>
      </w:r>
    </w:p>
    <w:p w14:paraId="6314C57A">
      <w:pPr>
        <w:ind w:firstLine="480"/>
        <w:rPr>
          <w:rFonts w:hint="eastAsia"/>
          <w:color w:val="000000"/>
        </w:rPr>
      </w:pPr>
      <w:r>
        <w:rPr>
          <w:rFonts w:ascii="Songti SC" w:hAnsi="Songti SC" w:eastAsia="Songti SC" w:cs="Songti SC"/>
          <w:color w:val="000000"/>
        </w:rPr>
        <w:t>人脸消费适配：人脸识别结果应与人员档案关联，后台校验身份、余额、权限和消费策略后返回结果，人脸更新和注销应及时同步。</w:t>
      </w:r>
    </w:p>
    <w:p w14:paraId="2EE8C6DE">
      <w:pPr>
        <w:ind w:firstLine="480"/>
        <w:rPr>
          <w:rFonts w:hint="eastAsia"/>
          <w:color w:val="000000"/>
        </w:rPr>
      </w:pPr>
      <w:r>
        <w:rPr>
          <w:rFonts w:ascii="Songti SC" w:hAnsi="Songti SC" w:eastAsia="Songti SC" w:cs="Songti SC"/>
          <w:color w:val="000000"/>
        </w:rPr>
        <w:t>菜品消费适配：消费机应提交菜品、价格</w:t>
      </w:r>
      <w:r>
        <w:rPr>
          <w:rFonts w:hint="eastAsia" w:ascii="Songti SC" w:hAnsi="Songti SC" w:eastAsia="Songti SC" w:cs="Songti SC"/>
          <w:color w:val="000000"/>
        </w:rPr>
        <w:t>、</w:t>
      </w:r>
      <w:r>
        <w:rPr>
          <w:rFonts w:ascii="Songti SC" w:hAnsi="Songti SC" w:eastAsia="Songti SC" w:cs="Songti SC"/>
          <w:color w:val="000000"/>
        </w:rPr>
        <w:t>餐次和人员信息，后台形成订单明细，支撑菜品销量统计。</w:t>
      </w:r>
    </w:p>
    <w:p w14:paraId="3321FB8E">
      <w:pPr>
        <w:ind w:firstLine="480"/>
        <w:rPr>
          <w:rFonts w:hint="eastAsia"/>
          <w:color w:val="000000"/>
        </w:rPr>
      </w:pPr>
      <w:r>
        <w:rPr>
          <w:rFonts w:ascii="Songti SC" w:hAnsi="Songti SC" w:eastAsia="Songti SC" w:cs="Songti SC"/>
          <w:color w:val="000000"/>
        </w:rPr>
        <w:t>双屏确认适配：涉及金额确认和交易结果展示的场景，应保障前后屏展示信息一致，避免用户对扣款金额产生疑问。</w:t>
      </w:r>
    </w:p>
    <w:p w14:paraId="39BC464F">
      <w:pPr>
        <w:ind w:firstLine="480"/>
        <w:rPr>
          <w:rFonts w:hint="eastAsia"/>
          <w:color w:val="000000"/>
        </w:rPr>
      </w:pPr>
      <w:r>
        <w:rPr>
          <w:rFonts w:ascii="Songti SC" w:hAnsi="Songti SC" w:eastAsia="Songti SC" w:cs="Songti SC"/>
          <w:color w:val="000000"/>
        </w:rPr>
        <w:t>异常提示适配：余额不足、卡已挂失、人员已离职、未到有效期、超过餐次限制、网络异常等情况应返回业务人员可理解的提示。</w:t>
      </w:r>
    </w:p>
    <w:p w14:paraId="06E228BB">
      <w:pPr>
        <w:pStyle w:val="4"/>
        <w:rPr>
          <w:rFonts w:hint="eastAsia"/>
          <w:color w:val="000000"/>
        </w:rPr>
      </w:pPr>
      <w:bookmarkStart w:id="269" w:name="_Toc377937831"/>
      <w:bookmarkStart w:id="270" w:name="_Toc913683605"/>
      <w:r>
        <w:rPr>
          <w:rFonts w:ascii="Songti SC" w:hAnsi="Songti SC" w:eastAsia="Songti SC" w:cs="Songti SC"/>
          <w:color w:val="000000"/>
        </w:rPr>
        <w:t>消费机分批接入需求</w:t>
      </w:r>
      <w:bookmarkEnd w:id="269"/>
      <w:bookmarkEnd w:id="270"/>
    </w:p>
    <w:p w14:paraId="2D415438">
      <w:pPr>
        <w:ind w:firstLine="480"/>
        <w:rPr>
          <w:rFonts w:hint="eastAsia"/>
          <w:color w:val="000000" w:themeColor="text1"/>
          <w14:textFill>
            <w14:solidFill>
              <w14:schemeClr w14:val="tx1"/>
            </w14:solidFill>
          </w14:textFill>
        </w:rPr>
      </w:pPr>
      <w:r>
        <w:rPr>
          <w:rFonts w:ascii="Songti SC" w:hAnsi="Songti SC" w:eastAsia="Songti SC" w:cs="Songti SC"/>
          <w:color w:val="000000"/>
        </w:rPr>
        <w:t>由于消费机分布在不同餐厅和服务点位，软件适配不宜一次性切换全部点位。项目需要支持分批接入、分批验证、分批回退和分批总结，确保每个点位的现场服务稳定。</w:t>
      </w:r>
    </w:p>
    <w:p w14:paraId="3E48AA5B">
      <w:pPr>
        <w:ind w:firstLine="480"/>
        <w:rPr>
          <w:rFonts w:hint="eastAsia"/>
          <w:color w:val="000000"/>
        </w:rPr>
      </w:pPr>
      <w:r>
        <w:rPr>
          <w:rFonts w:ascii="Songti SC" w:hAnsi="Songti SC" w:eastAsia="Songti SC" w:cs="Songti SC"/>
          <w:color w:val="000000"/>
        </w:rPr>
        <w:t>接入前应确认消费机台账、网络连通、服务地址、设备身份、餐厅归属、参数版本和负责人。</w:t>
      </w:r>
    </w:p>
    <w:p w14:paraId="04BC3FE0">
      <w:pPr>
        <w:ind w:firstLine="480"/>
        <w:rPr>
          <w:rFonts w:hint="eastAsia"/>
          <w:color w:val="000000"/>
        </w:rPr>
      </w:pPr>
      <w:r>
        <w:rPr>
          <w:rFonts w:ascii="Songti SC" w:hAnsi="Songti SC" w:eastAsia="Songti SC" w:cs="Songti SC"/>
          <w:color w:val="000000"/>
        </w:rPr>
        <w:t>接入中应逐台验证人员同步、人脸同步、刷卡交易、扫码交易、订单入库、报表汇总和离线补传。</w:t>
      </w:r>
    </w:p>
    <w:p w14:paraId="44EB2D8C">
      <w:pPr>
        <w:ind w:firstLine="480"/>
        <w:rPr>
          <w:rFonts w:hint="eastAsia"/>
          <w:color w:val="000000"/>
        </w:rPr>
      </w:pPr>
      <w:r>
        <w:rPr>
          <w:rFonts w:ascii="Songti SC" w:hAnsi="Songti SC" w:eastAsia="Songti SC" w:cs="Songti SC"/>
          <w:color w:val="000000"/>
        </w:rPr>
        <w:t>接入后应连续观察在线状态、交易成功率、补传积压、异常订单和现场反馈，发现问题及时调整参数。</w:t>
      </w:r>
    </w:p>
    <w:p w14:paraId="0D3F1E0B">
      <w:pPr>
        <w:ind w:firstLine="480"/>
        <w:rPr>
          <w:rFonts w:hint="eastAsia"/>
          <w:color w:val="000000"/>
        </w:rPr>
      </w:pPr>
      <w:r>
        <w:rPr>
          <w:rFonts w:ascii="Songti SC" w:hAnsi="Songti SC" w:eastAsia="Songti SC" w:cs="Songti SC"/>
          <w:color w:val="000000"/>
        </w:rPr>
        <w:t>对重点餐厅和高峰应优先安排现场值守，保障切换期间就餐秩序。</w:t>
      </w:r>
    </w:p>
    <w:p w14:paraId="497038BA">
      <w:pPr>
        <w:pStyle w:val="3"/>
        <w:rPr>
          <w:rFonts w:hint="eastAsia"/>
          <w:color w:val="000000"/>
        </w:rPr>
      </w:pPr>
      <w:bookmarkStart w:id="271" w:name="_Toc1772273185"/>
      <w:bookmarkStart w:id="272" w:name="_Toc1891981438"/>
      <w:r>
        <w:rPr>
          <w:rFonts w:ascii="Songti SC" w:hAnsi="Songti SC" w:eastAsia="Songti SC" w:cs="Songti SC"/>
          <w:color w:val="000000"/>
        </w:rPr>
        <w:t>需求安全分析</w:t>
      </w:r>
      <w:bookmarkEnd w:id="271"/>
      <w:bookmarkEnd w:id="272"/>
      <w:bookmarkStart w:id="273" w:name="_Toc432860864"/>
      <w:bookmarkEnd w:id="273"/>
    </w:p>
    <w:p w14:paraId="713D2244">
      <w:pPr>
        <w:ind w:firstLine="480"/>
        <w:rPr>
          <w:rFonts w:hint="eastAsia"/>
          <w:color w:val="000000"/>
        </w:rPr>
      </w:pPr>
      <w:r>
        <w:rPr>
          <w:rFonts w:ascii="Songti SC" w:hAnsi="Songti SC" w:eastAsia="Songti SC" w:cs="Songti SC"/>
          <w:color w:val="000000"/>
        </w:rPr>
        <w:t>食堂消费系统升级改造后将部署于建设单位统筹确定的政务云运行环境，系统承载人员信息、账户余额、充值记录、消费流水、补贴信息、订单记录、人脸识别信息、设备运行日志和财务统计报表等重要数据，且与小程序端、消费机、工商银行线上充值系统、大数据交互平台和前置库存在数据交互关系。为保障系统稳定运行、数据安全和业务连续，应按照网络安全等级保护相关要求，从安全物理环境、安全通信网络、安全区域边界、安全计算环境、安全管理中心和安全管理等方面开展安全需求分析，形成与后续安全建设方案相衔接的需求体系。</w:t>
      </w:r>
    </w:p>
    <w:p w14:paraId="3111B2DC">
      <w:pPr>
        <w:pStyle w:val="4"/>
        <w:rPr>
          <w:rFonts w:hint="eastAsia"/>
          <w:color w:val="000000" w:themeColor="text1"/>
          <w14:textFill>
            <w14:solidFill>
              <w14:schemeClr w14:val="tx1"/>
            </w14:solidFill>
          </w14:textFill>
        </w:rPr>
      </w:pPr>
      <w:bookmarkStart w:id="274" w:name="_Toc1565428859"/>
      <w:bookmarkStart w:id="275" w:name="_Toc741667337"/>
      <w:bookmarkStart w:id="276" w:name="_Toc997236405"/>
      <w:r>
        <w:rPr>
          <w:rFonts w:hint="eastAsia"/>
          <w:color w:val="000000" w:themeColor="text1"/>
          <w:lang w:eastAsia="zh-CN"/>
          <w14:textFill>
            <w14:solidFill>
              <w14:schemeClr w14:val="tx1"/>
            </w14:solidFill>
          </w14:textFill>
        </w:rPr>
        <w:t>安全物理环境需求</w:t>
      </w:r>
      <w:bookmarkEnd w:id="274"/>
      <w:bookmarkEnd w:id="275"/>
      <w:bookmarkEnd w:id="276"/>
    </w:p>
    <w:p w14:paraId="4ADBCECA">
      <w:pPr>
        <w:ind w:firstLine="480"/>
        <w:rPr>
          <w:rFonts w:hint="eastAsia"/>
          <w:color w:val="000000"/>
        </w:rPr>
      </w:pPr>
      <w:r>
        <w:rPr>
          <w:rFonts w:ascii="Songti SC" w:hAnsi="Songti SC" w:eastAsia="Songti SC" w:cs="Songti SC"/>
          <w:color w:val="000000"/>
        </w:rPr>
        <w:t>本系统升级后部署于建设单位统筹确定的政务云环境，物理环境安全依托政务云机房及云平台基础安全能力实现。项目应确认所使用的计算、存储、备份和安全资源位于符合网络安全等级保护第三级要求的承载环境中，并由政务云运营管理体系保障机房出入控制、供配电、消防、防雷、防水、防盗、防破坏、温湿度控制、视频监控和基础设施运行维护等安全要求。</w:t>
      </w:r>
    </w:p>
    <w:p w14:paraId="0C4E15EA">
      <w:pPr>
        <w:pStyle w:val="4"/>
        <w:rPr>
          <w:rFonts w:hint="eastAsia"/>
          <w:color w:val="000000" w:themeColor="text1"/>
          <w14:textFill>
            <w14:solidFill>
              <w14:schemeClr w14:val="tx1"/>
            </w14:solidFill>
          </w14:textFill>
        </w:rPr>
      </w:pPr>
      <w:bookmarkStart w:id="277" w:name="_Toc1207845771"/>
      <w:r>
        <w:rPr>
          <w:rFonts w:hint="eastAsia"/>
          <w:color w:val="000000" w:themeColor="text1"/>
          <w:lang w:eastAsia="zh-CN"/>
          <w14:textFill>
            <w14:solidFill>
              <w14:schemeClr w14:val="tx1"/>
            </w14:solidFill>
          </w14:textFill>
        </w:rPr>
        <w:t>安全通信网络需求</w:t>
      </w:r>
      <w:bookmarkEnd w:id="277"/>
    </w:p>
    <w:p w14:paraId="2F394D71">
      <w:pPr>
        <w:ind w:firstLine="480"/>
        <w:rPr>
          <w:rFonts w:hint="eastAsia"/>
          <w:color w:val="000000"/>
        </w:rPr>
      </w:pPr>
      <w:r>
        <w:rPr>
          <w:rFonts w:ascii="Songti SC" w:hAnsi="Songti SC" w:eastAsia="Songti SC" w:cs="Songti SC"/>
          <w:color w:val="000000"/>
        </w:rPr>
        <w:t>系统应根据目标政务云网络架构、电子政务外网接入条件和网络安全等级保护第三级要求进行网络区域划分，区分管理访问、应用服务、数据库访问、外部接口交互、消费终端接入和运维管理等不同通信链路。管理端、小程序端、消费终端、银行接口、大数据交互平台和前置库之间的数据交换应具备明确的访问路径、访问来源、访问目标和通信端口，避免无关网络互通和越权访问。</w:t>
      </w:r>
    </w:p>
    <w:p w14:paraId="445CA57E">
      <w:pPr>
        <w:ind w:firstLine="480"/>
        <w:rPr>
          <w:rFonts w:hint="eastAsia"/>
          <w:color w:val="000000"/>
        </w:rPr>
      </w:pPr>
      <w:r>
        <w:rPr>
          <w:rFonts w:ascii="Songti SC" w:hAnsi="Songti SC" w:eastAsia="Songti SC" w:cs="Songti SC"/>
          <w:color w:val="000000"/>
        </w:rPr>
        <w:t>系统应对重要网络区域采取可靠的隔离和访问控制措施，避免将应用服务、数据库服务和安全管理资源直接暴露在边界区域。对管理端访问、小程序访问、消费终端交易上传、银行充值回调、前置库交互等链路，应根据业务需要配置安全通信策略，保障数据传输过程的机密性、完整性和可追溯性。涉及敏感数据的传输，应根据接口协议和商用密码应用要求采用安全通信、身份认证和完整性校验措施；对确需签名验签、时间戳或防重放的接口，按双方确认的接口规范实施。</w:t>
      </w:r>
    </w:p>
    <w:p w14:paraId="3145AA84">
      <w:pPr>
        <w:pStyle w:val="4"/>
        <w:rPr>
          <w:rFonts w:hint="eastAsia"/>
          <w:color w:val="000000"/>
        </w:rPr>
      </w:pPr>
      <w:bookmarkStart w:id="278" w:name="_Toc2082077155"/>
      <w:bookmarkStart w:id="279" w:name="_Toc1306401188"/>
      <w:bookmarkStart w:id="280" w:name="_Toc100958106"/>
      <w:r>
        <w:rPr>
          <w:rFonts w:hint="eastAsia" w:ascii="Songti SC" w:hAnsi="Songti SC" w:eastAsia="Songti SC" w:cs="Songti SC"/>
          <w:color w:val="000000"/>
          <w:lang w:eastAsia="zh-CN"/>
        </w:rPr>
        <w:t>安全区域边界需求</w:t>
      </w:r>
      <w:bookmarkEnd w:id="278"/>
      <w:bookmarkEnd w:id="279"/>
      <w:bookmarkEnd w:id="280"/>
    </w:p>
    <w:p w14:paraId="58AB5854">
      <w:pPr>
        <w:ind w:firstLine="480"/>
        <w:rPr>
          <w:rFonts w:hint="eastAsia"/>
          <w:color w:val="000000"/>
        </w:rPr>
      </w:pPr>
      <w:r>
        <w:rPr>
          <w:rFonts w:ascii="Songti SC" w:hAnsi="Songti SC" w:eastAsia="Songti SC" w:cs="Songti SC"/>
          <w:color w:val="000000"/>
        </w:rPr>
        <w:t>系统边界防护应重点覆盖本地网络区域出口、应用访问入口、外部接口入口、消费机接入入口和运维入口。系统应通过访问控制策略限制不同区域之间的访问关系，对不符合业务规则和安全策略的访问请求进行拦截，防止跨区域越权访问、非法扫描、恶意攻击和异常流量进入系统。</w:t>
      </w:r>
    </w:p>
    <w:p w14:paraId="40686835">
      <w:pPr>
        <w:ind w:firstLine="480"/>
        <w:rPr>
          <w:rFonts w:hint="eastAsia"/>
          <w:color w:val="000000"/>
        </w:rPr>
      </w:pPr>
      <w:r>
        <w:rPr>
          <w:rFonts w:ascii="Songti SC" w:hAnsi="Songti SC" w:eastAsia="Songti SC" w:cs="Songti SC"/>
          <w:color w:val="000000"/>
        </w:rPr>
        <w:t>针对PC管理端、小程序端、接口服务等Web类访问入口，应具备Web应用安全防护需求，重点防范SQL注入、跨站脚本、非法请求、恶意爬取、网页篡改、暴力破解和异常访问等风险。针对工商银行线上充值、</w:t>
      </w:r>
      <w:r>
        <w:rPr>
          <w:rFonts w:hint="eastAsia" w:ascii="Songti SC" w:hAnsi="Songti SC" w:eastAsia="Songti SC" w:cs="Songti SC"/>
          <w:color w:val="000000"/>
          <w:lang w:eastAsia="zh-CN"/>
        </w:rPr>
        <w:t>大数据交互平台</w:t>
      </w:r>
      <w:r>
        <w:rPr>
          <w:rFonts w:ascii="Songti SC" w:hAnsi="Songti SC" w:eastAsia="Songti SC" w:cs="Songti SC"/>
          <w:color w:val="000000"/>
        </w:rPr>
        <w:t>、前置库和消费机接口，应限定访问来源、接口地址、调用频率和请求参数，确保只有经过授权的系统、设备和服务可以访问。对接口调用失败、签名异常、来源异常、重复请求、超时请求和高频访问等情况，应记录日志并纳入安全监测范围。</w:t>
      </w:r>
    </w:p>
    <w:p w14:paraId="450FEAFC">
      <w:pPr>
        <w:pStyle w:val="4"/>
        <w:rPr>
          <w:rFonts w:hint="eastAsia"/>
          <w:color w:val="000000" w:themeColor="text1"/>
          <w14:textFill>
            <w14:solidFill>
              <w14:schemeClr w14:val="tx1"/>
            </w14:solidFill>
          </w14:textFill>
        </w:rPr>
      </w:pPr>
      <w:bookmarkStart w:id="281" w:name="_Toc224716220"/>
      <w:bookmarkStart w:id="282" w:name="_Toc290806412"/>
      <w:bookmarkStart w:id="283" w:name="_Toc811959788"/>
      <w:r>
        <w:rPr>
          <w:rFonts w:hint="eastAsia"/>
          <w:color w:val="000000" w:themeColor="text1"/>
          <w:lang w:eastAsia="zh-CN"/>
          <w14:textFill>
            <w14:solidFill>
              <w14:schemeClr w14:val="tx1"/>
            </w14:solidFill>
          </w14:textFill>
        </w:rPr>
        <w:t>安全计算环境需求</w:t>
      </w:r>
      <w:bookmarkEnd w:id="281"/>
      <w:bookmarkEnd w:id="282"/>
      <w:bookmarkEnd w:id="283"/>
    </w:p>
    <w:p w14:paraId="4331D78B">
      <w:pPr>
        <w:ind w:firstLine="480"/>
        <w:rPr>
          <w:rFonts w:hint="eastAsia"/>
          <w:color w:val="000000"/>
        </w:rPr>
      </w:pPr>
      <w:r>
        <w:rPr>
          <w:rFonts w:ascii="Songti SC" w:hAnsi="Songti SC" w:eastAsia="Songti SC" w:cs="Songti SC"/>
          <w:color w:val="000000"/>
        </w:rPr>
        <w:t>系统运行环境应对虚拟服务器、操作系统、数据库、中间件、应用服务、文件目录、定时任务和消费机接入服务进行安全加固和运行防护。应用服务器和数据库服务器应具备主机安全防护能力，能够识别病毒木马、恶意代码、异常进程、异常登录、漏洞风险和高危操作，降低主机被攻击、被篡改或被非法控制的风险。</w:t>
      </w:r>
    </w:p>
    <w:p w14:paraId="6A26BCF9">
      <w:pPr>
        <w:ind w:firstLine="480"/>
        <w:rPr>
          <w:rFonts w:hint="eastAsia"/>
          <w:color w:val="000000"/>
        </w:rPr>
      </w:pPr>
      <w:r>
        <w:rPr>
          <w:rFonts w:ascii="Songti SC" w:hAnsi="Songti SC" w:eastAsia="Songti SC" w:cs="Songti SC"/>
          <w:color w:val="000000"/>
        </w:rPr>
        <w:t>系统应建立统一身份鉴别和权限控制要求。后台管理人员、运维人员、财务人员、业务管理人员和设备维护人员应按岗位分配账号和权限，遵循最小权限原则，不同角色仅能访问其工作所需功能和数据。对于系统管理员、数据库管理员、运维人员等高权限账号，应加强口令复杂度、登录限制、会话超时、账号停用和异常登录审计要求，必要时结合多因素认证或堡垒机进行统一运维管控。</w:t>
      </w:r>
    </w:p>
    <w:p w14:paraId="6B2C7AB7">
      <w:pPr>
        <w:ind w:firstLine="480"/>
        <w:rPr>
          <w:rFonts w:hint="eastAsia"/>
          <w:color w:val="000000"/>
        </w:rPr>
      </w:pPr>
      <w:r>
        <w:rPr>
          <w:rFonts w:ascii="Songti SC" w:hAnsi="Songti SC" w:eastAsia="Songti SC" w:cs="Songti SC"/>
          <w:color w:val="000000"/>
        </w:rPr>
        <w:t>系统应具备日志审计和数据库审计需求。登录、查询、导入、导出、人员修改、挂失恢复、充值、退款、补贴发放、消费策略调整、消费机参数调整、接口调用、离线补传、异常订单处理和运维操作等关键行为均应记录操作人、操作时间、操作对象、操作结果和失败原因。数据库访问应对人员、账户、充值、消费、补贴、退款、人脸、报表等敏感数据的查询、修改、删除和导出行为进行审计，支持事后追溯和安全事件分析。</w:t>
      </w:r>
    </w:p>
    <w:p w14:paraId="7248E377">
      <w:pPr>
        <w:pStyle w:val="4"/>
        <w:rPr>
          <w:rFonts w:hint="eastAsia"/>
          <w:color w:val="000000"/>
        </w:rPr>
      </w:pPr>
      <w:bookmarkStart w:id="284" w:name="_Toc1529258114"/>
      <w:bookmarkStart w:id="285" w:name="_Toc1497063878"/>
      <w:bookmarkStart w:id="286" w:name="_Toc2058069559"/>
      <w:r>
        <w:rPr>
          <w:rFonts w:hint="eastAsia"/>
          <w:color w:val="000000" w:themeColor="text1"/>
          <w:lang w:eastAsia="zh-CN"/>
          <w14:textFill>
            <w14:solidFill>
              <w14:schemeClr w14:val="tx1"/>
            </w14:solidFill>
          </w14:textFill>
        </w:rPr>
        <w:t>安全管理中心需求</w:t>
      </w:r>
      <w:bookmarkEnd w:id="284"/>
      <w:bookmarkEnd w:id="285"/>
      <w:bookmarkEnd w:id="286"/>
    </w:p>
    <w:p w14:paraId="7801F22B">
      <w:pPr>
        <w:ind w:firstLine="480"/>
        <w:rPr>
          <w:rFonts w:hint="eastAsia"/>
          <w:color w:val="000000"/>
        </w:rPr>
      </w:pPr>
      <w:r>
        <w:rPr>
          <w:rFonts w:ascii="Songti SC" w:hAnsi="Songti SC" w:eastAsia="Songti SC" w:cs="Songti SC"/>
          <w:color w:val="000000"/>
        </w:rPr>
        <w:t>系统应具备集中安全监测和统一管控需求，将应用服务、数据库、中间件、主机、接口、消费机在线状态、补传积压、备份任务、日志容量、异常订单、对账差异和安全告警等纳入统一运行关注范围。通过集中监测和态势感知能力，及时发现网络攻击、异常访问、主机风险、接口失败、数据库异常、消费机离线、任务失败和安全策略异常等问题。</w:t>
      </w:r>
    </w:p>
    <w:p w14:paraId="7DB446EA">
      <w:pPr>
        <w:ind w:firstLine="480"/>
        <w:rPr>
          <w:rFonts w:hint="eastAsia"/>
          <w:color w:val="000000"/>
        </w:rPr>
      </w:pPr>
      <w:r>
        <w:rPr>
          <w:rFonts w:ascii="Songti SC" w:hAnsi="Songti SC" w:eastAsia="Songti SC" w:cs="Songti SC"/>
          <w:color w:val="000000"/>
        </w:rPr>
        <w:t>安全管理中心应支持安全事件集中采集、统一分析、告警通知、处置跟踪和结果复核。对于影响充值入账、现场消费、账户余额、报表统计、外部接口和消费机接入的安全事件，应能够定位影响范围、关联日志记录、跟踪处置过程，并形成问题闭环。系统安全运行结果应能够为等保测评、整改验证、运维巡检和项目验收提供支撑材料。</w:t>
      </w:r>
    </w:p>
    <w:p w14:paraId="08118369">
      <w:pPr>
        <w:pStyle w:val="3"/>
        <w:rPr>
          <w:rFonts w:hint="eastAsia"/>
          <w:color w:val="000000"/>
        </w:rPr>
      </w:pPr>
      <w:bookmarkStart w:id="287" w:name="_Toc1156834702"/>
      <w:bookmarkStart w:id="288" w:name="_Toc455975884"/>
      <w:r>
        <w:rPr>
          <w:rFonts w:ascii="Songti SC" w:hAnsi="Songti SC" w:eastAsia="Songti SC" w:cs="Songti SC"/>
          <w:color w:val="000000"/>
        </w:rPr>
        <w:t>密码应用需求分析</w:t>
      </w:r>
      <w:bookmarkEnd w:id="287"/>
      <w:bookmarkEnd w:id="288"/>
    </w:p>
    <w:p w14:paraId="22EB0520">
      <w:pPr>
        <w:ind w:firstLine="480"/>
        <w:rPr>
          <w:rFonts w:hint="eastAsia"/>
          <w:color w:val="000000"/>
        </w:rPr>
      </w:pPr>
      <w:r>
        <w:rPr>
          <w:rFonts w:ascii="Songti SC" w:hAnsi="Songti SC" w:eastAsia="Songti SC" w:cs="Songti SC"/>
          <w:color w:val="000000"/>
        </w:rPr>
        <w:t>系统需要围绕物理和环境安全、网络和通信安全、设备和计算安全、应用和数据安全、密钥管理安全等方面落实密码应用需求，重点保障身份可信、传输可信、数据可保护、操作可追溯。</w:t>
      </w:r>
    </w:p>
    <w:p w14:paraId="2D305606">
      <w:pPr>
        <w:ind w:firstLine="480"/>
        <w:rPr>
          <w:rFonts w:hint="eastAsia"/>
          <w:color w:val="000000"/>
        </w:rPr>
      </w:pPr>
      <w:r>
        <w:rPr>
          <w:rFonts w:ascii="Songti SC" w:hAnsi="Songti SC" w:eastAsia="Songti SC" w:cs="Songti SC"/>
          <w:color w:val="000000"/>
        </w:rPr>
        <w:t>物理和环境安全需求：依托建设单位统筹确定的政务云环境和既有机房管理能力，保障承载资源运行环境安全可靠。</w:t>
      </w:r>
    </w:p>
    <w:p w14:paraId="3260DCE7">
      <w:pPr>
        <w:ind w:firstLine="480"/>
        <w:rPr>
          <w:rFonts w:hint="eastAsia"/>
          <w:color w:val="000000"/>
        </w:rPr>
      </w:pPr>
      <w:r>
        <w:rPr>
          <w:rFonts w:ascii="Songti SC" w:hAnsi="Songti SC" w:eastAsia="Songti SC" w:cs="Songti SC"/>
          <w:color w:val="000000"/>
        </w:rPr>
        <w:t>网络和通信安全需求：管理端、小程序端、消费机和外部接口通信应采用安全传输、证书、签名、时间戳或防重放等措施。</w:t>
      </w:r>
    </w:p>
    <w:p w14:paraId="490750A6">
      <w:pPr>
        <w:ind w:firstLine="480"/>
        <w:rPr>
          <w:rFonts w:hint="eastAsia"/>
          <w:color w:val="000000"/>
        </w:rPr>
      </w:pPr>
      <w:r>
        <w:rPr>
          <w:rFonts w:ascii="Songti SC" w:hAnsi="Songti SC" w:eastAsia="Songti SC" w:cs="Songti SC"/>
          <w:color w:val="000000"/>
        </w:rPr>
        <w:t>设备和计算安全需求：服务器、数据库、中间件和消费机接入服务应具备身份识别、访问控制和运行状态可监测能力。</w:t>
      </w:r>
    </w:p>
    <w:p w14:paraId="38ADDC21">
      <w:pPr>
        <w:ind w:firstLine="480"/>
        <w:rPr>
          <w:rFonts w:hint="eastAsia"/>
          <w:color w:val="000000"/>
        </w:rPr>
      </w:pPr>
      <w:r>
        <w:rPr>
          <w:rFonts w:ascii="Songti SC" w:hAnsi="Songti SC" w:eastAsia="Songti SC" w:cs="Songti SC"/>
          <w:color w:val="000000"/>
        </w:rPr>
        <w:t>应用和数据安全需求：人员、账户、卡号、人脸、充值、消费、补贴、退款、报表等敏感数据在传输、存储、展示和导出环节应受控。</w:t>
      </w:r>
    </w:p>
    <w:p w14:paraId="00E2A014">
      <w:pPr>
        <w:ind w:firstLine="480"/>
        <w:rPr>
          <w:rFonts w:hint="eastAsia"/>
          <w:color w:val="000000"/>
        </w:rPr>
      </w:pPr>
      <w:r>
        <w:rPr>
          <w:rFonts w:ascii="Songti SC" w:hAnsi="Songti SC" w:eastAsia="Songti SC" w:cs="Songti SC"/>
          <w:color w:val="000000"/>
        </w:rPr>
        <w:t>密钥管理安全需求：涉及证书、签名和加密的配置应明确生命周期、存储位置、使用范围和变更管理要求。</w:t>
      </w:r>
    </w:p>
    <w:p w14:paraId="1123DAB0">
      <w:pPr>
        <w:ind w:firstLine="480"/>
        <w:rPr>
          <w:rFonts w:hint="eastAsia"/>
          <w:color w:val="000000"/>
        </w:rPr>
      </w:pPr>
      <w:r>
        <w:rPr>
          <w:rFonts w:ascii="Songti SC" w:hAnsi="Songti SC" w:eastAsia="Songti SC" w:cs="Songti SC"/>
          <w:color w:val="000000"/>
        </w:rPr>
        <w:t>密码应用清单需求：需结合实际接口和数据链路梳理密码应用点位，避免脱离业务单独堆砌密码能力。</w:t>
      </w:r>
      <w:r>
        <w:rPr>
          <w:rFonts w:hint="eastAsia" w:ascii="Songti SC" w:hAnsi="Songti SC" w:eastAsia="Songti SC" w:cs="Songti SC"/>
          <w:color w:val="000000"/>
        </w:rPr>
        <w:br w:type="page"/>
      </w:r>
    </w:p>
    <w:p w14:paraId="278946FD">
      <w:pPr>
        <w:pStyle w:val="2"/>
        <w:rPr>
          <w:rFonts w:hint="eastAsia"/>
          <w:color w:val="000000"/>
        </w:rPr>
      </w:pPr>
      <w:bookmarkStart w:id="289" w:name="_Toc1751380223"/>
      <w:bookmarkStart w:id="290" w:name="_Toc1365029892"/>
      <w:r>
        <w:rPr>
          <w:rFonts w:ascii="Songti SC" w:hAnsi="Songti SC" w:eastAsia="Songti SC" w:cs="Songti SC"/>
          <w:color w:val="000000"/>
        </w:rPr>
        <w:t>建设方案概览</w:t>
      </w:r>
      <w:bookmarkEnd w:id="289"/>
      <w:bookmarkEnd w:id="290"/>
    </w:p>
    <w:p w14:paraId="22713AF4">
      <w:pPr>
        <w:pStyle w:val="3"/>
        <w:rPr>
          <w:rFonts w:hint="eastAsia"/>
          <w:color w:val="000000"/>
        </w:rPr>
      </w:pPr>
      <w:bookmarkStart w:id="291" w:name="_Toc2036542179"/>
      <w:bookmarkStart w:id="292" w:name="_Toc489593943"/>
      <w:r>
        <w:rPr>
          <w:rFonts w:ascii="Songti SC" w:hAnsi="Songti SC" w:eastAsia="Songti SC" w:cs="Songti SC"/>
          <w:color w:val="000000"/>
        </w:rPr>
        <w:t>总体建设思路</w:t>
      </w:r>
      <w:bookmarkEnd w:id="291"/>
      <w:bookmarkEnd w:id="292"/>
    </w:p>
    <w:p w14:paraId="6CEF791B">
      <w:pPr>
        <w:ind w:firstLine="480"/>
        <w:rPr>
          <w:rFonts w:hint="eastAsia"/>
          <w:color w:val="000000"/>
        </w:rPr>
      </w:pPr>
      <w:r>
        <w:rPr>
          <w:rFonts w:ascii="Songti SC" w:hAnsi="Songti SC" w:eastAsia="Songti SC" w:cs="Songti SC"/>
          <w:color w:val="000000"/>
        </w:rPr>
        <w:t>项目建设按照“先底座、再数据、后功能、再联通、再切换”的思路推进。先完成建设单位统筹确定的政务云运行环境和基础软件环境适配，再完成历史数据承接和账务核对，随后完成平台功能、55台消费终端更新及接入适配、小程序线上充值和外部接口联调，最终通过上线切换和试运行保障实现平稳过渡。</w:t>
      </w:r>
    </w:p>
    <w:p w14:paraId="3A05F22D">
      <w:pPr>
        <w:ind w:firstLine="480"/>
        <w:rPr>
          <w:rFonts w:hint="eastAsia"/>
          <w:color w:val="000000"/>
        </w:rPr>
      </w:pPr>
      <w:r>
        <w:rPr>
          <w:rFonts w:ascii="Songti SC" w:hAnsi="Songti SC" w:eastAsia="Songti SC" w:cs="Songti SC"/>
          <w:color w:val="000000"/>
        </w:rPr>
        <w:t>底座先行：完成目标国产服务器操作系统、GBase 8s V8.8、金蝶中间件及PHP应用运行环境部署。</w:t>
      </w:r>
    </w:p>
    <w:p w14:paraId="11287B72">
      <w:pPr>
        <w:ind w:firstLine="480"/>
        <w:rPr>
          <w:rFonts w:hint="eastAsia"/>
          <w:color w:val="000000"/>
        </w:rPr>
      </w:pPr>
      <w:r>
        <w:rPr>
          <w:rFonts w:ascii="Songti SC" w:hAnsi="Songti SC" w:eastAsia="Songti SC" w:cs="Songti SC"/>
          <w:color w:val="000000"/>
        </w:rPr>
        <w:t>数据承接：完成人员、账户、充值、消费、补贴、退款、订单、消费机和报表等历史数据承接与一致性校验。</w:t>
      </w:r>
    </w:p>
    <w:p w14:paraId="591488BF">
      <w:pPr>
        <w:ind w:firstLine="480"/>
        <w:rPr>
          <w:rFonts w:hint="eastAsia"/>
          <w:color w:val="000000"/>
        </w:rPr>
      </w:pPr>
      <w:r>
        <w:rPr>
          <w:rFonts w:ascii="Songti SC" w:hAnsi="Songti SC" w:eastAsia="Songti SC" w:cs="Songti SC"/>
          <w:color w:val="000000"/>
        </w:rPr>
        <w:t>功能适配：完成 PC 管理端、小程序端、后台服务、财务报表和消费机接口等功能适配。</w:t>
      </w:r>
    </w:p>
    <w:p w14:paraId="03CEFA68">
      <w:pPr>
        <w:ind w:firstLine="480"/>
        <w:rPr>
          <w:rFonts w:hint="eastAsia"/>
          <w:color w:val="000000"/>
        </w:rPr>
      </w:pPr>
      <w:r>
        <w:rPr>
          <w:rFonts w:ascii="Songti SC" w:hAnsi="Songti SC" w:eastAsia="Songti SC" w:cs="Songti SC"/>
          <w:color w:val="000000"/>
        </w:rPr>
        <w:t>链路联通：完成工商银行、</w:t>
      </w:r>
      <w:r>
        <w:rPr>
          <w:rFonts w:hint="eastAsia" w:ascii="Songti SC" w:hAnsi="Songti SC" w:eastAsia="Songti SC" w:cs="Songti SC"/>
          <w:color w:val="000000"/>
          <w:lang w:eastAsia="zh-CN"/>
        </w:rPr>
        <w:t>大数据交互平台</w:t>
      </w:r>
      <w:r>
        <w:rPr>
          <w:rFonts w:ascii="Songti SC" w:hAnsi="Songti SC" w:eastAsia="Songti SC" w:cs="Songti SC"/>
          <w:color w:val="000000"/>
        </w:rPr>
        <w:t>、前置库、小程序端和消费机业务链路联调。</w:t>
      </w:r>
    </w:p>
    <w:p w14:paraId="3669144A">
      <w:pPr>
        <w:ind w:firstLine="480"/>
        <w:rPr>
          <w:rFonts w:hint="eastAsia"/>
          <w:color w:val="000000"/>
        </w:rPr>
      </w:pPr>
      <w:r>
        <w:rPr>
          <w:rFonts w:ascii="Songti SC" w:hAnsi="Songti SC" w:eastAsia="Songti SC" w:cs="Songti SC"/>
          <w:color w:val="000000"/>
        </w:rPr>
        <w:t>平稳切换：通过试点、分批、值守、回退和运行监测降低上线风险。</w:t>
      </w:r>
    </w:p>
    <w:p w14:paraId="783C30AC">
      <w:pPr>
        <w:pStyle w:val="4"/>
        <w:rPr>
          <w:rFonts w:hint="eastAsia"/>
          <w:color w:val="000000"/>
        </w:rPr>
      </w:pPr>
      <w:bookmarkStart w:id="293" w:name="_Toc1570036567"/>
      <w:bookmarkStart w:id="294" w:name="_Toc1595548344"/>
      <w:r>
        <w:rPr>
          <w:rFonts w:ascii="Songti SC" w:hAnsi="Songti SC" w:eastAsia="Songti SC" w:cs="Songti SC"/>
          <w:color w:val="000000"/>
        </w:rPr>
        <w:t>建设原则</w:t>
      </w:r>
      <w:bookmarkEnd w:id="293"/>
      <w:bookmarkEnd w:id="294"/>
    </w:p>
    <w:p w14:paraId="382435DD">
      <w:pPr>
        <w:ind w:firstLine="480"/>
        <w:rPr>
          <w:rFonts w:hint="eastAsia"/>
          <w:color w:val="000000"/>
        </w:rPr>
      </w:pPr>
      <w:r>
        <w:rPr>
          <w:rFonts w:ascii="Songti SC" w:hAnsi="Songti SC" w:eastAsia="Songti SC" w:cs="Songti SC"/>
          <w:color w:val="000000"/>
        </w:rPr>
        <w:t>项目建设坚持业务不中断、数据不丢失、账务不出错、接口不断链、终端更新有序、运行可持续的原则。建设过程以保障集中办公区正常就餐服务为首要目标，在此基础上完成目标运行环境适配和系统能力提升。</w:t>
      </w:r>
    </w:p>
    <w:p w14:paraId="60333108">
      <w:pPr>
        <w:ind w:firstLine="480"/>
        <w:rPr>
          <w:rFonts w:hint="eastAsia"/>
          <w:color w:val="000000"/>
        </w:rPr>
      </w:pPr>
      <w:r>
        <w:rPr>
          <w:rFonts w:ascii="Songti SC" w:hAnsi="Songti SC" w:eastAsia="Songti SC" w:cs="Songti SC"/>
          <w:color w:val="000000"/>
        </w:rPr>
        <w:t>业务稳定原则：人员管理、充值、消费、退款、补贴、报表和财务结算等核心业务在切换前后保持连续。</w:t>
      </w:r>
    </w:p>
    <w:p w14:paraId="26ECE044">
      <w:pPr>
        <w:ind w:firstLine="480"/>
        <w:rPr>
          <w:rFonts w:hint="eastAsia"/>
          <w:color w:val="000000"/>
        </w:rPr>
      </w:pPr>
      <w:r>
        <w:rPr>
          <w:rFonts w:ascii="Songti SC" w:hAnsi="Songti SC" w:eastAsia="Songti SC" w:cs="Songti SC"/>
          <w:color w:val="000000"/>
        </w:rPr>
        <w:t>终端更新适配原则：根据目标系统兼容性和现场运行要求确定消费终端更新方式，并完成接口地址、设备参数、人员同步和交易链路的接入联调。</w:t>
      </w:r>
    </w:p>
    <w:p w14:paraId="68645ACE">
      <w:pPr>
        <w:ind w:firstLine="480"/>
        <w:rPr>
          <w:rFonts w:hint="eastAsia"/>
          <w:color w:val="000000"/>
        </w:rPr>
      </w:pPr>
      <w:r>
        <w:rPr>
          <w:rFonts w:ascii="Songti SC" w:hAnsi="Songti SC" w:eastAsia="Songti SC" w:cs="Songti SC"/>
          <w:color w:val="000000"/>
        </w:rPr>
        <w:t>数据一致原则：承接前后人员数量、账户余额、充值总额、消费总额、补贴余额、退款金额和报表汇总结果保持一致。</w:t>
      </w:r>
    </w:p>
    <w:p w14:paraId="6CFC8353">
      <w:pPr>
        <w:ind w:firstLine="480"/>
        <w:rPr>
          <w:rFonts w:hint="eastAsia"/>
          <w:color w:val="000000"/>
        </w:rPr>
      </w:pPr>
      <w:r>
        <w:rPr>
          <w:rFonts w:ascii="Songti SC" w:hAnsi="Songti SC" w:eastAsia="Songti SC" w:cs="Songti SC"/>
          <w:color w:val="000000"/>
        </w:rPr>
        <w:t>安全可控原则：兼容适配过程中同步落实权限、日志、通信保护、敏感数据保护和运行监控要求。</w:t>
      </w:r>
    </w:p>
    <w:p w14:paraId="2E46F5F9">
      <w:pPr>
        <w:ind w:firstLine="480"/>
        <w:rPr>
          <w:rFonts w:hint="eastAsia"/>
          <w:color w:val="000000"/>
        </w:rPr>
      </w:pPr>
      <w:r>
        <w:rPr>
          <w:rFonts w:ascii="Songti SC" w:hAnsi="Songti SC" w:eastAsia="Songti SC" w:cs="Songti SC"/>
          <w:color w:val="000000"/>
        </w:rPr>
        <w:t>易用务实原则：系统界面和报表表达面向业务人员，尽量用管理语言呈现业务状态，减少过度技术化表述。</w:t>
      </w:r>
    </w:p>
    <w:p w14:paraId="73571DCE">
      <w:pPr>
        <w:pStyle w:val="4"/>
        <w:rPr>
          <w:rFonts w:hint="eastAsia"/>
          <w:color w:val="000000"/>
        </w:rPr>
      </w:pPr>
      <w:bookmarkStart w:id="295" w:name="_Toc752717519"/>
      <w:bookmarkStart w:id="296" w:name="_Toc1473010880"/>
      <w:r>
        <w:rPr>
          <w:rFonts w:ascii="Songti SC" w:hAnsi="Songti SC" w:eastAsia="Songti SC" w:cs="Songti SC"/>
          <w:color w:val="000000"/>
        </w:rPr>
        <w:t>建设边界</w:t>
      </w:r>
      <w:bookmarkEnd w:id="295"/>
      <w:bookmarkEnd w:id="296"/>
    </w:p>
    <w:p w14:paraId="701F6B8F">
      <w:pPr>
        <w:ind w:firstLine="480"/>
        <w:rPr>
          <w:rFonts w:hint="eastAsia"/>
          <w:color w:val="000000"/>
        </w:rPr>
      </w:pPr>
      <w:r>
        <w:rPr>
          <w:rFonts w:ascii="Songti SC" w:hAnsi="Songti SC" w:eastAsia="Songti SC" w:cs="Songti SC"/>
          <w:color w:val="000000"/>
        </w:rPr>
        <w:t>本项目建设边界聚焦食堂消费系统升级改造和兼容适配，不改变既有食堂管理职责分工，不改变银行、前置库、大数据交互平台等外部系统的职责边界。消费终端更新属于系统升级的配套实施内容，不单独以硬件采购为建设目的。</w:t>
      </w:r>
    </w:p>
    <w:p w14:paraId="006E3361">
      <w:pPr>
        <w:ind w:firstLine="480"/>
        <w:rPr>
          <w:rFonts w:hint="eastAsia"/>
          <w:color w:val="000000"/>
        </w:rPr>
      </w:pPr>
      <w:r>
        <w:rPr>
          <w:rFonts w:ascii="Songti SC" w:hAnsi="Songti SC" w:eastAsia="Songti SC" w:cs="Songti SC"/>
          <w:color w:val="000000"/>
        </w:rPr>
        <w:t>平台侧边界：完成管理端、小程序端、后台服务、数据库等软件能力适配。</w:t>
      </w:r>
    </w:p>
    <w:p w14:paraId="1EB5CF68">
      <w:pPr>
        <w:ind w:firstLine="480"/>
        <w:rPr>
          <w:rFonts w:hint="eastAsia"/>
          <w:color w:val="000000"/>
        </w:rPr>
      </w:pPr>
      <w:r>
        <w:rPr>
          <w:rFonts w:ascii="Songti SC" w:hAnsi="Songti SC" w:eastAsia="Songti SC" w:cs="Songti SC"/>
          <w:color w:val="000000"/>
        </w:rPr>
        <w:t>接口侧边界：完成工商银行、前置库、</w:t>
      </w:r>
      <w:r>
        <w:rPr>
          <w:rFonts w:hint="eastAsia" w:ascii="Songti SC" w:hAnsi="Songti SC" w:eastAsia="Songti SC" w:cs="Songti SC"/>
          <w:color w:val="000000"/>
          <w:lang w:eastAsia="zh-CN"/>
        </w:rPr>
        <w:t>大数据交互平台</w:t>
      </w:r>
      <w:r>
        <w:rPr>
          <w:rFonts w:ascii="Songti SC" w:hAnsi="Songti SC" w:eastAsia="Songti SC" w:cs="Songti SC"/>
          <w:color w:val="000000"/>
        </w:rPr>
        <w:t>和消费机接口的联调适配，保持既有业务协作关系。</w:t>
      </w:r>
    </w:p>
    <w:p w14:paraId="3FE280FB">
      <w:pPr>
        <w:ind w:firstLine="480"/>
        <w:rPr>
          <w:rFonts w:hint="eastAsia"/>
          <w:color w:val="000000"/>
        </w:rPr>
      </w:pPr>
      <w:r>
        <w:rPr>
          <w:rFonts w:ascii="Songti SC" w:hAnsi="Songti SC" w:eastAsia="Songti SC" w:cs="Songti SC"/>
          <w:color w:val="000000"/>
        </w:rPr>
        <w:t>消费机侧边界：统一按“消费机”纳入软件接入管理，完成通信、同步、交易、补传和状态监测适配。</w:t>
      </w:r>
    </w:p>
    <w:p w14:paraId="6F7AE500">
      <w:pPr>
        <w:ind w:firstLine="480"/>
        <w:rPr>
          <w:rFonts w:hint="eastAsia"/>
          <w:color w:val="000000"/>
        </w:rPr>
      </w:pPr>
      <w:r>
        <w:rPr>
          <w:rFonts w:ascii="Songti SC" w:hAnsi="Songti SC" w:eastAsia="Songti SC" w:cs="Songti SC"/>
          <w:color w:val="000000"/>
        </w:rPr>
        <w:t>数据侧边界：完成历史数据承接、承接核对、数据清理、口径统一和上线后复核。</w:t>
      </w:r>
    </w:p>
    <w:p w14:paraId="58B021FE">
      <w:pPr>
        <w:ind w:firstLine="480"/>
        <w:rPr>
          <w:rFonts w:hint="eastAsia"/>
          <w:color w:val="000000"/>
        </w:rPr>
      </w:pPr>
      <w:r>
        <w:rPr>
          <w:rFonts w:ascii="Songti SC" w:hAnsi="Songti SC" w:eastAsia="Songti SC" w:cs="Songti SC"/>
          <w:color w:val="000000"/>
        </w:rPr>
        <w:t>运维侧边界：形成运行监测、日志审计、备份恢复、问题处理和培训交接能力。</w:t>
      </w:r>
    </w:p>
    <w:p w14:paraId="7814E3D0">
      <w:pPr>
        <w:pStyle w:val="3"/>
        <w:rPr>
          <w:rFonts w:hint="eastAsia"/>
          <w:color w:val="000000"/>
        </w:rPr>
      </w:pPr>
      <w:bookmarkStart w:id="297" w:name="_Toc97177356"/>
      <w:bookmarkStart w:id="298" w:name="_Toc702377544"/>
      <w:r>
        <w:rPr>
          <w:rFonts w:hint="eastAsia" w:ascii="Songti SC" w:hAnsi="Songti SC" w:eastAsia="Songti SC" w:cs="Songti SC"/>
          <w:color w:val="000000"/>
          <w:lang w:eastAsia="zh-CN"/>
        </w:rPr>
        <w:t>项目</w:t>
      </w:r>
      <w:r>
        <w:rPr>
          <w:rFonts w:ascii="Songti SC" w:hAnsi="Songti SC" w:eastAsia="Songti SC" w:cs="Songti SC"/>
          <w:color w:val="000000"/>
        </w:rPr>
        <w:t>总体设计</w:t>
      </w:r>
      <w:bookmarkEnd w:id="297"/>
      <w:bookmarkEnd w:id="298"/>
    </w:p>
    <w:p w14:paraId="54749AE5">
      <w:pPr>
        <w:pStyle w:val="4"/>
        <w:rPr>
          <w:rFonts w:hint="eastAsia"/>
          <w:color w:val="000000"/>
        </w:rPr>
      </w:pPr>
      <w:bookmarkStart w:id="299" w:name="_Toc141774449"/>
      <w:bookmarkStart w:id="300" w:name="_Toc1172250572"/>
      <w:r>
        <w:rPr>
          <w:rFonts w:ascii="Songti SC" w:hAnsi="Songti SC" w:eastAsia="Songti SC" w:cs="Songti SC"/>
          <w:color w:val="000000"/>
        </w:rPr>
        <w:t>业务流转架构</w:t>
      </w:r>
      <w:bookmarkEnd w:id="299"/>
      <w:bookmarkEnd w:id="300"/>
    </w:p>
    <w:p w14:paraId="1867389B">
      <w:pPr>
        <w:ind w:firstLine="480"/>
        <w:rPr>
          <w:rFonts w:hint="eastAsia"/>
          <w:color w:val="000000"/>
        </w:rPr>
      </w:pPr>
      <w:r>
        <w:rPr>
          <w:rFonts w:ascii="Songti SC" w:hAnsi="Songti SC" w:eastAsia="Songti SC" w:cs="Songti SC"/>
          <w:color w:val="000000"/>
        </w:rPr>
        <w:t>系统业务流转以人员账户为核心，以消费订单和账户流水为主线，把小程序充值、现场消费、补贴发放、退款处理、订单售后和报表统计串联起来。业务流转设计既要让前端操作简单，也要让后台数据可核对、可追溯。</w:t>
      </w:r>
    </w:p>
    <w:p w14:paraId="4AF35DFC">
      <w:pPr>
        <w:ind w:firstLine="480"/>
        <w:rPr>
          <w:rFonts w:hint="eastAsia"/>
          <w:color w:val="000000"/>
        </w:rPr>
      </w:pPr>
      <w:r>
        <w:rPr>
          <w:rFonts w:ascii="Songti SC" w:hAnsi="Songti SC" w:eastAsia="Songti SC" w:cs="Songti SC"/>
          <w:color w:val="000000"/>
        </w:rPr>
        <w:t>人员信息由管理端维护，形成基础档案、身份类别、部门、卡号、人脸信息、账户状态和消费权限，并同步至消费机。</w:t>
      </w:r>
    </w:p>
    <w:p w14:paraId="756977EB">
      <w:pPr>
        <w:ind w:firstLine="480"/>
        <w:rPr>
          <w:rFonts w:hint="eastAsia"/>
          <w:color w:val="000000"/>
        </w:rPr>
      </w:pPr>
      <w:r>
        <w:rPr>
          <w:rFonts w:ascii="Songti SC" w:hAnsi="Songti SC" w:eastAsia="Songti SC" w:cs="Songti SC"/>
          <w:color w:val="000000"/>
        </w:rPr>
        <w:t>充值信息由小程序和银行接口进入平台，平台形成充值订单、账户流水和对账记录，最终进入报表统计。</w:t>
      </w:r>
    </w:p>
    <w:p w14:paraId="6A2A575F">
      <w:pPr>
        <w:ind w:firstLine="480"/>
        <w:rPr>
          <w:rFonts w:hint="eastAsia"/>
          <w:color w:val="000000"/>
        </w:rPr>
      </w:pPr>
      <w:r>
        <w:rPr>
          <w:rFonts w:ascii="Songti SC" w:hAnsi="Songti SC" w:eastAsia="Songti SC" w:cs="Songti SC"/>
          <w:color w:val="000000"/>
        </w:rPr>
        <w:t>消费信息由消费机现场产生，后台校验后形成消费订单、扣款流水、菜品明细、消费机交易记录和报表汇总。</w:t>
      </w:r>
    </w:p>
    <w:p w14:paraId="7566D204">
      <w:pPr>
        <w:ind w:firstLine="480"/>
        <w:rPr>
          <w:rFonts w:hint="eastAsia"/>
          <w:color w:val="000000"/>
        </w:rPr>
      </w:pPr>
      <w:r>
        <w:rPr>
          <w:rFonts w:ascii="Songti SC" w:hAnsi="Songti SC" w:eastAsia="Songti SC" w:cs="Songti SC"/>
          <w:color w:val="000000"/>
        </w:rPr>
        <w:t>补贴信息由后台按规则或批次发放，形成补贴批次、补贴流水、使用记录、失效记录和财务汇总。</w:t>
      </w:r>
    </w:p>
    <w:p w14:paraId="0493E2FC">
      <w:pPr>
        <w:ind w:firstLine="480"/>
        <w:rPr>
          <w:rFonts w:hint="eastAsia"/>
          <w:color w:val="000000"/>
        </w:rPr>
      </w:pPr>
      <w:r>
        <w:rPr>
          <w:rFonts w:ascii="Songti SC" w:hAnsi="Songti SC" w:eastAsia="Songti SC" w:cs="Songti SC"/>
          <w:color w:val="000000"/>
        </w:rPr>
        <w:t>异常信息由订单、接口、消费机和运维监测产生，进入查询、处置、复核和关闭流程。</w:t>
      </w:r>
    </w:p>
    <w:p w14:paraId="38779705">
      <w:pPr>
        <w:pStyle w:val="4"/>
        <w:rPr>
          <w:rFonts w:hint="eastAsia"/>
          <w:color w:val="000000"/>
          <w:lang w:eastAsia="zh-CN"/>
        </w:rPr>
      </w:pPr>
      <w:bookmarkStart w:id="301" w:name="_Toc1000386026"/>
      <w:bookmarkStart w:id="302" w:name="_Toc1243799820"/>
      <w:r>
        <w:rPr>
          <w:rFonts w:hint="eastAsia" w:ascii="Songti SC" w:hAnsi="Songti SC" w:eastAsia="Songti SC" w:cs="Songti SC"/>
          <w:color w:val="000000"/>
          <w:lang w:eastAsia="zh-CN"/>
        </w:rPr>
        <w:t>系统总体架构</w:t>
      </w:r>
      <w:bookmarkEnd w:id="301"/>
      <w:bookmarkEnd w:id="302"/>
    </w:p>
    <w:p w14:paraId="5EE95A81">
      <w:pPr>
        <w:pStyle w:val="115"/>
        <w:rPr>
          <w:rFonts w:hint="eastAsia"/>
          <w:color w:val="000000"/>
        </w:rPr>
      </w:pPr>
      <w:r>
        <w:rPr>
          <w:rFonts w:ascii="Songti SC" w:hAnsi="Songti SC" w:eastAsia="Songti SC" w:cs="Songti SC"/>
          <w:color w:val="000000"/>
        </w:rPr>
        <w:drawing>
          <wp:inline distT="0" distB="0" distL="0" distR="0">
            <wp:extent cx="5274310" cy="3090545"/>
            <wp:effectExtent l="0" t="0" r="2540" b="0"/>
            <wp:docPr id="194829846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8298463" name="图片 1"/>
                    <pic:cNvPicPr>
                      <a:picLocks noChangeAspect="1"/>
                    </pic:cNvPicPr>
                  </pic:nvPicPr>
                  <pic:blipFill>
                    <a:blip r:embed="rId18"/>
                    <a:srcRect t="1520"/>
                    <a:stretch>
                      <a:fillRect/>
                    </a:stretch>
                  </pic:blipFill>
                  <pic:spPr>
                    <a:xfrm>
                      <a:off x="0" y="0"/>
                      <a:ext cx="5274310" cy="3090545"/>
                    </a:xfrm>
                    <a:prstGeom prst="rect">
                      <a:avLst/>
                    </a:prstGeom>
                    <a:ln>
                      <a:noFill/>
                    </a:ln>
                  </pic:spPr>
                </pic:pic>
              </a:graphicData>
            </a:graphic>
          </wp:inline>
        </w:drawing>
      </w:r>
    </w:p>
    <w:p w14:paraId="3941EFD7">
      <w:pPr>
        <w:pStyle w:val="14"/>
        <w:rPr>
          <w:rFonts w:hint="eastAsia"/>
          <w:color w:val="000000"/>
        </w:rPr>
      </w:pPr>
      <w:r>
        <w:rPr>
          <w:rFonts w:hint="eastAsia" w:ascii="Songti SC" w:hAnsi="Songti SC" w:eastAsia="Songti SC" w:cs="Songti SC"/>
          <w:color w:val="000000"/>
        </w:rPr>
        <w:t>图5</w:t>
      </w:r>
      <w:r>
        <w:rPr>
          <w:rFonts w:ascii="Songti SC" w:hAnsi="Songti SC" w:eastAsia="Songti SC" w:cs="Songti SC"/>
          <w:color w:val="000000"/>
        </w:rPr>
        <w:t>.</w:t>
      </w:r>
      <w:r>
        <w:rPr>
          <w:rFonts w:ascii="Songti SC" w:hAnsi="Songti SC" w:eastAsia="Songti SC" w:cs="Songti SC"/>
          <w:color w:val="000000"/>
        </w:rPr>
        <w:fldChar w:fldCharType="begin"/>
      </w:r>
      <w:r>
        <w:rPr>
          <w:rFonts w:ascii="Songti SC" w:hAnsi="Songti SC" w:eastAsia="Songti SC" w:cs="Songti SC"/>
          <w:color w:val="000000"/>
        </w:rPr>
        <w:instrText xml:space="preserve"> </w:instrText>
      </w:r>
      <w:r>
        <w:rPr>
          <w:rFonts w:hint="eastAsia" w:ascii="Songti SC" w:hAnsi="Songti SC" w:eastAsia="Songti SC" w:cs="Songti SC"/>
          <w:color w:val="000000"/>
        </w:rPr>
        <w:instrText xml:space="preserve">SEQ 图 \* ARABIC \s 1</w:instrText>
      </w:r>
      <w:r>
        <w:rPr>
          <w:rFonts w:ascii="Songti SC" w:hAnsi="Songti SC" w:eastAsia="Songti SC" w:cs="Songti SC"/>
          <w:color w:val="000000"/>
        </w:rPr>
        <w:instrText xml:space="preserve"> </w:instrText>
      </w:r>
      <w:r>
        <w:rPr>
          <w:rFonts w:ascii="Songti SC" w:hAnsi="Songti SC" w:eastAsia="Songti SC" w:cs="Songti SC"/>
          <w:color w:val="000000"/>
        </w:rPr>
        <w:fldChar w:fldCharType="separate"/>
      </w:r>
      <w:r>
        <w:rPr>
          <w:rFonts w:hint="eastAsia" w:ascii="Songti SC" w:hAnsi="Songti SC" w:eastAsia="Songti SC" w:cs="Songti SC"/>
          <w:color w:val="000000"/>
        </w:rPr>
        <w:t>1</w:t>
      </w:r>
      <w:r>
        <w:rPr>
          <w:rFonts w:ascii="Songti SC" w:hAnsi="Songti SC" w:eastAsia="Songti SC" w:cs="Songti SC"/>
          <w:color w:val="000000"/>
        </w:rPr>
        <w:fldChar w:fldCharType="end"/>
      </w:r>
      <w:r>
        <w:rPr>
          <w:rFonts w:hint="eastAsia" w:ascii="Songti SC" w:hAnsi="Songti SC" w:eastAsia="Songti SC" w:cs="Songti SC"/>
          <w:color w:val="000000"/>
        </w:rPr>
        <w:t>系统总体架构图</w:t>
      </w:r>
    </w:p>
    <w:p w14:paraId="319AD0F1">
      <w:pPr>
        <w:ind w:firstLine="420" w:firstLineChars="0"/>
        <w:rPr>
          <w:rFonts w:hint="eastAsia"/>
          <w:color w:val="000000"/>
        </w:rPr>
      </w:pPr>
      <w:r>
        <w:rPr>
          <w:rFonts w:hint="eastAsia" w:ascii="Songti SC" w:hAnsi="Songti SC" w:eastAsia="Songti SC" w:cs="Songti SC"/>
          <w:color w:val="000000"/>
        </w:rPr>
        <w:t>本系统总体架构按照“基础设施层、数据支撑层、应用支撑层、业务应用层、展示层、用户层”进行分层设计。目标系统采用成熟PHP产品，继续保持B/S为主的访问方式，程序架构采用前后端分离的分层架构；后端采用PHP，PC端采用JavaScript/Vue，移动端采用uniapp。消费终端和第三方系统通过HTTP/HTTPS及API接入，架构两侧由政策法规、标准规范、安全运维和数据治理体系贯穿保障。</w:t>
      </w:r>
    </w:p>
    <w:p w14:paraId="1B4E6C1E">
      <w:pPr>
        <w:ind w:firstLine="420" w:firstLineChars="0"/>
        <w:rPr>
          <w:rFonts w:hint="eastAsia"/>
          <w:color w:val="000000"/>
        </w:rPr>
      </w:pPr>
      <w:r>
        <w:rPr>
          <w:rFonts w:hint="eastAsia" w:ascii="Songti SC" w:hAnsi="Songti SC" w:eastAsia="Songti SC" w:cs="Songti SC"/>
          <w:color w:val="000000"/>
        </w:rPr>
        <w:t>基础设施层：依托建设单位统筹确定的政务云环境及其现有服务能力，提供计算资源、存储资源、网络资源和安全资源，为系统部署、运行、备份、监控和安全防护提供基础承载。</w:t>
      </w:r>
    </w:p>
    <w:p w14:paraId="2A968814">
      <w:pPr>
        <w:ind w:firstLine="420" w:firstLineChars="0"/>
        <w:rPr>
          <w:rFonts w:hint="eastAsia"/>
          <w:color w:val="000000"/>
        </w:rPr>
      </w:pPr>
      <w:r>
        <w:rPr>
          <w:rFonts w:hint="eastAsia" w:ascii="Songti SC" w:hAnsi="Songti SC" w:eastAsia="Songti SC" w:cs="Songti SC"/>
          <w:color w:val="000000"/>
        </w:rPr>
        <w:t>数据支撑层：沉淀人员数据、账户数据、充值数据、消费数据、菜品数据、设备数据、对账数据、报表数据、餐厅数据等业务数据，支撑账务核对、统计分析、运营管理和数据治理。</w:t>
      </w:r>
    </w:p>
    <w:p w14:paraId="6BEF1E30">
      <w:pPr>
        <w:ind w:firstLine="420" w:firstLineChars="0"/>
        <w:rPr>
          <w:rFonts w:hint="eastAsia"/>
          <w:color w:val="000000"/>
        </w:rPr>
      </w:pPr>
      <w:r>
        <w:rPr>
          <w:rFonts w:hint="eastAsia" w:ascii="Songti SC" w:hAnsi="Songti SC" w:eastAsia="Songti SC" w:cs="Songti SC"/>
          <w:color w:val="000000"/>
        </w:rPr>
        <w:t>应用支撑层：PHP业务服务调用消息、缓存和生物识别支撑服务。M01处理人员下发、状态上报及通知任务；S01保存受控文件并提供缓存；B01独立部署人员人脸资料处理与同步接口。终端完成现场身份识别，A01/A02完成权限、账户和扣款校验；账户余额和交易流水统一写入D01，不另设账本服务器。</w:t>
      </w:r>
    </w:p>
    <w:p w14:paraId="4F65F6BF">
      <w:pPr>
        <w:ind w:firstLine="420" w:firstLineChars="0"/>
        <w:rPr>
          <w:rFonts w:hint="eastAsia"/>
          <w:color w:val="000000"/>
        </w:rPr>
      </w:pPr>
      <w:r>
        <w:rPr>
          <w:rFonts w:hint="eastAsia" w:ascii="Songti SC" w:hAnsi="Songti SC" w:eastAsia="Songti SC" w:cs="Songti SC"/>
          <w:color w:val="000000"/>
        </w:rPr>
        <w:t>业务应用层：围绕食堂消费业务，支撑人员管理、账户管理、充值补贴、消费交易、提现退款、餐厅管理、菜品管理、设备管理、结算对账、统计报表等业务应用。</w:t>
      </w:r>
    </w:p>
    <w:p w14:paraId="15B7D907">
      <w:pPr>
        <w:ind w:firstLine="420" w:firstLineChars="0"/>
        <w:rPr>
          <w:rFonts w:hint="eastAsia"/>
          <w:color w:val="000000"/>
        </w:rPr>
      </w:pPr>
      <w:r>
        <w:rPr>
          <w:rFonts w:hint="eastAsia" w:ascii="Songti SC" w:hAnsi="Songti SC" w:eastAsia="Songti SC" w:cs="Songti SC"/>
          <w:color w:val="000000"/>
        </w:rPr>
        <w:t>展示层：继续提供微信小程序、PC管理端和消费终端等既有访问入口，分别支撑就餐人员移动端办理、管理人员后台管理和现场消费结算等使用场景。</w:t>
      </w:r>
    </w:p>
    <w:p w14:paraId="490D9AA3">
      <w:pPr>
        <w:ind w:firstLine="420" w:firstLineChars="0"/>
        <w:rPr>
          <w:rFonts w:hint="eastAsia"/>
          <w:color w:val="000000"/>
        </w:rPr>
      </w:pPr>
      <w:r>
        <w:rPr>
          <w:rFonts w:hint="eastAsia" w:ascii="Songti SC" w:hAnsi="Songti SC" w:eastAsia="Songti SC" w:cs="Songti SC"/>
          <w:color w:val="000000"/>
        </w:rPr>
        <w:t>用户层：面向就餐人员和管理人员两类用户，覆盖日常就餐、充值查询、业务管理、运营管理和系统运维等服务对象。</w:t>
      </w:r>
    </w:p>
    <w:p w14:paraId="29F248CA">
      <w:pPr>
        <w:ind w:firstLine="420" w:firstLineChars="0"/>
        <w:rPr>
          <w:rFonts w:hint="eastAsia"/>
          <w:color w:val="000000"/>
        </w:rPr>
      </w:pPr>
      <w:r>
        <w:rPr>
          <w:rFonts w:hint="eastAsia" w:ascii="Songti SC" w:hAnsi="Songti SC" w:eastAsia="Songti SC" w:cs="Songti SC"/>
          <w:color w:val="000000"/>
        </w:rPr>
        <w:t>贯穿保障体系：政策法规管理体系和标准规范管理体系为项目建设和运行提供制度依据，安全运维保障和数据治理体系贯穿各层，保障系统规范建设、安全运行、持续运维和数据可管可用。</w:t>
      </w:r>
    </w:p>
    <w:p w14:paraId="5266AC99">
      <w:pPr>
        <w:ind w:firstLine="480"/>
        <w:rPr>
          <w:rFonts w:hint="eastAsia"/>
          <w:color w:val="000000"/>
          <w:lang w:bidi="ar"/>
        </w:rPr>
      </w:pPr>
      <w:r>
        <w:rPr>
          <w:rFonts w:hint="eastAsia" w:ascii="Songti SC" w:hAnsi="Songti SC" w:eastAsia="Songti SC" w:cs="Songti SC"/>
          <w:color w:val="000000"/>
          <w:lang w:bidi="ar"/>
        </w:rPr>
        <w:t>支撑组件调用链：A01/A02先完成鉴权与消费规则校验，再向D01提交账户及订单事务。通知、人员下发和报表任务由应用记录任务编号及状态，通过M01分发，处理成功后回写回执；断连后按任务编号重试。M01不直接扣款，S01不保存唯一账务记录，消息重复或缓存重建不得产生重复消费。</w:t>
      </w:r>
    </w:p>
    <w:p w14:paraId="1DA9F61B">
      <w:pPr>
        <w:ind w:firstLine="480"/>
        <w:rPr>
          <w:rFonts w:hint="eastAsia"/>
          <w:color w:val="000000"/>
          <w:lang w:bidi="ar"/>
        </w:rPr>
      </w:pPr>
      <w:r>
        <w:rPr>
          <w:rFonts w:hint="eastAsia" w:ascii="Songti SC" w:hAnsi="Songti SC" w:eastAsia="Songti SC" w:cs="Songti SC"/>
          <w:color w:val="000000"/>
          <w:lang w:bidi="ar"/>
        </w:rPr>
        <w:t>生物识别按端侧识别、平台统一管理设计。终端完成现场采集及身份识别；B01独立处理人脸资料校验、人员关联及下发接口，不执行扣款；A01/A02按身份结果校验账户和消费权限。人员变更由B01生成同步任务，经M01通知终端并记录回执。照片、特征格式及引擎授权按选定终端接口落实，不跨算法直接复用旧特征模板。</w:t>
      </w:r>
    </w:p>
    <w:p w14:paraId="4EDF4499">
      <w:pPr>
        <w:pStyle w:val="4"/>
        <w:rPr>
          <w:rFonts w:hint="eastAsia"/>
          <w:color w:val="000000"/>
          <w:lang w:eastAsia="zh-CN"/>
        </w:rPr>
      </w:pPr>
      <w:bookmarkStart w:id="303" w:name="_Toc937754842"/>
      <w:bookmarkStart w:id="304" w:name="_Toc838466619"/>
      <w:r>
        <w:rPr>
          <w:rFonts w:hint="eastAsia" w:ascii="Songti SC" w:hAnsi="Songti SC" w:eastAsia="Songti SC" w:cs="Songti SC"/>
          <w:color w:val="000000"/>
          <w:lang w:eastAsia="zh-CN"/>
        </w:rPr>
        <w:t>网络总体架构</w:t>
      </w:r>
      <w:bookmarkEnd w:id="303"/>
      <w:bookmarkEnd w:id="304"/>
    </w:p>
    <w:p w14:paraId="66578BE7">
      <w:pPr>
        <w:widowControl/>
        <w:ind w:firstLine="0" w:firstLineChars="0"/>
        <w:jc w:val="left"/>
        <w:rPr>
          <w:rFonts w:hint="eastAsia"/>
          <w:color w:val="000000"/>
        </w:rPr>
      </w:pPr>
      <w:r>
        <w:rPr>
          <w:rFonts w:ascii="Songti SC" w:hAnsi="Songti SC" w:eastAsia="Songti SC" w:cs="Songti SC"/>
          <w:color w:val="000000"/>
          <w:kern w:val="0"/>
          <w:lang w:bidi="ar"/>
        </w:rPr>
        <w:drawing>
          <wp:inline distT="0" distB="0" distL="114300" distR="114300">
            <wp:extent cx="5127625" cy="2969895"/>
            <wp:effectExtent l="0" t="0" r="3175" b="1905"/>
            <wp:docPr id="6" name="图片 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2" descr="IMG_256"/>
                    <pic:cNvPicPr>
                      <a:picLocks noChangeAspect="1"/>
                    </pic:cNvPicPr>
                  </pic:nvPicPr>
                  <pic:blipFill>
                    <a:blip r:embed="rId19"/>
                    <a:stretch>
                      <a:fillRect/>
                    </a:stretch>
                  </pic:blipFill>
                  <pic:spPr>
                    <a:xfrm>
                      <a:off x="0" y="0"/>
                      <a:ext cx="5127625" cy="2969895"/>
                    </a:xfrm>
                    <a:prstGeom prst="rect">
                      <a:avLst/>
                    </a:prstGeom>
                    <a:noFill/>
                    <a:ln w="9525">
                      <a:noFill/>
                    </a:ln>
                  </pic:spPr>
                </pic:pic>
              </a:graphicData>
            </a:graphic>
          </wp:inline>
        </w:drawing>
      </w:r>
    </w:p>
    <w:p w14:paraId="479F1374">
      <w:pPr>
        <w:pStyle w:val="14"/>
        <w:rPr>
          <w:rFonts w:hint="eastAsia"/>
          <w:color w:val="000000"/>
        </w:rPr>
      </w:pPr>
      <w:r>
        <w:rPr>
          <w:rFonts w:hint="eastAsia" w:ascii="Songti SC" w:hAnsi="Songti SC" w:eastAsia="Songti SC" w:cs="Songti SC"/>
          <w:color w:val="000000"/>
        </w:rPr>
        <w:t>图5</w:t>
      </w:r>
      <w:r>
        <w:rPr>
          <w:rFonts w:ascii="Songti SC" w:hAnsi="Songti SC" w:eastAsia="Songti SC" w:cs="Songti SC"/>
          <w:color w:val="000000"/>
        </w:rPr>
        <w:t>.</w:t>
      </w:r>
      <w:r>
        <w:rPr>
          <w:rFonts w:hint="eastAsia" w:ascii="Songti SC" w:hAnsi="Songti SC" w:eastAsia="Songti SC" w:cs="Songti SC"/>
          <w:color w:val="000000"/>
        </w:rPr>
        <w:t>2网络架构图</w:t>
      </w:r>
    </w:p>
    <w:p w14:paraId="3CBA309E">
      <w:pPr>
        <w:ind w:firstLine="480"/>
        <w:rPr>
          <w:rFonts w:hint="eastAsia"/>
          <w:color w:val="000000"/>
          <w:lang w:bidi="en-US"/>
        </w:rPr>
      </w:pPr>
      <w:r>
        <w:rPr>
          <w:rFonts w:hint="eastAsia" w:ascii="Songti SC" w:hAnsi="Songti SC" w:eastAsia="Songti SC" w:cs="Songti SC"/>
          <w:color w:val="000000"/>
          <w:lang w:bidi="en-US"/>
        </w:rPr>
        <w:t>本项目目标网络按互联网接入、经批准的安全交换、政务外网应用与数据服务分区设计。互联网小程序与外部业务仅访问发布的接口，办公区管理端和消费终端按政务外网链路接入。跨域请求须经云平台批准的交换和访问控制路径，不通过双网卡主机或开放数据库端口绕过隔离。</w:t>
      </w:r>
    </w:p>
    <w:p w14:paraId="4DE7F151">
      <w:pPr>
        <w:ind w:firstLine="480"/>
        <w:rPr>
          <w:rFonts w:hint="eastAsia"/>
          <w:color w:val="000000"/>
          <w:lang w:bidi="en-US"/>
        </w:rPr>
      </w:pPr>
      <w:r>
        <w:rPr>
          <w:rFonts w:hint="eastAsia" w:ascii="Songti SC" w:hAnsi="Songti SC" w:eastAsia="Songti SC" w:cs="Songti SC"/>
          <w:color w:val="000000"/>
          <w:lang w:bidi="en-US"/>
        </w:rPr>
        <w:t>用户接入方面，互联网区配置E01、E02两个入口节点，负责HTTPS接入、反向代理与限流；不存储账户库和人脸库。管理端按其授权网络接入业务服务。银行回调与查询使用约定接口及前置交换机制，不让互联网客户端直接访问应用数据库。</w:t>
      </w:r>
    </w:p>
    <w:p w14:paraId="56219B0C">
      <w:pPr>
        <w:ind w:firstLine="480"/>
        <w:rPr>
          <w:rFonts w:hint="eastAsia"/>
          <w:color w:val="000000"/>
          <w:lang w:bidi="en-US"/>
        </w:rPr>
      </w:pPr>
      <w:r>
        <w:rPr>
          <w:rFonts w:hint="eastAsia" w:ascii="Songti SC" w:hAnsi="Songti SC" w:eastAsia="Songti SC" w:cs="Songti SC"/>
          <w:color w:val="000000"/>
          <w:lang w:bidi="en-US"/>
        </w:rPr>
        <w:t>政务外网应用区配置A01、A02两个PHP应用节点；数据区配置D01、D02数据库主备节点；支撑服务区配置S01缓存与文件、B01生物识别、M01消息节点。主备同步限定在数据区，只有授权应用与管理通道可访问数据库。安全及密码服务采用云平台可提供的服务对接方式，本项目不将图中的安全能力框等同新增设备采购清单。</w:t>
      </w:r>
    </w:p>
    <w:p w14:paraId="62460767">
      <w:pPr>
        <w:ind w:firstLine="480"/>
        <w:rPr>
          <w:rFonts w:hint="eastAsia"/>
          <w:color w:val="000000"/>
          <w:lang w:bidi="en-US"/>
        </w:rPr>
      </w:pPr>
      <w:r>
        <w:rPr>
          <w:rFonts w:hint="eastAsia" w:ascii="Songti SC" w:hAnsi="Songti SC" w:eastAsia="Songti SC" w:cs="Songti SC"/>
          <w:color w:val="000000"/>
          <w:lang w:bidi="en-US"/>
        </w:rPr>
        <w:t>现场设备接入方面，55台更新后的消费机调用应用接口进行身份同步、交易及补传；设备状态和下发任务经消息服务处理。业务成功必须以应用事务结果及订单号为准。消息或生物识别节点故障时，分别进入重试补偿、刷卡扫码替代或受控离线处理，不宣称单节点可无缝切换。</w:t>
      </w:r>
    </w:p>
    <w:p w14:paraId="3396F7C6">
      <w:pPr>
        <w:pStyle w:val="4"/>
        <w:rPr>
          <w:rFonts w:hint="eastAsia"/>
          <w:color w:val="000000"/>
        </w:rPr>
      </w:pPr>
      <w:bookmarkStart w:id="305" w:name="_Toc320773919"/>
      <w:bookmarkStart w:id="306" w:name="_Toc463144161"/>
      <w:r>
        <w:rPr>
          <w:rFonts w:ascii="Songti SC" w:hAnsi="Songti SC" w:eastAsia="Songti SC" w:cs="Songti SC"/>
          <w:color w:val="000000"/>
        </w:rPr>
        <w:t>数据资源架构</w:t>
      </w:r>
      <w:bookmarkEnd w:id="305"/>
      <w:bookmarkEnd w:id="306"/>
    </w:p>
    <w:p w14:paraId="41AC3C59">
      <w:pPr>
        <w:ind w:firstLine="480"/>
        <w:rPr>
          <w:rFonts w:hint="eastAsia"/>
          <w:color w:val="000000"/>
        </w:rPr>
      </w:pPr>
      <w:r>
        <w:rPr>
          <w:rFonts w:ascii="Songti SC" w:hAnsi="Songti SC" w:eastAsia="Songti SC" w:cs="Songti SC"/>
          <w:color w:val="000000"/>
        </w:rPr>
        <w:t>数据资源架构按照基础数据、业务数据、交易数据、运行数据和分析数据分层组织。基础数据保持稳定，交易数据保持准确，运行数据保障运维，分析数据服务管理决策。</w:t>
      </w:r>
    </w:p>
    <w:p w14:paraId="0793FEDF">
      <w:pPr>
        <w:ind w:firstLine="480"/>
        <w:rPr>
          <w:rFonts w:hint="eastAsia"/>
          <w:color w:val="000000"/>
        </w:rPr>
      </w:pPr>
      <w:r>
        <w:rPr>
          <w:rFonts w:ascii="Songti SC" w:hAnsi="Songti SC" w:eastAsia="Songti SC" w:cs="Songti SC"/>
          <w:color w:val="000000"/>
        </w:rPr>
        <w:t>基础数据包括部门、身份类别、餐厅</w:t>
      </w:r>
      <w:r>
        <w:rPr>
          <w:rFonts w:hint="eastAsia" w:ascii="Songti SC" w:hAnsi="Songti SC" w:eastAsia="Songti SC" w:cs="Songti SC"/>
          <w:color w:val="000000"/>
        </w:rPr>
        <w:t>、</w:t>
      </w:r>
      <w:r>
        <w:rPr>
          <w:rFonts w:ascii="Songti SC" w:hAnsi="Songti SC" w:eastAsia="Songti SC" w:cs="Songti SC"/>
          <w:color w:val="000000"/>
        </w:rPr>
        <w:t>菜品、餐次、卡类型、消费策略、补贴规则和消费机台账。</w:t>
      </w:r>
    </w:p>
    <w:p w14:paraId="53A57100">
      <w:pPr>
        <w:ind w:firstLine="480"/>
        <w:rPr>
          <w:rFonts w:hint="eastAsia"/>
          <w:color w:val="000000"/>
        </w:rPr>
      </w:pPr>
      <w:r>
        <w:rPr>
          <w:rFonts w:ascii="Songti SC" w:hAnsi="Songti SC" w:eastAsia="Songti SC" w:cs="Songti SC"/>
          <w:color w:val="000000"/>
        </w:rPr>
        <w:t>业务数据包括人员档案、账户信息、人员状态、卡状态、人脸信息、消费权限和操作员权限。</w:t>
      </w:r>
    </w:p>
    <w:p w14:paraId="0CECEB7D">
      <w:pPr>
        <w:ind w:firstLine="480"/>
        <w:rPr>
          <w:rFonts w:hint="eastAsia"/>
          <w:color w:val="000000"/>
        </w:rPr>
      </w:pPr>
      <w:r>
        <w:rPr>
          <w:rFonts w:ascii="Songti SC" w:hAnsi="Songti SC" w:eastAsia="Songti SC" w:cs="Songti SC"/>
          <w:color w:val="000000"/>
        </w:rPr>
        <w:t>交易数据包括充值订单、消费订单、菜品订单、退款记录、补贴记录、账户流水和离线补传记录。</w:t>
      </w:r>
    </w:p>
    <w:p w14:paraId="7812CFC2">
      <w:pPr>
        <w:ind w:firstLine="480"/>
        <w:rPr>
          <w:rFonts w:hint="eastAsia"/>
          <w:color w:val="000000"/>
        </w:rPr>
      </w:pPr>
      <w:r>
        <w:rPr>
          <w:rFonts w:ascii="Songti SC" w:hAnsi="Songti SC" w:eastAsia="Songti SC" w:cs="Songti SC"/>
          <w:color w:val="000000"/>
        </w:rPr>
        <w:t>运行数据包括接口调用日志、消费机心跳、异常码、定时任务、数据同步结果、登录日志和操作日志。</w:t>
      </w:r>
    </w:p>
    <w:p w14:paraId="04B92BE8">
      <w:pPr>
        <w:ind w:firstLine="480"/>
        <w:rPr>
          <w:rFonts w:hint="eastAsia"/>
          <w:color w:val="000000"/>
        </w:rPr>
      </w:pPr>
      <w:r>
        <w:rPr>
          <w:rFonts w:ascii="Songti SC" w:hAnsi="Songti SC" w:eastAsia="Songti SC" w:cs="Songti SC"/>
          <w:color w:val="000000"/>
        </w:rPr>
        <w:t>分析数据包括收银统计、综合汇总、用户余额、部门消费、餐厅消费、消费机汇总、菜品销售统计。</w:t>
      </w:r>
    </w:p>
    <w:p w14:paraId="4ED62272">
      <w:pPr>
        <w:pStyle w:val="3"/>
        <w:rPr>
          <w:rFonts w:hint="eastAsia"/>
          <w:color w:val="000000"/>
        </w:rPr>
      </w:pPr>
      <w:bookmarkStart w:id="307" w:name="_Toc1063302663"/>
      <w:bookmarkStart w:id="308" w:name="_Toc1583177199"/>
      <w:r>
        <w:rPr>
          <w:rFonts w:ascii="Songti SC" w:hAnsi="Songti SC" w:eastAsia="Songti SC" w:cs="Songti SC"/>
          <w:color w:val="000000"/>
        </w:rPr>
        <w:t>建设内容</w:t>
      </w:r>
      <w:bookmarkEnd w:id="307"/>
      <w:bookmarkEnd w:id="308"/>
    </w:p>
    <w:p w14:paraId="07F44DFA">
      <w:pPr>
        <w:ind w:firstLine="480"/>
        <w:rPr>
          <w:rFonts w:hint="eastAsia"/>
          <w:color w:val="000000"/>
        </w:rPr>
      </w:pPr>
      <w:r>
        <w:rPr>
          <w:rFonts w:hint="eastAsia" w:ascii="Songti SC" w:hAnsi="Songti SC" w:eastAsia="Songti SC" w:cs="Songti SC"/>
          <w:color w:val="000000"/>
        </w:rPr>
        <w:t>本项目为大兴区17处集中办公区食堂消费系统升级改造工程，以成熟PHP产品替代现有.NET系统，完成业务平台升级、政务云与国产基础软件兼容适配以及安全合规建设。项目同步实施SQL Server 2014历史数据向GBase 8s V8.8迁移、外部接口联调及55台消费终端更新与接入适配、IPv4/IPv6双栈适配、上线切换与培训，继续承载人员管理、账户充值、刷卡/扫码/刷脸就餐、账户提现、退款处理、数据统计、餐厅营收结算、银行充值对接和日常运维管理等既有业务。</w:t>
      </w:r>
    </w:p>
    <w:p w14:paraId="42602C23">
      <w:pPr>
        <w:pStyle w:val="4"/>
        <w:rPr>
          <w:rFonts w:hint="eastAsia"/>
          <w:color w:val="000000"/>
        </w:rPr>
      </w:pPr>
      <w:bookmarkStart w:id="309" w:name="_Toc1716430354"/>
      <w:r>
        <w:rPr>
          <w:rFonts w:ascii="Songti SC" w:hAnsi="Songti SC" w:eastAsia="Songti SC" w:cs="Songti SC"/>
          <w:color w:val="000000"/>
        </w:rPr>
        <w:t>基础软件兼容适配部署</w:t>
      </w:r>
      <w:bookmarkEnd w:id="309"/>
    </w:p>
    <w:p w14:paraId="7E8A1D04">
      <w:pPr>
        <w:ind w:firstLine="480"/>
        <w:rPr>
          <w:rFonts w:hint="eastAsia"/>
          <w:color w:val="000000"/>
        </w:rPr>
      </w:pPr>
      <w:r>
        <w:rPr>
          <w:rFonts w:ascii="Songti SC" w:hAnsi="Songti SC" w:eastAsia="Songti SC" w:cs="Songti SC"/>
          <w:color w:val="000000"/>
        </w:rPr>
        <w:t>一是服务器操作系统适配。围绕目标国产服务器操作系统完成PHP应用服务部署、系统用户权限、文件目录权限、日志路径、定时任务、服务启停、监控告警和运维脚本适配，保障平台服务稳定运行。</w:t>
      </w:r>
    </w:p>
    <w:p w14:paraId="13882EA6">
      <w:pPr>
        <w:ind w:firstLine="480"/>
        <w:rPr>
          <w:rFonts w:hint="eastAsia"/>
          <w:color w:val="000000"/>
        </w:rPr>
      </w:pPr>
      <w:r>
        <w:rPr>
          <w:rFonts w:ascii="Songti SC" w:hAnsi="Songti SC" w:eastAsia="Songti SC" w:cs="Songti SC"/>
          <w:color w:val="000000"/>
        </w:rPr>
        <w:t>二是数据库迁移与产品适配。原系统历史业务数据由SQL Server 2014迁移至GBase 8s V8.8，通过记录数、金额字段、账户余额、交易流水和关联关系校验确认数据一致性；同时对成熟PHP产品的数据访问层开展GBase连接驱动、SQL语法、事务、分页、主键、日期时间、字符集、索引和长文本字段等兼容适配。</w:t>
      </w:r>
    </w:p>
    <w:p w14:paraId="6A724415">
      <w:pPr>
        <w:ind w:firstLine="480"/>
        <w:rPr>
          <w:rFonts w:hint="eastAsia"/>
          <w:color w:val="000000"/>
        </w:rPr>
      </w:pPr>
      <w:r>
        <w:rPr>
          <w:rFonts w:ascii="Songti SC" w:hAnsi="Songti SC" w:eastAsia="Songti SC" w:cs="Songti SC"/>
          <w:color w:val="000000"/>
        </w:rPr>
        <w:t>三是中间件兼容适配。结合金蝶中间件和目标政务云环境，对应用访问链路、会话管理、接口调用、访问控制、日志输出、运行监控、故障排查和启停脚本进行兼容验证，具体部署方式以环境联调结果为准。</w:t>
      </w:r>
    </w:p>
    <w:p w14:paraId="3CAAD928">
      <w:pPr>
        <w:pStyle w:val="4"/>
        <w:rPr>
          <w:rFonts w:hint="eastAsia"/>
          <w:color w:val="000000"/>
        </w:rPr>
      </w:pPr>
      <w:bookmarkStart w:id="310" w:name="_Toc2137075529"/>
      <w:bookmarkStart w:id="311" w:name="_Toc897129527"/>
      <w:r>
        <w:rPr>
          <w:rFonts w:ascii="Songti SC" w:hAnsi="Songti SC" w:eastAsia="Songti SC" w:cs="Songti SC"/>
          <w:color w:val="000000"/>
        </w:rPr>
        <w:t>业务平台替代升级与兼容适配</w:t>
      </w:r>
      <w:bookmarkEnd w:id="310"/>
      <w:bookmarkEnd w:id="311"/>
    </w:p>
    <w:p w14:paraId="0159B338">
      <w:pPr>
        <w:ind w:firstLine="480"/>
        <w:rPr>
          <w:rFonts w:hint="eastAsia"/>
          <w:color w:val="000000"/>
        </w:rPr>
      </w:pPr>
      <w:r>
        <w:rPr>
          <w:rFonts w:ascii="Songti SC" w:hAnsi="Songti SC" w:eastAsia="Songti SC" w:cs="Songti SC"/>
          <w:color w:val="000000"/>
        </w:rPr>
        <w:t>本部分基于成熟PHP产品承接现有系统业务功能，完成目标国产基础软件环境部署、运行参数配置、接口链路联调、终端交易联调、浏览器兼容测试、业务功能回归测试和上线切换验证。现有.NET系统不作为目标产品继续改造，实施重点是业务、数据、接口和终端的平稳迁移。</w:t>
      </w:r>
    </w:p>
    <w:p w14:paraId="693D1D18">
      <w:pPr>
        <w:ind w:firstLine="480"/>
        <w:rPr>
          <w:rFonts w:hint="eastAsia"/>
          <w:color w:val="000000"/>
        </w:rPr>
      </w:pPr>
      <w:r>
        <w:rPr>
          <w:rFonts w:ascii="Songti SC" w:hAnsi="Songti SC" w:eastAsia="Songti SC" w:cs="Songti SC"/>
          <w:color w:val="000000"/>
        </w:rPr>
        <w:t>一是目标产品与运行环境适配，完成PHP服务部署、PC端和移动端资源发布、接口路由、文件目录、日志目录、定时任务、配置参数、服务启停和异常日志适配。</w:t>
      </w:r>
    </w:p>
    <w:p w14:paraId="689212EF">
      <w:pPr>
        <w:ind w:firstLine="480"/>
        <w:rPr>
          <w:rFonts w:hint="eastAsia"/>
          <w:color w:val="000000"/>
        </w:rPr>
      </w:pPr>
      <w:r>
        <w:rPr>
          <w:rFonts w:ascii="Songti SC" w:hAnsi="Songti SC" w:eastAsia="Songti SC" w:cs="Songti SC"/>
          <w:color w:val="000000"/>
        </w:rPr>
        <w:t>二是业务功能回归与联调，围绕人员管理、账户充值、刷卡/扫码/刷脸消费、账户提现、退款处理、报表统计、餐厅经营结算和日常运维管理开展功能核验。</w:t>
      </w:r>
    </w:p>
    <w:p w14:paraId="46ED51BC">
      <w:pPr>
        <w:ind w:firstLine="480"/>
        <w:rPr>
          <w:rFonts w:hint="eastAsia"/>
          <w:color w:val="000000"/>
        </w:rPr>
      </w:pPr>
      <w:r>
        <w:rPr>
          <w:rFonts w:ascii="Songti SC" w:hAnsi="Songti SC" w:eastAsia="Songti SC" w:cs="Songti SC"/>
          <w:color w:val="000000"/>
        </w:rPr>
        <w:t>三是接口与终端联调，保持既有工商银行充值接口、</w:t>
      </w:r>
      <w:r>
        <w:rPr>
          <w:rFonts w:hint="eastAsia" w:ascii="Songti SC" w:hAnsi="Songti SC" w:eastAsia="Songti SC" w:cs="Songti SC"/>
          <w:color w:val="000000"/>
          <w:lang w:eastAsia="zh-CN"/>
        </w:rPr>
        <w:t>大数据交互平台</w:t>
      </w:r>
      <w:r>
        <w:rPr>
          <w:rFonts w:ascii="Songti SC" w:hAnsi="Songti SC" w:eastAsia="Songti SC" w:cs="Songti SC"/>
          <w:color w:val="000000"/>
        </w:rPr>
        <w:t>和消费终端接口边界，完成订单状态同步、余额更新、异常日志、对账查询和消费机交易链路验证。</w:t>
      </w:r>
    </w:p>
    <w:p w14:paraId="19657D41">
      <w:pPr>
        <w:pStyle w:val="4"/>
        <w:rPr>
          <w:rFonts w:hint="eastAsia"/>
          <w:color w:val="000000"/>
        </w:rPr>
      </w:pPr>
      <w:bookmarkStart w:id="312" w:name="_Toc573274702"/>
      <w:bookmarkStart w:id="313" w:name="_Toc1164419828"/>
      <w:r>
        <w:rPr>
          <w:rFonts w:ascii="Songti SC" w:hAnsi="Songti SC" w:eastAsia="Songti SC" w:cs="Songti SC"/>
          <w:color w:val="000000"/>
        </w:rPr>
        <w:t>等保商密合规核验实施</w:t>
      </w:r>
      <w:bookmarkEnd w:id="312"/>
      <w:bookmarkEnd w:id="313"/>
    </w:p>
    <w:p w14:paraId="6582E5ED">
      <w:pPr>
        <w:ind w:firstLine="480"/>
        <w:rPr>
          <w:rFonts w:hint="eastAsia"/>
          <w:color w:val="000000"/>
        </w:rPr>
      </w:pPr>
      <w:r>
        <w:rPr>
          <w:rFonts w:ascii="Songti SC" w:hAnsi="Songti SC" w:eastAsia="Songti SC" w:cs="Songti SC"/>
          <w:color w:val="000000"/>
        </w:rPr>
        <w:t>本部分围绕网络安全与密码应用合规要求开展验证，并与历史数据承接及一致性校验工作衔接。主要工作包括：</w:t>
      </w:r>
    </w:p>
    <w:p w14:paraId="69BBA197">
      <w:pPr>
        <w:ind w:firstLine="480"/>
        <w:rPr>
          <w:rFonts w:hint="eastAsia"/>
          <w:color w:val="000000"/>
        </w:rPr>
      </w:pPr>
      <w:r>
        <w:rPr>
          <w:rFonts w:ascii="Songti SC" w:hAnsi="Songti SC" w:eastAsia="Songti SC" w:cs="Songti SC"/>
          <w:color w:val="000000"/>
        </w:rPr>
        <w:t>一是食堂消费系统已完成网络安全等级保护第三级定级专家评审，专家一致认为定级合理并同意通过评审；建设单位后续按程序组织定级备案、差距分析、整改加固、测评和整改验证，督促承建单位提交相应技术支撑材料。</w:t>
      </w:r>
    </w:p>
    <w:p w14:paraId="5E331EA8">
      <w:pPr>
        <w:ind w:firstLine="480"/>
        <w:rPr>
          <w:rFonts w:hint="eastAsia"/>
          <w:color w:val="000000"/>
        </w:rPr>
      </w:pPr>
      <w:r>
        <w:rPr>
          <w:rFonts w:ascii="Songti SC" w:hAnsi="Songti SC" w:eastAsia="Songti SC" w:cs="Songti SC"/>
          <w:color w:val="000000"/>
        </w:rPr>
        <w:t>二是建设单位组织商用密码应用安全性评估，督促承建单位围绕身份鉴别、通信安全、设备和计算安全、应用和数据安全、密钥管理及制度流程准备材料、落实整改，由测评机构开展验证并形成评价结果。</w:t>
      </w:r>
    </w:p>
    <w:p w14:paraId="6A2BF616">
      <w:pPr>
        <w:ind w:firstLine="480"/>
        <w:rPr>
          <w:rFonts w:hint="eastAsia"/>
          <w:color w:val="000000"/>
        </w:rPr>
      </w:pPr>
      <w:r>
        <w:rPr>
          <w:rFonts w:ascii="Songti SC" w:hAnsi="Songti SC" w:eastAsia="Songti SC" w:cs="Songti SC"/>
          <w:color w:val="000000"/>
        </w:rPr>
        <w:t>三是将网络安全、密码应用、目标国产基础软件兼容适配和平台联调结果纳入上线验收，确保系统符合安全合规和业务连续运行要求。</w:t>
      </w:r>
    </w:p>
    <w:p w14:paraId="338C88C7">
      <w:pPr>
        <w:pStyle w:val="3"/>
        <w:rPr>
          <w:rFonts w:hint="eastAsia"/>
          <w:color w:val="000000"/>
          <w:lang w:eastAsia="zh-CN"/>
        </w:rPr>
      </w:pPr>
      <w:bookmarkStart w:id="314" w:name="_Toc1416276072"/>
      <w:bookmarkStart w:id="315" w:name="_Toc385574085"/>
      <w:bookmarkStart w:id="316" w:name="_Toc1503091588"/>
      <w:bookmarkStart w:id="317" w:name="_Toc26874"/>
      <w:r>
        <w:rPr>
          <w:rFonts w:hint="eastAsia" w:ascii="Songti SC" w:hAnsi="Songti SC" w:eastAsia="Songti SC" w:cs="Songti SC"/>
          <w:color w:val="000000"/>
          <w:lang w:eastAsia="zh-CN"/>
        </w:rPr>
        <w:t>接口设计</w:t>
      </w:r>
      <w:bookmarkEnd w:id="314"/>
      <w:bookmarkEnd w:id="315"/>
    </w:p>
    <w:p w14:paraId="31680B84">
      <w:pPr>
        <w:ind w:firstLine="480"/>
        <w:rPr>
          <w:rFonts w:hint="eastAsia"/>
          <w:color w:val="000000"/>
          <w:lang w:bidi="en-US"/>
        </w:rPr>
      </w:pPr>
      <w:r>
        <w:rPr>
          <w:rFonts w:hint="eastAsia" w:ascii="Songti SC" w:hAnsi="Songti SC" w:eastAsia="Songti SC" w:cs="Songti SC"/>
          <w:color w:val="000000"/>
          <w:lang w:bidi="en-US"/>
        </w:rPr>
        <w:t>食堂消费系统与</w:t>
      </w:r>
      <w:r>
        <w:rPr>
          <w:rFonts w:hint="eastAsia" w:ascii="Songti SC" w:hAnsi="Songti SC" w:eastAsia="Songti SC" w:cs="Songti SC"/>
          <w:color w:val="000000"/>
          <w:lang w:eastAsia="zh-CN" w:bidi="en-US"/>
        </w:rPr>
        <w:t>大数据交互平台</w:t>
      </w:r>
      <w:r>
        <w:rPr>
          <w:rFonts w:hint="eastAsia" w:ascii="Songti SC" w:hAnsi="Songti SC" w:eastAsia="Songti SC" w:cs="Songti SC"/>
          <w:color w:val="000000"/>
          <w:lang w:bidi="en-US"/>
        </w:rPr>
        <w:t>保持数据交换关系。</w:t>
      </w:r>
      <w:r>
        <w:rPr>
          <w:rFonts w:hint="eastAsia" w:ascii="Songti SC" w:hAnsi="Songti SC" w:eastAsia="Songti SC" w:cs="Songti SC"/>
          <w:color w:val="000000"/>
          <w:lang w:eastAsia="zh-CN" w:bidi="en-US"/>
        </w:rPr>
        <w:t>大数据交互平台</w:t>
      </w:r>
      <w:r>
        <w:rPr>
          <w:rFonts w:hint="eastAsia" w:ascii="Songti SC" w:hAnsi="Songti SC" w:eastAsia="Songti SC" w:cs="Songti SC"/>
          <w:color w:val="000000"/>
          <w:lang w:bidi="en-US"/>
        </w:rPr>
        <w:t>承担政府数据资源管理、目录管理和共享交换等职责，本项目在延续工商银行线上充值既有交换链路的同时，对人员组织、餐厅设备、账户充值、消费订单及运营汇总等经授权数据开展目录梳理和接口适配。涉及前置库的数据交互继续沿用现有业务边界，本期不建设</w:t>
      </w:r>
      <w:r>
        <w:rPr>
          <w:rFonts w:hint="eastAsia" w:ascii="Songti SC" w:hAnsi="Songti SC" w:eastAsia="Songti SC" w:cs="Songti SC"/>
          <w:color w:val="000000"/>
          <w:lang w:eastAsia="zh-CN" w:bidi="en-US"/>
        </w:rPr>
        <w:t>大数据交互平台</w:t>
      </w:r>
      <w:r>
        <w:rPr>
          <w:rFonts w:hint="eastAsia" w:ascii="Songti SC" w:hAnsi="Songti SC" w:eastAsia="Songti SC" w:cs="Songti SC"/>
          <w:color w:val="000000"/>
          <w:lang w:bidi="en-US"/>
        </w:rPr>
        <w:t>侧功能。</w:t>
      </w:r>
      <w:r>
        <w:rPr>
          <w:rFonts w:hint="eastAsia" w:ascii="Songti SC" w:hAnsi="Songti SC" w:eastAsia="Songti SC" w:cs="Songti SC"/>
          <w:color w:val="000000"/>
          <w:lang w:bidi="en-US"/>
        </w:rPr>
        <w:br w:type="page"/>
      </w:r>
    </w:p>
    <w:p w14:paraId="7F8E9CE4">
      <w:pPr>
        <w:pStyle w:val="2"/>
        <w:rPr>
          <w:rFonts w:hint="eastAsia"/>
          <w:color w:val="000000"/>
        </w:rPr>
      </w:pPr>
      <w:bookmarkStart w:id="318" w:name="_Toc643198756"/>
      <w:bookmarkStart w:id="319" w:name="_Toc1385483596"/>
      <w:r>
        <w:rPr>
          <w:rFonts w:hint="eastAsia" w:ascii="Songti SC" w:hAnsi="Songti SC" w:eastAsia="Songti SC" w:cs="Songti SC"/>
          <w:color w:val="000000"/>
        </w:rPr>
        <w:t>建设方案</w:t>
      </w:r>
      <w:bookmarkEnd w:id="316"/>
      <w:bookmarkEnd w:id="317"/>
      <w:bookmarkEnd w:id="318"/>
      <w:bookmarkEnd w:id="319"/>
    </w:p>
    <w:p w14:paraId="1D25E425">
      <w:pPr>
        <w:pStyle w:val="3"/>
        <w:rPr>
          <w:rFonts w:hint="eastAsia"/>
          <w:color w:val="000000"/>
          <w:lang w:eastAsia="zh-CN"/>
        </w:rPr>
      </w:pPr>
      <w:bookmarkStart w:id="320" w:name="_Toc1956296741"/>
      <w:bookmarkStart w:id="321" w:name="_Toc657613551"/>
      <w:r>
        <w:rPr>
          <w:rFonts w:ascii="Songti SC" w:hAnsi="Songti SC" w:eastAsia="Songti SC" w:cs="Songti SC"/>
          <w:color w:val="000000"/>
          <w:lang w:eastAsia="zh-CN"/>
        </w:rPr>
        <w:t>信息资源建设及数据共享方案</w:t>
      </w:r>
      <w:bookmarkEnd w:id="320"/>
      <w:bookmarkEnd w:id="321"/>
    </w:p>
    <w:p w14:paraId="51AE2918">
      <w:pPr>
        <w:pStyle w:val="4"/>
        <w:rPr>
          <w:rFonts w:hint="eastAsia"/>
          <w:color w:val="000000"/>
        </w:rPr>
      </w:pPr>
      <w:bookmarkStart w:id="322" w:name="_Toc1504690417"/>
      <w:bookmarkStart w:id="323" w:name="_Toc7172"/>
      <w:bookmarkStart w:id="324" w:name="_Toc1977398531"/>
      <w:bookmarkStart w:id="325" w:name="_Toc7149"/>
      <w:r>
        <w:rPr>
          <w:rFonts w:hint="eastAsia" w:ascii="Songti SC" w:hAnsi="Songti SC" w:eastAsia="Songti SC" w:cs="Songti SC"/>
          <w:color w:val="000000"/>
        </w:rPr>
        <w:t>信息资源目录梳理</w:t>
      </w:r>
      <w:bookmarkEnd w:id="322"/>
    </w:p>
    <w:tbl>
      <w:tblPr>
        <w:tblStyle w:val="60"/>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87"/>
        <w:gridCol w:w="2184"/>
        <w:gridCol w:w="2476"/>
        <w:gridCol w:w="1975"/>
      </w:tblGrid>
      <w:tr w14:paraId="5DE752C6">
        <w:trPr>
          <w:trHeight w:val="280" w:hRule="atLeast"/>
        </w:trPr>
        <w:tc>
          <w:tcPr>
            <w:tcW w:w="2388" w:type="pct"/>
            <w:gridSpan w:val="2"/>
            <w:shd w:val="clear" w:color="000000" w:fill="F2F2F2"/>
            <w:vAlign w:val="center"/>
          </w:tcPr>
          <w:p w14:paraId="216B6CC4">
            <w:pPr>
              <w:pStyle w:val="326"/>
              <w:rPr>
                <w:rFonts w:hint="eastAsia"/>
                <w:color w:val="000000"/>
              </w:rPr>
            </w:pPr>
            <w:r>
              <w:rPr>
                <w:rFonts w:hint="eastAsia" w:ascii="Songti SC" w:hAnsi="Songti SC" w:eastAsia="Songti SC" w:cs="Songti SC"/>
                <w:color w:val="000000"/>
              </w:rPr>
              <w:t>职责目录</w:t>
            </w:r>
          </w:p>
        </w:tc>
        <w:tc>
          <w:tcPr>
            <w:tcW w:w="1452" w:type="pct"/>
            <w:vMerge w:val="restart"/>
            <w:shd w:val="clear" w:color="000000" w:fill="F2F2F2"/>
            <w:vAlign w:val="center"/>
          </w:tcPr>
          <w:p w14:paraId="31385606">
            <w:pPr>
              <w:pStyle w:val="326"/>
              <w:rPr>
                <w:rFonts w:hint="eastAsia"/>
                <w:color w:val="000000"/>
              </w:rPr>
            </w:pPr>
            <w:r>
              <w:rPr>
                <w:rFonts w:hint="eastAsia" w:ascii="Songti SC" w:hAnsi="Songti SC" w:eastAsia="Songti SC" w:cs="Songti SC"/>
                <w:color w:val="000000"/>
              </w:rPr>
              <w:t>数据资源格式类型*</w:t>
            </w:r>
          </w:p>
        </w:tc>
        <w:tc>
          <w:tcPr>
            <w:tcW w:w="1158" w:type="pct"/>
            <w:vMerge w:val="restart"/>
            <w:shd w:val="clear" w:color="000000" w:fill="F2F2F2"/>
            <w:vAlign w:val="center"/>
          </w:tcPr>
          <w:p w14:paraId="5948EE35">
            <w:pPr>
              <w:pStyle w:val="326"/>
              <w:rPr>
                <w:rFonts w:hint="eastAsia"/>
                <w:color w:val="000000"/>
              </w:rPr>
            </w:pPr>
            <w:r>
              <w:rPr>
                <w:rFonts w:hint="eastAsia" w:ascii="Songti SC" w:hAnsi="Songti SC" w:eastAsia="Songti SC" w:cs="Songti SC"/>
                <w:color w:val="000000"/>
              </w:rPr>
              <w:t>数据更新周期*</w:t>
            </w:r>
          </w:p>
        </w:tc>
      </w:tr>
      <w:tr w14:paraId="34D68625">
        <w:trPr>
          <w:trHeight w:val="560" w:hRule="atLeast"/>
        </w:trPr>
        <w:tc>
          <w:tcPr>
            <w:tcW w:w="1107" w:type="pct"/>
            <w:shd w:val="clear" w:color="000000" w:fill="F2F2F2"/>
            <w:vAlign w:val="center"/>
          </w:tcPr>
          <w:p w14:paraId="0E5F68DF">
            <w:pPr>
              <w:pStyle w:val="326"/>
              <w:rPr>
                <w:rFonts w:hint="eastAsia"/>
                <w:color w:val="000000"/>
              </w:rPr>
            </w:pPr>
            <w:r>
              <w:rPr>
                <w:rFonts w:hint="eastAsia" w:ascii="Songti SC" w:hAnsi="Songti SC" w:eastAsia="Songti SC" w:cs="Songti SC"/>
                <w:color w:val="000000"/>
              </w:rPr>
              <w:t>数据资源名称*</w:t>
            </w:r>
          </w:p>
        </w:tc>
        <w:tc>
          <w:tcPr>
            <w:tcW w:w="1280" w:type="pct"/>
            <w:shd w:val="clear" w:color="000000" w:fill="F2F2F2"/>
            <w:vAlign w:val="center"/>
          </w:tcPr>
          <w:p w14:paraId="7D46FEE9">
            <w:pPr>
              <w:pStyle w:val="326"/>
              <w:rPr>
                <w:rFonts w:hint="eastAsia"/>
                <w:color w:val="000000"/>
              </w:rPr>
            </w:pPr>
            <w:r>
              <w:rPr>
                <w:rFonts w:hint="eastAsia" w:ascii="Songti SC" w:hAnsi="Songti SC" w:eastAsia="Songti SC" w:cs="Songti SC"/>
                <w:color w:val="000000"/>
              </w:rPr>
              <w:t>数据资源摘要*</w:t>
            </w:r>
          </w:p>
        </w:tc>
        <w:tc>
          <w:tcPr>
            <w:tcW w:w="1452" w:type="pct"/>
            <w:vMerge w:val="continue"/>
            <w:vAlign w:val="center"/>
          </w:tcPr>
          <w:p w14:paraId="27AE30EC">
            <w:pPr>
              <w:pStyle w:val="326"/>
              <w:rPr>
                <w:rFonts w:hint="eastAsia"/>
                <w:color w:val="000000"/>
              </w:rPr>
            </w:pPr>
          </w:p>
        </w:tc>
        <w:tc>
          <w:tcPr>
            <w:tcW w:w="1158" w:type="pct"/>
            <w:vMerge w:val="continue"/>
            <w:vAlign w:val="center"/>
          </w:tcPr>
          <w:p w14:paraId="6097A65F">
            <w:pPr>
              <w:pStyle w:val="326"/>
              <w:rPr>
                <w:rFonts w:hint="eastAsia"/>
                <w:color w:val="000000"/>
              </w:rPr>
            </w:pPr>
          </w:p>
        </w:tc>
      </w:tr>
      <w:tr w14:paraId="54DCDEA1">
        <w:trPr>
          <w:trHeight w:val="560" w:hRule="atLeast"/>
        </w:trPr>
        <w:tc>
          <w:tcPr>
            <w:tcW w:w="1107" w:type="pct"/>
            <w:shd w:val="clear" w:color="auto" w:fill="FFFFFF" w:themeFill="background1"/>
            <w:vAlign w:val="center"/>
          </w:tcPr>
          <w:p w14:paraId="24E5080B">
            <w:pPr>
              <w:pStyle w:val="182"/>
              <w:rPr>
                <w:rFonts w:hint="eastAsia"/>
                <w:color w:val="000000"/>
              </w:rPr>
            </w:pPr>
            <w:r>
              <w:rPr>
                <w:rFonts w:hint="eastAsia" w:ascii="Songti SC" w:hAnsi="Songti SC" w:eastAsia="Songti SC" w:cs="Songti SC"/>
                <w:color w:val="000000"/>
              </w:rPr>
              <w:t>人员表</w:t>
            </w:r>
          </w:p>
        </w:tc>
        <w:tc>
          <w:tcPr>
            <w:tcW w:w="1280" w:type="pct"/>
            <w:shd w:val="clear" w:color="auto" w:fill="FFFFFF" w:themeFill="background1"/>
            <w:vAlign w:val="center"/>
          </w:tcPr>
          <w:p w14:paraId="0172563B">
            <w:pPr>
              <w:pStyle w:val="182"/>
              <w:rPr>
                <w:rFonts w:hint="eastAsia"/>
                <w:color w:val="000000"/>
              </w:rPr>
            </w:pPr>
            <w:r>
              <w:rPr>
                <w:rFonts w:hint="eastAsia" w:ascii="Songti SC" w:hAnsi="Songti SC" w:eastAsia="Songti SC" w:cs="Songti SC"/>
                <w:color w:val="000000"/>
              </w:rPr>
              <w:t>食堂服务人员基础信息，包括人员标识、组织归属、身份类别和人员状态等经授权的必要信息</w:t>
            </w:r>
          </w:p>
        </w:tc>
        <w:tc>
          <w:tcPr>
            <w:tcW w:w="1452" w:type="pct"/>
            <w:shd w:val="clear" w:color="auto" w:fill="FFFFFF" w:themeFill="background1"/>
            <w:vAlign w:val="center"/>
          </w:tcPr>
          <w:p w14:paraId="1A62CCCF">
            <w:pPr>
              <w:pStyle w:val="182"/>
              <w:rPr>
                <w:rFonts w:hint="eastAsia"/>
                <w:color w:val="000000"/>
              </w:rPr>
            </w:pPr>
            <w:r>
              <w:rPr>
                <w:rFonts w:hint="eastAsia" w:ascii="Songti SC" w:hAnsi="Songti SC" w:eastAsia="Songti SC" w:cs="Songti SC"/>
                <w:color w:val="000000"/>
              </w:rPr>
              <w:t>（数据库表）</w:t>
            </w:r>
          </w:p>
        </w:tc>
        <w:tc>
          <w:tcPr>
            <w:tcW w:w="1158" w:type="pct"/>
            <w:shd w:val="clear" w:color="auto" w:fill="FFFFFF" w:themeFill="background1"/>
            <w:vAlign w:val="center"/>
          </w:tcPr>
          <w:p w14:paraId="5B57DD97">
            <w:pPr>
              <w:pStyle w:val="182"/>
              <w:rPr>
                <w:rFonts w:hint="eastAsia"/>
                <w:color w:val="000000"/>
              </w:rPr>
            </w:pPr>
            <w:r>
              <w:rPr>
                <w:rFonts w:hint="eastAsia" w:ascii="Songti SC" w:hAnsi="Songti SC" w:eastAsia="Songti SC" w:cs="Songti SC"/>
                <w:color w:val="000000"/>
              </w:rPr>
              <w:t>按周，每周一1点</w:t>
            </w:r>
          </w:p>
        </w:tc>
      </w:tr>
      <w:tr w14:paraId="715B3957">
        <w:trPr>
          <w:trHeight w:val="560" w:hRule="atLeast"/>
        </w:trPr>
        <w:tc>
          <w:tcPr>
            <w:tcW w:w="1107" w:type="pct"/>
            <w:shd w:val="clear" w:color="auto" w:fill="FFFFFF" w:themeFill="background1"/>
            <w:vAlign w:val="center"/>
          </w:tcPr>
          <w:p w14:paraId="3855B6E2">
            <w:pPr>
              <w:pStyle w:val="182"/>
              <w:rPr>
                <w:rFonts w:hint="eastAsia"/>
                <w:color w:val="000000"/>
              </w:rPr>
            </w:pPr>
            <w:r>
              <w:rPr>
                <w:rFonts w:hint="eastAsia" w:ascii="Songti SC" w:hAnsi="Songti SC" w:eastAsia="Songti SC" w:cs="Songti SC"/>
                <w:color w:val="000000"/>
              </w:rPr>
              <w:t>菜品表</w:t>
            </w:r>
          </w:p>
        </w:tc>
        <w:tc>
          <w:tcPr>
            <w:tcW w:w="1280" w:type="pct"/>
            <w:shd w:val="clear" w:color="auto" w:fill="FFFFFF" w:themeFill="background1"/>
            <w:vAlign w:val="center"/>
          </w:tcPr>
          <w:p w14:paraId="4B55C143">
            <w:pPr>
              <w:pStyle w:val="182"/>
              <w:rPr>
                <w:rFonts w:hint="eastAsia"/>
                <w:color w:val="000000"/>
              </w:rPr>
            </w:pPr>
            <w:r>
              <w:rPr>
                <w:rFonts w:hint="eastAsia" w:ascii="Songti SC" w:hAnsi="Songti SC" w:eastAsia="Songti SC" w:cs="Songti SC"/>
                <w:color w:val="000000"/>
              </w:rPr>
              <w:t>餐厅菜品基础信息，包括菜品标识、菜品名称、菜品分类、计价单位、价格和状态等信息</w:t>
            </w:r>
          </w:p>
        </w:tc>
        <w:tc>
          <w:tcPr>
            <w:tcW w:w="1452" w:type="pct"/>
            <w:shd w:val="clear" w:color="auto" w:fill="FFFFFF" w:themeFill="background1"/>
            <w:vAlign w:val="center"/>
          </w:tcPr>
          <w:p w14:paraId="33E3F3EB">
            <w:pPr>
              <w:pStyle w:val="182"/>
              <w:rPr>
                <w:rFonts w:hint="eastAsia"/>
                <w:color w:val="000000"/>
              </w:rPr>
            </w:pPr>
            <w:r>
              <w:rPr>
                <w:rFonts w:hint="eastAsia" w:ascii="Songti SC" w:hAnsi="Songti SC" w:eastAsia="Songti SC" w:cs="Songti SC"/>
                <w:color w:val="000000"/>
              </w:rPr>
              <w:t>（数据库表）</w:t>
            </w:r>
          </w:p>
        </w:tc>
        <w:tc>
          <w:tcPr>
            <w:tcW w:w="1158" w:type="pct"/>
            <w:shd w:val="clear" w:color="auto" w:fill="FFFFFF" w:themeFill="background1"/>
            <w:vAlign w:val="center"/>
          </w:tcPr>
          <w:p w14:paraId="4B114A46">
            <w:pPr>
              <w:pStyle w:val="182"/>
              <w:rPr>
                <w:rFonts w:hint="eastAsia"/>
                <w:color w:val="000000"/>
              </w:rPr>
            </w:pPr>
            <w:r>
              <w:rPr>
                <w:rFonts w:hint="eastAsia" w:ascii="Songti SC" w:hAnsi="Songti SC" w:eastAsia="Songti SC" w:cs="Songti SC"/>
                <w:color w:val="000000"/>
              </w:rPr>
              <w:t>按周，每周一1点</w:t>
            </w:r>
          </w:p>
        </w:tc>
      </w:tr>
      <w:tr w14:paraId="0A7738FF">
        <w:trPr>
          <w:trHeight w:val="560" w:hRule="atLeast"/>
        </w:trPr>
        <w:tc>
          <w:tcPr>
            <w:tcW w:w="1107" w:type="pct"/>
            <w:shd w:val="clear" w:color="auto" w:fill="FFFFFF" w:themeFill="background1"/>
            <w:vAlign w:val="center"/>
          </w:tcPr>
          <w:p w14:paraId="53B3BD9C">
            <w:pPr>
              <w:pStyle w:val="182"/>
              <w:rPr>
                <w:rFonts w:hint="eastAsia"/>
                <w:color w:val="000000"/>
              </w:rPr>
            </w:pPr>
            <w:r>
              <w:rPr>
                <w:rFonts w:hint="eastAsia" w:ascii="Songti SC" w:hAnsi="Songti SC" w:eastAsia="Songti SC" w:cs="Songti SC"/>
                <w:color w:val="000000"/>
              </w:rPr>
              <w:t>消费业务表</w:t>
            </w:r>
          </w:p>
        </w:tc>
        <w:tc>
          <w:tcPr>
            <w:tcW w:w="1280" w:type="pct"/>
            <w:shd w:val="clear" w:color="auto" w:fill="FFFFFF" w:themeFill="background1"/>
            <w:vAlign w:val="center"/>
          </w:tcPr>
          <w:p w14:paraId="317DDF04">
            <w:pPr>
              <w:pStyle w:val="182"/>
              <w:rPr>
                <w:rFonts w:hint="eastAsia"/>
                <w:color w:val="000000"/>
              </w:rPr>
            </w:pPr>
            <w:r>
              <w:rPr>
                <w:rFonts w:hint="eastAsia" w:ascii="Songti SC" w:hAnsi="Songti SC" w:eastAsia="Songti SC" w:cs="Songti SC"/>
                <w:color w:val="000000"/>
              </w:rPr>
              <w:t>食堂消费业务数据，包括交易标识、脱敏人员标识、餐厅、设备、餐次、交易时间、金额和交易状态等信息</w:t>
            </w:r>
          </w:p>
        </w:tc>
        <w:tc>
          <w:tcPr>
            <w:tcW w:w="1452" w:type="pct"/>
            <w:shd w:val="clear" w:color="auto" w:fill="FFFFFF" w:themeFill="background1"/>
            <w:vAlign w:val="center"/>
          </w:tcPr>
          <w:p w14:paraId="44E17205">
            <w:pPr>
              <w:pStyle w:val="182"/>
              <w:rPr>
                <w:rFonts w:hint="eastAsia"/>
                <w:color w:val="000000"/>
              </w:rPr>
            </w:pPr>
            <w:r>
              <w:rPr>
                <w:rFonts w:hint="eastAsia" w:ascii="Songti SC" w:hAnsi="Songti SC" w:eastAsia="Songti SC" w:cs="Songti SC"/>
                <w:color w:val="000000"/>
              </w:rPr>
              <w:t>（数据库表）</w:t>
            </w:r>
          </w:p>
        </w:tc>
        <w:tc>
          <w:tcPr>
            <w:tcW w:w="1158" w:type="pct"/>
            <w:shd w:val="clear" w:color="auto" w:fill="FFFFFF" w:themeFill="background1"/>
            <w:vAlign w:val="center"/>
          </w:tcPr>
          <w:p w14:paraId="17E0144B">
            <w:pPr>
              <w:pStyle w:val="182"/>
              <w:rPr>
                <w:rFonts w:hint="eastAsia"/>
                <w:color w:val="000000"/>
              </w:rPr>
            </w:pPr>
            <w:r>
              <w:rPr>
                <w:rFonts w:hint="eastAsia" w:ascii="Songti SC" w:hAnsi="Songti SC" w:eastAsia="Songti SC" w:cs="Songti SC"/>
                <w:color w:val="000000"/>
              </w:rPr>
              <w:t>按周，每周一1点</w:t>
            </w:r>
          </w:p>
        </w:tc>
      </w:tr>
    </w:tbl>
    <w:p w14:paraId="1AD24783">
      <w:pPr>
        <w:pStyle w:val="4"/>
        <w:rPr>
          <w:rFonts w:hint="eastAsia"/>
          <w:color w:val="000000"/>
        </w:rPr>
      </w:pPr>
      <w:bookmarkStart w:id="326" w:name="_Toc564411447"/>
      <w:r>
        <w:rPr>
          <w:rFonts w:hint="eastAsia" w:ascii="Songti SC" w:hAnsi="Songti SC" w:eastAsia="Songti SC" w:cs="Songti SC"/>
          <w:color w:val="000000"/>
        </w:rPr>
        <w:t>信息资源共享规划</w:t>
      </w:r>
      <w:bookmarkEnd w:id="326"/>
    </w:p>
    <w:p w14:paraId="52CD8D69">
      <w:pPr>
        <w:ind w:firstLine="480"/>
        <w:rPr>
          <w:rFonts w:hint="eastAsia" w:ascii="Songti SC" w:hAnsi="Songti SC" w:eastAsia="Songti SC" w:cs="Songti SC"/>
          <w:color w:val="000000"/>
          <w:lang w:bidi="en-US"/>
        </w:rPr>
      </w:pPr>
      <w:r>
        <w:rPr>
          <w:rFonts w:hint="eastAsia" w:ascii="Songti SC" w:hAnsi="Songti SC" w:eastAsia="Songti SC" w:cs="Songti SC"/>
          <w:color w:val="000000"/>
          <w:lang w:bidi="en-US"/>
        </w:rPr>
        <w:t>信息资源共享按照业务必要、授权使用、分类分级和最小字段原则实施。人员直接身份信息、人脸特征、认证凭据、联系方式、银行敏感信息以及营养健康类字段不纳入普通共享目录；确需使用时应履行数据申请、授权审批和安全控制程序。</w:t>
      </w:r>
    </w:p>
    <w:tbl>
      <w:tblPr>
        <w:tblStyle w:val="60"/>
        <w:tblW w:w="7943" w:type="dxa"/>
        <w:tblInd w:w="103" w:type="dxa"/>
        <w:tblLayout w:type="fixed"/>
        <w:tblCellMar>
          <w:top w:w="0" w:type="dxa"/>
          <w:left w:w="108" w:type="dxa"/>
          <w:bottom w:w="0" w:type="dxa"/>
          <w:right w:w="108" w:type="dxa"/>
        </w:tblCellMar>
      </w:tblPr>
      <w:tblGrid>
        <w:gridCol w:w="1633"/>
        <w:gridCol w:w="2265"/>
        <w:gridCol w:w="1425"/>
        <w:gridCol w:w="1260"/>
        <w:gridCol w:w="1360"/>
      </w:tblGrid>
      <w:tr w14:paraId="32FA1833">
        <w:trPr>
          <w:trHeight w:val="510" w:hRule="atLeast"/>
        </w:trPr>
        <w:tc>
          <w:tcPr>
            <w:tcW w:w="1633" w:type="dxa"/>
            <w:tcBorders>
              <w:top w:val="single" w:color="auto" w:sz="4" w:space="0"/>
              <w:left w:val="single" w:color="auto" w:sz="4" w:space="0"/>
              <w:bottom w:val="single" w:color="auto" w:sz="4" w:space="0"/>
              <w:right w:val="single" w:color="auto" w:sz="4" w:space="0"/>
            </w:tcBorders>
            <w:shd w:val="clear" w:color="000000" w:fill="F2F2F2"/>
            <w:vAlign w:val="center"/>
          </w:tcPr>
          <w:p w14:paraId="100E1AE6">
            <w:pPr>
              <w:pStyle w:val="326"/>
              <w:rPr>
                <w:rFonts w:hint="eastAsia"/>
                <w:color w:val="000000"/>
              </w:rPr>
            </w:pPr>
            <w:r>
              <w:rPr>
                <w:rFonts w:hint="eastAsia" w:ascii="Songti SC" w:hAnsi="Songti SC" w:eastAsia="Songti SC" w:cs="Songti SC"/>
                <w:color w:val="000000"/>
              </w:rPr>
              <w:t>数据资源名称</w:t>
            </w:r>
          </w:p>
        </w:tc>
        <w:tc>
          <w:tcPr>
            <w:tcW w:w="2265" w:type="dxa"/>
            <w:tcBorders>
              <w:top w:val="single" w:color="auto" w:sz="4" w:space="0"/>
              <w:left w:val="single" w:color="auto" w:sz="4" w:space="0"/>
              <w:bottom w:val="single" w:color="auto" w:sz="4" w:space="0"/>
              <w:right w:val="single" w:color="auto" w:sz="4" w:space="0"/>
            </w:tcBorders>
            <w:shd w:val="clear" w:color="000000" w:fill="F2F2F2"/>
            <w:vAlign w:val="center"/>
          </w:tcPr>
          <w:p w14:paraId="082AA6C6">
            <w:pPr>
              <w:pStyle w:val="326"/>
              <w:rPr>
                <w:rFonts w:hint="eastAsia"/>
                <w:color w:val="000000"/>
              </w:rPr>
            </w:pPr>
            <w:r>
              <w:rPr>
                <w:rFonts w:hint="eastAsia" w:ascii="Songti SC" w:hAnsi="Songti SC" w:eastAsia="Songti SC" w:cs="Songti SC"/>
                <w:color w:val="000000"/>
              </w:rPr>
              <w:t>主要数据项</w:t>
            </w:r>
          </w:p>
        </w:tc>
        <w:tc>
          <w:tcPr>
            <w:tcW w:w="1425" w:type="dxa"/>
            <w:tcBorders>
              <w:top w:val="single" w:color="auto" w:sz="4" w:space="0"/>
              <w:left w:val="single" w:color="auto" w:sz="4" w:space="0"/>
              <w:bottom w:val="single" w:color="auto" w:sz="4" w:space="0"/>
              <w:right w:val="single" w:color="auto" w:sz="4" w:space="0"/>
            </w:tcBorders>
            <w:shd w:val="clear" w:color="000000" w:fill="F2F2F2"/>
            <w:vAlign w:val="center"/>
          </w:tcPr>
          <w:p w14:paraId="674CBCC3">
            <w:pPr>
              <w:pStyle w:val="326"/>
              <w:rPr>
                <w:rFonts w:hint="eastAsia"/>
                <w:color w:val="000000"/>
              </w:rPr>
            </w:pPr>
            <w:r>
              <w:rPr>
                <w:rFonts w:hint="eastAsia" w:ascii="Songti SC" w:hAnsi="Songti SC" w:eastAsia="Songti SC" w:cs="Songti SC"/>
                <w:color w:val="000000"/>
              </w:rPr>
              <w:t>共享类型</w:t>
            </w:r>
          </w:p>
        </w:tc>
        <w:tc>
          <w:tcPr>
            <w:tcW w:w="1260" w:type="dxa"/>
            <w:tcBorders>
              <w:top w:val="single" w:color="auto" w:sz="4" w:space="0"/>
              <w:left w:val="single" w:color="auto" w:sz="4" w:space="0"/>
              <w:bottom w:val="single" w:color="auto" w:sz="4" w:space="0"/>
              <w:right w:val="single" w:color="auto" w:sz="4" w:space="0"/>
            </w:tcBorders>
            <w:shd w:val="clear" w:color="000000" w:fill="F2F2F2"/>
            <w:vAlign w:val="center"/>
          </w:tcPr>
          <w:p w14:paraId="05F285F2">
            <w:pPr>
              <w:pStyle w:val="326"/>
              <w:rPr>
                <w:rFonts w:hint="eastAsia"/>
                <w:color w:val="000000"/>
              </w:rPr>
            </w:pPr>
            <w:r>
              <w:rPr>
                <w:rFonts w:hint="eastAsia" w:ascii="Songti SC" w:hAnsi="Songti SC" w:eastAsia="Songti SC" w:cs="Songti SC"/>
                <w:color w:val="000000"/>
              </w:rPr>
              <w:t>共享方式</w:t>
            </w:r>
          </w:p>
        </w:tc>
        <w:tc>
          <w:tcPr>
            <w:tcW w:w="1360" w:type="dxa"/>
            <w:tcBorders>
              <w:top w:val="single" w:color="auto" w:sz="4" w:space="0"/>
              <w:left w:val="single" w:color="auto" w:sz="4" w:space="0"/>
              <w:bottom w:val="single" w:color="auto" w:sz="4" w:space="0"/>
              <w:right w:val="single" w:color="auto" w:sz="4" w:space="0"/>
            </w:tcBorders>
            <w:shd w:val="clear" w:color="000000" w:fill="F2F2F2"/>
            <w:vAlign w:val="center"/>
          </w:tcPr>
          <w:p w14:paraId="4409471E">
            <w:pPr>
              <w:pStyle w:val="326"/>
              <w:rPr>
                <w:rFonts w:hint="eastAsia"/>
                <w:color w:val="000000"/>
              </w:rPr>
            </w:pPr>
            <w:r>
              <w:rPr>
                <w:rFonts w:hint="eastAsia" w:ascii="Songti SC" w:hAnsi="Songti SC" w:eastAsia="Songti SC" w:cs="Songti SC"/>
                <w:color w:val="000000"/>
              </w:rPr>
              <w:t>是否开放</w:t>
            </w:r>
          </w:p>
        </w:tc>
      </w:tr>
      <w:tr w14:paraId="05FF7DEC">
        <w:trPr>
          <w:trHeight w:val="560" w:hRule="atLeast"/>
        </w:trPr>
        <w:tc>
          <w:tcPr>
            <w:tcW w:w="1633" w:type="dxa"/>
            <w:vMerge w:val="restart"/>
            <w:tcBorders>
              <w:top w:val="single" w:color="auto" w:sz="4" w:space="0"/>
              <w:left w:val="single" w:color="auto" w:sz="4" w:space="0"/>
              <w:right w:val="single" w:color="auto" w:sz="4" w:space="0"/>
            </w:tcBorders>
            <w:shd w:val="clear" w:color="auto" w:fill="FFFFFF" w:themeFill="background1"/>
            <w:vAlign w:val="center"/>
          </w:tcPr>
          <w:p w14:paraId="3F7F2F40">
            <w:pPr>
              <w:pStyle w:val="182"/>
              <w:rPr>
                <w:rFonts w:hint="eastAsia"/>
                <w:color w:val="000000"/>
              </w:rPr>
            </w:pPr>
            <w:r>
              <w:rPr>
                <w:rFonts w:hint="eastAsia" w:ascii="Songti SC" w:hAnsi="Songti SC" w:eastAsia="Songti SC" w:cs="Songti SC"/>
                <w:color w:val="000000"/>
              </w:rPr>
              <w:t>人员表</w:t>
            </w:r>
          </w:p>
        </w:tc>
        <w:tc>
          <w:tcPr>
            <w:tcW w:w="2265"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0D44721C">
            <w:pPr>
              <w:pStyle w:val="182"/>
              <w:rPr>
                <w:rFonts w:hint="eastAsia"/>
                <w:color w:val="000000"/>
              </w:rPr>
            </w:pPr>
            <w:r>
              <w:rPr>
                <w:rFonts w:hint="eastAsia" w:ascii="Songti SC" w:hAnsi="Songti SC" w:eastAsia="Songti SC" w:cs="Songti SC"/>
                <w:color w:val="000000"/>
                <w:lang w:bidi="ar"/>
              </w:rPr>
              <w:t>id（自增ID）；类型：int(10)</w:t>
            </w:r>
          </w:p>
        </w:tc>
        <w:tc>
          <w:tcPr>
            <w:tcW w:w="1425"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15DA5712">
            <w:pPr>
              <w:pStyle w:val="182"/>
              <w:rPr>
                <w:rFonts w:hint="eastAsia"/>
                <w:color w:val="000000"/>
              </w:rPr>
            </w:pPr>
            <w:r>
              <w:rPr>
                <w:rFonts w:hint="eastAsia" w:ascii="Songti SC" w:hAnsi="Songti SC" w:eastAsia="Songti SC" w:cs="Songti SC"/>
                <w:color w:val="000000"/>
              </w:rPr>
              <w:t>（有条件）</w:t>
            </w:r>
          </w:p>
        </w:tc>
        <w:tc>
          <w:tcPr>
            <w:tcW w:w="1260"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744AF82C">
            <w:pPr>
              <w:pStyle w:val="182"/>
              <w:rPr>
                <w:rFonts w:hint="eastAsia"/>
                <w:color w:val="000000"/>
              </w:rPr>
            </w:pPr>
            <w:r>
              <w:rPr>
                <w:rFonts w:hint="eastAsia" w:ascii="Songti SC" w:hAnsi="Songti SC" w:eastAsia="Songti SC" w:cs="Songti SC"/>
                <w:color w:val="000000"/>
              </w:rPr>
              <w:t>（库表）</w:t>
            </w:r>
          </w:p>
        </w:tc>
        <w:tc>
          <w:tcPr>
            <w:tcW w:w="1360"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7B1F9762">
            <w:pPr>
              <w:pStyle w:val="182"/>
              <w:jc w:val="center"/>
              <w:rPr>
                <w:rFonts w:hint="eastAsia"/>
                <w:color w:val="000000"/>
              </w:rPr>
            </w:pPr>
            <w:r>
              <w:rPr>
                <w:rFonts w:hint="eastAsia" w:ascii="Songti SC" w:hAnsi="Songti SC" w:eastAsia="Songti SC" w:cs="Songti SC"/>
                <w:color w:val="000000"/>
              </w:rPr>
              <w:t>需用户确认</w:t>
            </w:r>
          </w:p>
        </w:tc>
      </w:tr>
      <w:tr w14:paraId="3E0A1EC7">
        <w:trPr>
          <w:trHeight w:val="560" w:hRule="atLeast"/>
        </w:trPr>
        <w:tc>
          <w:tcPr>
            <w:tcW w:w="1633" w:type="dxa"/>
            <w:tcBorders>
              <w:top w:val="single" w:color="auto" w:sz="4" w:space="0"/>
              <w:left w:val="single" w:color="auto" w:sz="4" w:space="0"/>
              <w:right w:val="single" w:color="auto" w:sz="4" w:space="0"/>
            </w:tcBorders>
            <w:shd w:val="clear" w:color="auto" w:fill="FFFFFF" w:themeFill="background1"/>
            <w:vAlign w:val="center"/>
          </w:tcPr>
          <w:p w14:paraId="358E68D4">
            <w:pPr>
              <w:pStyle w:val="182"/>
              <w:rPr>
                <w:rFonts w:hint="eastAsia"/>
                <w:color w:val="000000"/>
              </w:rPr>
            </w:pPr>
            <w:r>
              <w:rPr>
                <w:rFonts w:hint="eastAsia" w:ascii="Songti SC" w:hAnsi="Songti SC" w:eastAsia="Songti SC" w:cs="Songti SC"/>
                <w:color w:val="000000"/>
              </w:rPr>
              <w:t>人员表</w:t>
            </w:r>
          </w:p>
        </w:tc>
        <w:tc>
          <w:tcPr>
            <w:tcW w:w="2265"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3358594B">
            <w:pPr>
              <w:pStyle w:val="182"/>
              <w:rPr>
                <w:rFonts w:hint="eastAsia"/>
                <w:color w:val="000000"/>
              </w:rPr>
            </w:pPr>
            <w:r>
              <w:rPr>
                <w:rFonts w:hint="eastAsia" w:ascii="Songti SC" w:hAnsi="Songti SC" w:eastAsia="Songti SC" w:cs="Songti SC"/>
                <w:color w:val="000000"/>
                <w:lang w:bidi="ar"/>
              </w:rPr>
              <w:t>uuid（UUID）；类型：char(36)</w:t>
            </w:r>
          </w:p>
        </w:tc>
        <w:tc>
          <w:tcPr>
            <w:tcW w:w="1425"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5F6668A3">
            <w:pPr>
              <w:pStyle w:val="182"/>
              <w:rPr>
                <w:rFonts w:hint="eastAsia"/>
                <w:color w:val="000000"/>
              </w:rPr>
            </w:pPr>
            <w:r>
              <w:rPr>
                <w:rFonts w:hint="eastAsia" w:ascii="Songti SC" w:hAnsi="Songti SC" w:eastAsia="Songti SC" w:cs="Songti SC"/>
                <w:color w:val="000000"/>
              </w:rPr>
              <w:t>（有条件）</w:t>
            </w:r>
          </w:p>
        </w:tc>
        <w:tc>
          <w:tcPr>
            <w:tcW w:w="1260"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76C91F9C">
            <w:pPr>
              <w:pStyle w:val="182"/>
              <w:rPr>
                <w:rFonts w:hint="eastAsia"/>
                <w:color w:val="000000"/>
              </w:rPr>
            </w:pPr>
            <w:r>
              <w:rPr>
                <w:rFonts w:hint="eastAsia" w:ascii="Songti SC" w:hAnsi="Songti SC" w:eastAsia="Songti SC" w:cs="Songti SC"/>
                <w:color w:val="000000"/>
              </w:rPr>
              <w:t>（库表）</w:t>
            </w:r>
          </w:p>
        </w:tc>
        <w:tc>
          <w:tcPr>
            <w:tcW w:w="1360"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1CCEA12E">
            <w:pPr>
              <w:pStyle w:val="182"/>
              <w:jc w:val="center"/>
              <w:rPr>
                <w:rFonts w:hint="eastAsia"/>
                <w:color w:val="000000"/>
              </w:rPr>
            </w:pPr>
          </w:p>
        </w:tc>
      </w:tr>
      <w:tr w14:paraId="66078C4E">
        <w:trPr>
          <w:trHeight w:val="560" w:hRule="atLeast"/>
        </w:trPr>
        <w:tc>
          <w:tcPr>
            <w:tcW w:w="1633" w:type="dxa"/>
            <w:tcBorders>
              <w:top w:val="single" w:color="auto" w:sz="4" w:space="0"/>
              <w:left w:val="single" w:color="auto" w:sz="4" w:space="0"/>
              <w:right w:val="single" w:color="auto" w:sz="4" w:space="0"/>
            </w:tcBorders>
            <w:shd w:val="clear" w:color="auto" w:fill="FFFFFF" w:themeFill="background1"/>
            <w:vAlign w:val="center"/>
          </w:tcPr>
          <w:p w14:paraId="2B6EFBE7">
            <w:pPr>
              <w:pStyle w:val="182"/>
              <w:rPr>
                <w:rFonts w:hint="eastAsia"/>
                <w:color w:val="000000"/>
              </w:rPr>
            </w:pPr>
            <w:r>
              <w:rPr>
                <w:rFonts w:hint="eastAsia" w:ascii="Songti SC" w:hAnsi="Songti SC" w:eastAsia="Songti SC" w:cs="Songti SC"/>
                <w:color w:val="000000"/>
              </w:rPr>
              <w:t>人员表</w:t>
            </w:r>
          </w:p>
        </w:tc>
        <w:tc>
          <w:tcPr>
            <w:tcW w:w="2265"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5BC29453">
            <w:pPr>
              <w:pStyle w:val="182"/>
              <w:rPr>
                <w:rFonts w:hint="eastAsia"/>
                <w:color w:val="000000"/>
              </w:rPr>
            </w:pPr>
            <w:r>
              <w:rPr>
                <w:rFonts w:hint="eastAsia" w:ascii="Songti SC" w:hAnsi="Songti SC" w:eastAsia="Songti SC" w:cs="Songti SC"/>
                <w:color w:val="000000"/>
                <w:lang w:bidi="ar"/>
              </w:rPr>
              <w:t>create_time（创建时间）；类型：datetime</w:t>
            </w:r>
          </w:p>
        </w:tc>
        <w:tc>
          <w:tcPr>
            <w:tcW w:w="1425"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52C111F6">
            <w:pPr>
              <w:pStyle w:val="182"/>
              <w:rPr>
                <w:rFonts w:hint="eastAsia"/>
                <w:color w:val="000000"/>
              </w:rPr>
            </w:pPr>
            <w:r>
              <w:rPr>
                <w:rFonts w:hint="eastAsia" w:ascii="Songti SC" w:hAnsi="Songti SC" w:eastAsia="Songti SC" w:cs="Songti SC"/>
                <w:color w:val="000000"/>
              </w:rPr>
              <w:t>（有条件）</w:t>
            </w:r>
          </w:p>
        </w:tc>
        <w:tc>
          <w:tcPr>
            <w:tcW w:w="1260"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53DAF417">
            <w:pPr>
              <w:pStyle w:val="182"/>
              <w:rPr>
                <w:rFonts w:hint="eastAsia"/>
                <w:color w:val="000000"/>
              </w:rPr>
            </w:pPr>
            <w:r>
              <w:rPr>
                <w:rFonts w:hint="eastAsia" w:ascii="Songti SC" w:hAnsi="Songti SC" w:eastAsia="Songti SC" w:cs="Songti SC"/>
                <w:color w:val="000000"/>
              </w:rPr>
              <w:t>（库表）</w:t>
            </w:r>
          </w:p>
        </w:tc>
        <w:tc>
          <w:tcPr>
            <w:tcW w:w="1360"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11D2FB83">
            <w:pPr>
              <w:pStyle w:val="182"/>
              <w:jc w:val="center"/>
              <w:rPr>
                <w:rFonts w:hint="eastAsia"/>
                <w:color w:val="000000"/>
              </w:rPr>
            </w:pPr>
          </w:p>
        </w:tc>
      </w:tr>
      <w:tr w14:paraId="499C4EE5">
        <w:trPr>
          <w:trHeight w:val="560" w:hRule="atLeast"/>
        </w:trPr>
        <w:tc>
          <w:tcPr>
            <w:tcW w:w="1633" w:type="dxa"/>
            <w:vMerge w:val="restart"/>
            <w:tcBorders>
              <w:top w:val="single" w:color="auto" w:sz="4" w:space="0"/>
              <w:left w:val="single" w:color="auto" w:sz="4" w:space="0"/>
              <w:right w:val="single" w:color="auto" w:sz="4" w:space="0"/>
            </w:tcBorders>
            <w:shd w:val="clear" w:color="auto" w:fill="FFFFFF" w:themeFill="background1"/>
            <w:vAlign w:val="center"/>
          </w:tcPr>
          <w:p w14:paraId="4A9E839F">
            <w:pPr>
              <w:pStyle w:val="182"/>
              <w:rPr>
                <w:rFonts w:hint="eastAsia"/>
                <w:color w:val="000000"/>
              </w:rPr>
            </w:pPr>
            <w:r>
              <w:rPr>
                <w:rFonts w:hint="eastAsia" w:ascii="Songti SC" w:hAnsi="Songti SC" w:eastAsia="Songti SC" w:cs="Songti SC"/>
                <w:color w:val="000000"/>
              </w:rPr>
              <w:t>人员表</w:t>
            </w:r>
          </w:p>
        </w:tc>
        <w:tc>
          <w:tcPr>
            <w:tcW w:w="2265"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3E2C4B32">
            <w:pPr>
              <w:pStyle w:val="182"/>
              <w:rPr>
                <w:rFonts w:hint="eastAsia"/>
                <w:color w:val="000000"/>
              </w:rPr>
            </w:pPr>
            <w:r>
              <w:rPr>
                <w:rFonts w:hint="eastAsia" w:ascii="Songti SC" w:hAnsi="Songti SC" w:eastAsia="Songti SC" w:cs="Songti SC"/>
                <w:color w:val="000000"/>
                <w:lang w:bidi="ar"/>
              </w:rPr>
              <w:t>create_by（创建人）；类型：varchar(32)</w:t>
            </w:r>
          </w:p>
        </w:tc>
        <w:tc>
          <w:tcPr>
            <w:tcW w:w="1425"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444D8E3D">
            <w:pPr>
              <w:pStyle w:val="182"/>
              <w:rPr>
                <w:rFonts w:hint="eastAsia"/>
                <w:color w:val="000000"/>
              </w:rPr>
            </w:pPr>
            <w:r>
              <w:rPr>
                <w:rFonts w:hint="eastAsia" w:ascii="Songti SC" w:hAnsi="Songti SC" w:eastAsia="Songti SC" w:cs="Songti SC"/>
                <w:color w:val="000000"/>
              </w:rPr>
              <w:t>（有条件）</w:t>
            </w:r>
          </w:p>
        </w:tc>
        <w:tc>
          <w:tcPr>
            <w:tcW w:w="1260"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6E56822A">
            <w:pPr>
              <w:pStyle w:val="182"/>
              <w:rPr>
                <w:rFonts w:hint="eastAsia"/>
                <w:color w:val="000000"/>
              </w:rPr>
            </w:pPr>
            <w:r>
              <w:rPr>
                <w:rFonts w:hint="eastAsia" w:ascii="Songti SC" w:hAnsi="Songti SC" w:eastAsia="Songti SC" w:cs="Songti SC"/>
                <w:color w:val="000000"/>
              </w:rPr>
              <w:t>（库表）</w:t>
            </w:r>
          </w:p>
        </w:tc>
        <w:tc>
          <w:tcPr>
            <w:tcW w:w="1360"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07CC7475">
            <w:pPr>
              <w:pStyle w:val="182"/>
              <w:jc w:val="center"/>
              <w:rPr>
                <w:rFonts w:hint="eastAsia"/>
                <w:color w:val="000000"/>
              </w:rPr>
            </w:pPr>
          </w:p>
        </w:tc>
      </w:tr>
      <w:tr w14:paraId="2D00348B">
        <w:trPr>
          <w:trHeight w:val="560" w:hRule="atLeast"/>
        </w:trPr>
        <w:tc>
          <w:tcPr>
            <w:tcW w:w="1633" w:type="dxa"/>
            <w:vMerge w:val="restart"/>
            <w:tcBorders>
              <w:top w:val="single" w:color="auto" w:sz="4" w:space="0"/>
              <w:left w:val="single" w:color="auto" w:sz="4" w:space="0"/>
              <w:right w:val="single" w:color="auto" w:sz="4" w:space="0"/>
            </w:tcBorders>
            <w:shd w:val="clear" w:color="auto" w:fill="FFFFFF" w:themeFill="background1"/>
            <w:vAlign w:val="center"/>
          </w:tcPr>
          <w:p w14:paraId="0C8B8F58">
            <w:pPr>
              <w:pStyle w:val="182"/>
              <w:rPr>
                <w:rFonts w:hint="eastAsia"/>
                <w:color w:val="000000"/>
              </w:rPr>
            </w:pPr>
            <w:r>
              <w:rPr>
                <w:rFonts w:hint="eastAsia" w:ascii="Songti SC" w:hAnsi="Songti SC" w:eastAsia="Songti SC" w:cs="Songti SC"/>
                <w:color w:val="000000"/>
              </w:rPr>
              <w:t>人员表</w:t>
            </w:r>
          </w:p>
        </w:tc>
        <w:tc>
          <w:tcPr>
            <w:tcW w:w="2265"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6106E8E0">
            <w:pPr>
              <w:pStyle w:val="182"/>
              <w:rPr>
                <w:rFonts w:hint="eastAsia"/>
                <w:color w:val="000000"/>
              </w:rPr>
            </w:pPr>
            <w:r>
              <w:rPr>
                <w:rFonts w:hint="eastAsia" w:ascii="Songti SC" w:hAnsi="Songti SC" w:eastAsia="Songti SC" w:cs="Songti SC"/>
                <w:color w:val="000000"/>
                <w:lang w:bidi="ar"/>
              </w:rPr>
              <w:t>personnel_umber（人员编号）；类型：varchar(8)</w:t>
            </w:r>
          </w:p>
        </w:tc>
        <w:tc>
          <w:tcPr>
            <w:tcW w:w="1425"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6120C545">
            <w:pPr>
              <w:pStyle w:val="182"/>
              <w:rPr>
                <w:rFonts w:hint="eastAsia"/>
                <w:color w:val="000000"/>
              </w:rPr>
            </w:pPr>
            <w:r>
              <w:rPr>
                <w:rFonts w:hint="eastAsia" w:ascii="Songti SC" w:hAnsi="Songti SC" w:eastAsia="Songti SC" w:cs="Songti SC"/>
                <w:color w:val="000000"/>
              </w:rPr>
              <w:t>（有条件）</w:t>
            </w:r>
          </w:p>
        </w:tc>
        <w:tc>
          <w:tcPr>
            <w:tcW w:w="1260"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413CD77C">
            <w:pPr>
              <w:pStyle w:val="182"/>
              <w:rPr>
                <w:rFonts w:hint="eastAsia"/>
                <w:color w:val="000000"/>
              </w:rPr>
            </w:pPr>
            <w:r>
              <w:rPr>
                <w:rFonts w:hint="eastAsia" w:ascii="Songti SC" w:hAnsi="Songti SC" w:eastAsia="Songti SC" w:cs="Songti SC"/>
                <w:color w:val="000000"/>
              </w:rPr>
              <w:t>（库表）</w:t>
            </w:r>
          </w:p>
        </w:tc>
        <w:tc>
          <w:tcPr>
            <w:tcW w:w="1360"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56238DB5">
            <w:pPr>
              <w:pStyle w:val="182"/>
              <w:jc w:val="center"/>
              <w:rPr>
                <w:rFonts w:hint="eastAsia"/>
                <w:color w:val="000000"/>
              </w:rPr>
            </w:pPr>
          </w:p>
        </w:tc>
      </w:tr>
      <w:tr w14:paraId="26534D63">
        <w:trPr>
          <w:trHeight w:val="560" w:hRule="atLeast"/>
        </w:trPr>
        <w:tc>
          <w:tcPr>
            <w:tcW w:w="1633" w:type="dxa"/>
            <w:vMerge w:val="restart"/>
            <w:tcBorders>
              <w:top w:val="single" w:color="auto" w:sz="4" w:space="0"/>
              <w:left w:val="single" w:color="auto" w:sz="4" w:space="0"/>
              <w:right w:val="single" w:color="auto" w:sz="4" w:space="0"/>
            </w:tcBorders>
            <w:shd w:val="clear" w:color="auto" w:fill="FFFFFF" w:themeFill="background1"/>
            <w:vAlign w:val="center"/>
          </w:tcPr>
          <w:p w14:paraId="7BEC7F86">
            <w:pPr>
              <w:pStyle w:val="182"/>
              <w:rPr>
                <w:rFonts w:hint="eastAsia"/>
                <w:color w:val="000000"/>
              </w:rPr>
            </w:pPr>
            <w:r>
              <w:rPr>
                <w:rFonts w:hint="eastAsia" w:ascii="Songti SC" w:hAnsi="Songti SC" w:eastAsia="Songti SC" w:cs="Songti SC"/>
                <w:color w:val="000000"/>
              </w:rPr>
              <w:t>人员表</w:t>
            </w:r>
          </w:p>
        </w:tc>
        <w:tc>
          <w:tcPr>
            <w:tcW w:w="2265"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3AE53F60">
            <w:pPr>
              <w:pStyle w:val="182"/>
              <w:rPr>
                <w:rFonts w:hint="eastAsia"/>
                <w:color w:val="000000"/>
              </w:rPr>
            </w:pPr>
            <w:r>
              <w:rPr>
                <w:rFonts w:hint="eastAsia" w:ascii="Songti SC" w:hAnsi="Songti SC" w:eastAsia="Songti SC" w:cs="Songti SC"/>
                <w:color w:val="000000"/>
                <w:lang w:bidi="ar"/>
              </w:rPr>
              <w:t>is_show（状态）；类型：tinyint(1)</w:t>
            </w:r>
          </w:p>
        </w:tc>
        <w:tc>
          <w:tcPr>
            <w:tcW w:w="1425"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07BD1DEB">
            <w:pPr>
              <w:pStyle w:val="182"/>
              <w:rPr>
                <w:rFonts w:hint="eastAsia"/>
                <w:color w:val="000000"/>
              </w:rPr>
            </w:pPr>
            <w:r>
              <w:rPr>
                <w:rFonts w:hint="eastAsia" w:ascii="Songti SC" w:hAnsi="Songti SC" w:eastAsia="Songti SC" w:cs="Songti SC"/>
                <w:color w:val="000000"/>
              </w:rPr>
              <w:t>（有条件）</w:t>
            </w:r>
          </w:p>
        </w:tc>
        <w:tc>
          <w:tcPr>
            <w:tcW w:w="1260"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7D318441">
            <w:pPr>
              <w:pStyle w:val="182"/>
              <w:rPr>
                <w:rFonts w:hint="eastAsia"/>
                <w:color w:val="000000"/>
              </w:rPr>
            </w:pPr>
            <w:r>
              <w:rPr>
                <w:rFonts w:hint="eastAsia" w:ascii="Songti SC" w:hAnsi="Songti SC" w:eastAsia="Songti SC" w:cs="Songti SC"/>
                <w:color w:val="000000"/>
              </w:rPr>
              <w:t>（库表）</w:t>
            </w:r>
          </w:p>
        </w:tc>
        <w:tc>
          <w:tcPr>
            <w:tcW w:w="1360"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6FABA12E">
            <w:pPr>
              <w:pStyle w:val="182"/>
              <w:jc w:val="center"/>
              <w:rPr>
                <w:rFonts w:hint="eastAsia"/>
                <w:color w:val="000000"/>
              </w:rPr>
            </w:pPr>
          </w:p>
        </w:tc>
      </w:tr>
      <w:tr w14:paraId="0C4850B0">
        <w:trPr>
          <w:trHeight w:val="560" w:hRule="atLeast"/>
        </w:trPr>
        <w:tc>
          <w:tcPr>
            <w:tcW w:w="1633" w:type="dxa"/>
            <w:vMerge w:val="restart"/>
            <w:tcBorders>
              <w:top w:val="single" w:color="auto" w:sz="4" w:space="0"/>
              <w:left w:val="single" w:color="auto" w:sz="4" w:space="0"/>
              <w:right w:val="single" w:color="auto" w:sz="4" w:space="0"/>
            </w:tcBorders>
            <w:shd w:val="clear" w:color="auto" w:fill="FFFFFF" w:themeFill="background1"/>
            <w:vAlign w:val="center"/>
          </w:tcPr>
          <w:p w14:paraId="64CC8330">
            <w:pPr>
              <w:pStyle w:val="182"/>
              <w:rPr>
                <w:rFonts w:hint="eastAsia"/>
                <w:color w:val="000000"/>
              </w:rPr>
            </w:pPr>
            <w:r>
              <w:rPr>
                <w:rFonts w:hint="eastAsia" w:ascii="Songti SC" w:hAnsi="Songti SC" w:eastAsia="Songti SC" w:cs="Songti SC"/>
                <w:color w:val="000000"/>
              </w:rPr>
              <w:t>人员表</w:t>
            </w:r>
          </w:p>
        </w:tc>
        <w:tc>
          <w:tcPr>
            <w:tcW w:w="2265"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14D1B96F">
            <w:pPr>
              <w:pStyle w:val="182"/>
              <w:rPr>
                <w:rFonts w:hint="eastAsia"/>
                <w:color w:val="000000"/>
              </w:rPr>
            </w:pPr>
            <w:r>
              <w:rPr>
                <w:rFonts w:hint="eastAsia" w:ascii="Songti SC" w:hAnsi="Songti SC" w:eastAsia="Songti SC" w:cs="Songti SC"/>
                <w:color w:val="000000"/>
                <w:lang w:bidi="ar"/>
              </w:rPr>
              <w:t>status（人员状态）；类型：tinyint(1)</w:t>
            </w:r>
          </w:p>
        </w:tc>
        <w:tc>
          <w:tcPr>
            <w:tcW w:w="1425"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4CC38781">
            <w:pPr>
              <w:pStyle w:val="182"/>
              <w:rPr>
                <w:rFonts w:hint="eastAsia"/>
                <w:color w:val="000000"/>
              </w:rPr>
            </w:pPr>
            <w:r>
              <w:rPr>
                <w:rFonts w:hint="eastAsia" w:ascii="Songti SC" w:hAnsi="Songti SC" w:eastAsia="Songti SC" w:cs="Songti SC"/>
                <w:color w:val="000000"/>
              </w:rPr>
              <w:t>（有条件）</w:t>
            </w:r>
          </w:p>
        </w:tc>
        <w:tc>
          <w:tcPr>
            <w:tcW w:w="1260"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043231D7">
            <w:pPr>
              <w:pStyle w:val="182"/>
              <w:rPr>
                <w:rFonts w:hint="eastAsia"/>
                <w:color w:val="000000"/>
              </w:rPr>
            </w:pPr>
            <w:r>
              <w:rPr>
                <w:rFonts w:hint="eastAsia" w:ascii="Songti SC" w:hAnsi="Songti SC" w:eastAsia="Songti SC" w:cs="Songti SC"/>
                <w:color w:val="000000"/>
              </w:rPr>
              <w:t>（库表）</w:t>
            </w:r>
          </w:p>
        </w:tc>
        <w:tc>
          <w:tcPr>
            <w:tcW w:w="1360"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14AEADA5">
            <w:pPr>
              <w:pStyle w:val="182"/>
              <w:jc w:val="center"/>
              <w:rPr>
                <w:rFonts w:hint="eastAsia"/>
                <w:color w:val="000000"/>
              </w:rPr>
            </w:pPr>
          </w:p>
        </w:tc>
      </w:tr>
      <w:tr w14:paraId="3E1117BF">
        <w:trPr>
          <w:trHeight w:val="560" w:hRule="atLeast"/>
        </w:trPr>
        <w:tc>
          <w:tcPr>
            <w:tcW w:w="1633" w:type="dxa"/>
            <w:vMerge w:val="restart"/>
            <w:tcBorders>
              <w:top w:val="single" w:color="auto" w:sz="4" w:space="0"/>
              <w:left w:val="single" w:color="auto" w:sz="4" w:space="0"/>
              <w:right w:val="single" w:color="auto" w:sz="4" w:space="0"/>
            </w:tcBorders>
            <w:shd w:val="clear" w:color="auto" w:fill="FFFFFF" w:themeFill="background1"/>
            <w:vAlign w:val="center"/>
          </w:tcPr>
          <w:p w14:paraId="4D4C16D3">
            <w:pPr>
              <w:pStyle w:val="182"/>
              <w:rPr>
                <w:rFonts w:hint="eastAsia"/>
                <w:color w:val="000000"/>
              </w:rPr>
            </w:pPr>
            <w:r>
              <w:rPr>
                <w:rFonts w:hint="eastAsia" w:ascii="Songti SC" w:hAnsi="Songti SC" w:eastAsia="Songti SC" w:cs="Songti SC"/>
                <w:color w:val="000000"/>
              </w:rPr>
              <w:t>人员表</w:t>
            </w:r>
          </w:p>
        </w:tc>
        <w:tc>
          <w:tcPr>
            <w:tcW w:w="2265"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7B1480E7">
            <w:pPr>
              <w:pStyle w:val="182"/>
              <w:rPr>
                <w:rFonts w:hint="eastAsia"/>
                <w:color w:val="000000"/>
              </w:rPr>
            </w:pPr>
            <w:r>
              <w:rPr>
                <w:rFonts w:hint="eastAsia" w:ascii="Songti SC" w:hAnsi="Songti SC" w:eastAsia="Songti SC" w:cs="Songti SC"/>
                <w:color w:val="000000"/>
                <w:lang w:bidi="ar"/>
              </w:rPr>
              <w:t>update_time（更新时间）；类型：datetime</w:t>
            </w:r>
          </w:p>
        </w:tc>
        <w:tc>
          <w:tcPr>
            <w:tcW w:w="1425"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5CA21F78">
            <w:pPr>
              <w:pStyle w:val="182"/>
              <w:rPr>
                <w:rFonts w:hint="eastAsia"/>
                <w:color w:val="000000"/>
              </w:rPr>
            </w:pPr>
            <w:r>
              <w:rPr>
                <w:rFonts w:hint="eastAsia" w:ascii="Songti SC" w:hAnsi="Songti SC" w:eastAsia="Songti SC" w:cs="Songti SC"/>
                <w:color w:val="000000"/>
              </w:rPr>
              <w:t>（有条件）</w:t>
            </w:r>
          </w:p>
        </w:tc>
        <w:tc>
          <w:tcPr>
            <w:tcW w:w="1260"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529E1AAE">
            <w:pPr>
              <w:pStyle w:val="182"/>
              <w:rPr>
                <w:rFonts w:hint="eastAsia"/>
                <w:color w:val="000000"/>
              </w:rPr>
            </w:pPr>
            <w:r>
              <w:rPr>
                <w:rFonts w:hint="eastAsia" w:ascii="Songti SC" w:hAnsi="Songti SC" w:eastAsia="Songti SC" w:cs="Songti SC"/>
                <w:color w:val="000000"/>
              </w:rPr>
              <w:t>（库表）</w:t>
            </w:r>
          </w:p>
        </w:tc>
        <w:tc>
          <w:tcPr>
            <w:tcW w:w="1360"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1672681F">
            <w:pPr>
              <w:pStyle w:val="182"/>
              <w:jc w:val="center"/>
              <w:rPr>
                <w:rFonts w:hint="eastAsia"/>
                <w:color w:val="000000"/>
              </w:rPr>
            </w:pPr>
          </w:p>
        </w:tc>
      </w:tr>
      <w:tr w14:paraId="128FB82C">
        <w:trPr>
          <w:trHeight w:val="560" w:hRule="atLeast"/>
        </w:trPr>
        <w:tc>
          <w:tcPr>
            <w:tcW w:w="1633" w:type="dxa"/>
            <w:vMerge w:val="restart"/>
            <w:tcBorders>
              <w:top w:val="single" w:color="auto" w:sz="4" w:space="0"/>
              <w:left w:val="single" w:color="auto" w:sz="4" w:space="0"/>
              <w:right w:val="single" w:color="auto" w:sz="4" w:space="0"/>
            </w:tcBorders>
            <w:shd w:val="clear" w:color="auto" w:fill="FFFFFF" w:themeFill="background1"/>
            <w:vAlign w:val="center"/>
          </w:tcPr>
          <w:p w14:paraId="30C8D3DA">
            <w:pPr>
              <w:pStyle w:val="182"/>
              <w:rPr>
                <w:rFonts w:hint="eastAsia"/>
                <w:color w:val="000000"/>
              </w:rPr>
            </w:pPr>
            <w:r>
              <w:rPr>
                <w:rFonts w:hint="eastAsia" w:ascii="Songti SC" w:hAnsi="Songti SC" w:eastAsia="Songti SC" w:cs="Songti SC"/>
                <w:color w:val="000000"/>
              </w:rPr>
              <w:t>人员表</w:t>
            </w:r>
          </w:p>
        </w:tc>
        <w:tc>
          <w:tcPr>
            <w:tcW w:w="2265"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23742764">
            <w:pPr>
              <w:pStyle w:val="182"/>
              <w:rPr>
                <w:rFonts w:hint="eastAsia"/>
                <w:color w:val="000000"/>
              </w:rPr>
            </w:pPr>
            <w:r>
              <w:rPr>
                <w:rFonts w:hint="eastAsia" w:ascii="Songti SC" w:hAnsi="Songti SC" w:eastAsia="Songti SC" w:cs="Songti SC"/>
                <w:color w:val="000000"/>
                <w:lang w:bidi="ar"/>
              </w:rPr>
              <w:t>version（数据变更标识）；类型：int(11)</w:t>
            </w:r>
          </w:p>
        </w:tc>
        <w:tc>
          <w:tcPr>
            <w:tcW w:w="1425"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3A17EEF6">
            <w:pPr>
              <w:pStyle w:val="182"/>
              <w:rPr>
                <w:rFonts w:hint="eastAsia"/>
                <w:color w:val="000000"/>
              </w:rPr>
            </w:pPr>
            <w:r>
              <w:rPr>
                <w:rFonts w:hint="eastAsia" w:ascii="Songti SC" w:hAnsi="Songti SC" w:eastAsia="Songti SC" w:cs="Songti SC"/>
                <w:color w:val="000000"/>
              </w:rPr>
              <w:t>（有条件）</w:t>
            </w:r>
          </w:p>
        </w:tc>
        <w:tc>
          <w:tcPr>
            <w:tcW w:w="1260"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43371FB8">
            <w:pPr>
              <w:pStyle w:val="182"/>
              <w:rPr>
                <w:rFonts w:hint="eastAsia"/>
                <w:color w:val="000000"/>
              </w:rPr>
            </w:pPr>
            <w:r>
              <w:rPr>
                <w:rFonts w:hint="eastAsia" w:ascii="Songti SC" w:hAnsi="Songti SC" w:eastAsia="Songti SC" w:cs="Songti SC"/>
                <w:color w:val="000000"/>
              </w:rPr>
              <w:t>（库表）</w:t>
            </w:r>
          </w:p>
        </w:tc>
        <w:tc>
          <w:tcPr>
            <w:tcW w:w="1360"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34C8B335">
            <w:pPr>
              <w:pStyle w:val="182"/>
              <w:jc w:val="center"/>
              <w:rPr>
                <w:rFonts w:hint="eastAsia"/>
                <w:color w:val="000000"/>
              </w:rPr>
            </w:pPr>
          </w:p>
        </w:tc>
      </w:tr>
      <w:tr w14:paraId="42FE5726">
        <w:trPr>
          <w:trHeight w:val="560" w:hRule="atLeast"/>
        </w:trPr>
        <w:tc>
          <w:tcPr>
            <w:tcW w:w="1633" w:type="dxa"/>
            <w:vMerge w:val="restart"/>
            <w:tcBorders>
              <w:top w:val="single" w:color="auto" w:sz="4" w:space="0"/>
              <w:left w:val="single" w:color="auto" w:sz="4" w:space="0"/>
              <w:right w:val="single" w:color="auto" w:sz="4" w:space="0"/>
            </w:tcBorders>
            <w:shd w:val="clear" w:color="auto" w:fill="FFFFFF" w:themeFill="background1"/>
            <w:vAlign w:val="center"/>
          </w:tcPr>
          <w:p w14:paraId="2E992124">
            <w:pPr>
              <w:pStyle w:val="182"/>
              <w:rPr>
                <w:rFonts w:hint="eastAsia"/>
                <w:color w:val="000000"/>
              </w:rPr>
            </w:pPr>
            <w:r>
              <w:rPr>
                <w:rFonts w:hint="eastAsia" w:ascii="Songti SC" w:hAnsi="Songti SC" w:eastAsia="Songti SC" w:cs="Songti SC"/>
                <w:color w:val="000000"/>
              </w:rPr>
              <w:t>菜品表</w:t>
            </w:r>
          </w:p>
        </w:tc>
        <w:tc>
          <w:tcPr>
            <w:tcW w:w="2265"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43991B8C">
            <w:pPr>
              <w:pStyle w:val="182"/>
              <w:rPr>
                <w:rFonts w:hint="eastAsia"/>
                <w:color w:val="000000"/>
              </w:rPr>
            </w:pPr>
            <w:r>
              <w:rPr>
                <w:rFonts w:hint="eastAsia" w:ascii="Songti SC" w:hAnsi="Songti SC" w:eastAsia="Songti SC" w:cs="Songti SC"/>
                <w:color w:val="000000"/>
                <w:lang w:bidi="ar"/>
              </w:rPr>
              <w:t>id（自增ID）；类型：int(11)</w:t>
            </w:r>
          </w:p>
        </w:tc>
        <w:tc>
          <w:tcPr>
            <w:tcW w:w="1425"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63C2AFE9">
            <w:pPr>
              <w:pStyle w:val="182"/>
              <w:rPr>
                <w:rFonts w:hint="eastAsia"/>
                <w:color w:val="000000"/>
              </w:rPr>
            </w:pPr>
            <w:r>
              <w:rPr>
                <w:rFonts w:hint="eastAsia" w:ascii="Songti SC" w:hAnsi="Songti SC" w:eastAsia="Songti SC" w:cs="Songti SC"/>
                <w:color w:val="000000"/>
              </w:rPr>
              <w:t>（有条件）</w:t>
            </w:r>
          </w:p>
        </w:tc>
        <w:tc>
          <w:tcPr>
            <w:tcW w:w="1260"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3EE3669F">
            <w:pPr>
              <w:pStyle w:val="182"/>
              <w:rPr>
                <w:rFonts w:hint="eastAsia"/>
                <w:color w:val="000000"/>
              </w:rPr>
            </w:pPr>
            <w:r>
              <w:rPr>
                <w:rFonts w:hint="eastAsia" w:ascii="Songti SC" w:hAnsi="Songti SC" w:eastAsia="Songti SC" w:cs="Songti SC"/>
                <w:color w:val="000000"/>
              </w:rPr>
              <w:t>（库表）</w:t>
            </w:r>
          </w:p>
        </w:tc>
        <w:tc>
          <w:tcPr>
            <w:tcW w:w="1360"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34E4A799">
            <w:pPr>
              <w:pStyle w:val="182"/>
              <w:jc w:val="center"/>
              <w:rPr>
                <w:rFonts w:hint="eastAsia"/>
                <w:color w:val="000000"/>
              </w:rPr>
            </w:pPr>
          </w:p>
        </w:tc>
      </w:tr>
      <w:tr w14:paraId="743EBC91">
        <w:trPr>
          <w:trHeight w:val="560" w:hRule="atLeast"/>
        </w:trPr>
        <w:tc>
          <w:tcPr>
            <w:tcW w:w="1633" w:type="dxa"/>
            <w:vMerge w:val="restart"/>
            <w:tcBorders>
              <w:top w:val="single" w:color="auto" w:sz="4" w:space="0"/>
              <w:left w:val="single" w:color="auto" w:sz="4" w:space="0"/>
              <w:right w:val="single" w:color="auto" w:sz="4" w:space="0"/>
            </w:tcBorders>
            <w:shd w:val="clear" w:color="auto" w:fill="FFFFFF" w:themeFill="background1"/>
            <w:vAlign w:val="center"/>
          </w:tcPr>
          <w:p w14:paraId="326219FB">
            <w:pPr>
              <w:pStyle w:val="182"/>
              <w:rPr>
                <w:rFonts w:hint="eastAsia"/>
                <w:color w:val="000000"/>
              </w:rPr>
            </w:pPr>
            <w:r>
              <w:rPr>
                <w:rFonts w:hint="eastAsia" w:ascii="Songti SC" w:hAnsi="Songti SC" w:eastAsia="Songti SC" w:cs="Songti SC"/>
                <w:color w:val="000000"/>
              </w:rPr>
              <w:t>菜品表</w:t>
            </w:r>
          </w:p>
        </w:tc>
        <w:tc>
          <w:tcPr>
            <w:tcW w:w="2265"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788B8F77">
            <w:pPr>
              <w:pStyle w:val="182"/>
              <w:rPr>
                <w:rFonts w:hint="eastAsia"/>
                <w:color w:val="000000"/>
              </w:rPr>
            </w:pPr>
            <w:r>
              <w:rPr>
                <w:rFonts w:hint="eastAsia" w:ascii="Songti SC" w:hAnsi="Songti SC" w:eastAsia="Songti SC" w:cs="Songti SC"/>
                <w:color w:val="000000"/>
                <w:lang w:bidi="ar"/>
              </w:rPr>
              <w:t>name（菜品名称）；类型：varchar(64)</w:t>
            </w:r>
          </w:p>
        </w:tc>
        <w:tc>
          <w:tcPr>
            <w:tcW w:w="1425"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1D0BCDE8">
            <w:pPr>
              <w:pStyle w:val="182"/>
              <w:rPr>
                <w:rFonts w:hint="eastAsia"/>
                <w:color w:val="000000"/>
              </w:rPr>
            </w:pPr>
            <w:r>
              <w:rPr>
                <w:rFonts w:hint="eastAsia" w:ascii="Songti SC" w:hAnsi="Songti SC" w:eastAsia="Songti SC" w:cs="Songti SC"/>
                <w:color w:val="000000"/>
              </w:rPr>
              <w:t>（有条件）</w:t>
            </w:r>
          </w:p>
        </w:tc>
        <w:tc>
          <w:tcPr>
            <w:tcW w:w="1260"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68E6F28E">
            <w:pPr>
              <w:pStyle w:val="182"/>
              <w:rPr>
                <w:rFonts w:hint="eastAsia"/>
                <w:color w:val="000000"/>
              </w:rPr>
            </w:pPr>
            <w:r>
              <w:rPr>
                <w:rFonts w:hint="eastAsia" w:ascii="Songti SC" w:hAnsi="Songti SC" w:eastAsia="Songti SC" w:cs="Songti SC"/>
                <w:color w:val="000000"/>
              </w:rPr>
              <w:t>（库表）</w:t>
            </w:r>
          </w:p>
        </w:tc>
        <w:tc>
          <w:tcPr>
            <w:tcW w:w="1360"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7EF4110B">
            <w:pPr>
              <w:pStyle w:val="182"/>
              <w:jc w:val="center"/>
              <w:rPr>
                <w:rFonts w:hint="eastAsia"/>
                <w:color w:val="000000"/>
              </w:rPr>
            </w:pPr>
          </w:p>
        </w:tc>
      </w:tr>
      <w:tr w14:paraId="0B9A83DC">
        <w:trPr>
          <w:trHeight w:val="560" w:hRule="atLeast"/>
        </w:trPr>
        <w:tc>
          <w:tcPr>
            <w:tcW w:w="1633" w:type="dxa"/>
            <w:vMerge w:val="restart"/>
            <w:tcBorders>
              <w:top w:val="single" w:color="auto" w:sz="4" w:space="0"/>
              <w:left w:val="single" w:color="auto" w:sz="4" w:space="0"/>
              <w:right w:val="single" w:color="auto" w:sz="4" w:space="0"/>
            </w:tcBorders>
            <w:shd w:val="clear" w:color="auto" w:fill="FFFFFF" w:themeFill="background1"/>
            <w:vAlign w:val="center"/>
          </w:tcPr>
          <w:p w14:paraId="25D50455">
            <w:pPr>
              <w:pStyle w:val="182"/>
              <w:rPr>
                <w:rFonts w:hint="eastAsia"/>
                <w:color w:val="000000"/>
              </w:rPr>
            </w:pPr>
            <w:r>
              <w:rPr>
                <w:rFonts w:hint="eastAsia" w:ascii="Songti SC" w:hAnsi="Songti SC" w:eastAsia="Songti SC" w:cs="Songti SC"/>
                <w:color w:val="000000"/>
              </w:rPr>
              <w:t>菜品表</w:t>
            </w:r>
          </w:p>
        </w:tc>
        <w:tc>
          <w:tcPr>
            <w:tcW w:w="2265"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7813FBE1">
            <w:pPr>
              <w:pStyle w:val="182"/>
              <w:rPr>
                <w:rFonts w:hint="eastAsia"/>
                <w:color w:val="000000"/>
              </w:rPr>
            </w:pPr>
            <w:r>
              <w:rPr>
                <w:rFonts w:hint="eastAsia" w:ascii="Songti SC" w:hAnsi="Songti SC" w:eastAsia="Songti SC" w:cs="Songti SC"/>
                <w:color w:val="000000"/>
                <w:lang w:bidi="ar"/>
              </w:rPr>
              <w:t>uuid（UUID）；类型：char(36)</w:t>
            </w:r>
          </w:p>
        </w:tc>
        <w:tc>
          <w:tcPr>
            <w:tcW w:w="1425"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31B2E020">
            <w:pPr>
              <w:pStyle w:val="182"/>
              <w:rPr>
                <w:rFonts w:hint="eastAsia"/>
                <w:color w:val="000000"/>
              </w:rPr>
            </w:pPr>
            <w:r>
              <w:rPr>
                <w:rFonts w:hint="eastAsia" w:ascii="Songti SC" w:hAnsi="Songti SC" w:eastAsia="Songti SC" w:cs="Songti SC"/>
                <w:color w:val="000000"/>
              </w:rPr>
              <w:t>（有条件）</w:t>
            </w:r>
          </w:p>
        </w:tc>
        <w:tc>
          <w:tcPr>
            <w:tcW w:w="1260"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364CE8FE">
            <w:pPr>
              <w:pStyle w:val="182"/>
              <w:rPr>
                <w:rFonts w:hint="eastAsia"/>
                <w:color w:val="000000"/>
              </w:rPr>
            </w:pPr>
            <w:r>
              <w:rPr>
                <w:rFonts w:hint="eastAsia" w:ascii="Songti SC" w:hAnsi="Songti SC" w:eastAsia="Songti SC" w:cs="Songti SC"/>
                <w:color w:val="000000"/>
              </w:rPr>
              <w:t>（库表）</w:t>
            </w:r>
          </w:p>
        </w:tc>
        <w:tc>
          <w:tcPr>
            <w:tcW w:w="1360"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3F93290C">
            <w:pPr>
              <w:pStyle w:val="182"/>
              <w:jc w:val="center"/>
              <w:rPr>
                <w:rFonts w:hint="eastAsia"/>
                <w:color w:val="000000"/>
              </w:rPr>
            </w:pPr>
          </w:p>
        </w:tc>
      </w:tr>
      <w:tr w14:paraId="36918117">
        <w:trPr>
          <w:trHeight w:val="560" w:hRule="atLeast"/>
        </w:trPr>
        <w:tc>
          <w:tcPr>
            <w:tcW w:w="1633" w:type="dxa"/>
            <w:vMerge w:val="restart"/>
            <w:tcBorders>
              <w:top w:val="single" w:color="auto" w:sz="4" w:space="0"/>
              <w:left w:val="single" w:color="auto" w:sz="4" w:space="0"/>
              <w:right w:val="single" w:color="auto" w:sz="4" w:space="0"/>
            </w:tcBorders>
            <w:shd w:val="clear" w:color="auto" w:fill="FFFFFF" w:themeFill="background1"/>
            <w:vAlign w:val="center"/>
          </w:tcPr>
          <w:p w14:paraId="41C141E0">
            <w:pPr>
              <w:pStyle w:val="182"/>
              <w:rPr>
                <w:rFonts w:hint="eastAsia"/>
                <w:color w:val="000000"/>
              </w:rPr>
            </w:pPr>
            <w:r>
              <w:rPr>
                <w:rFonts w:hint="eastAsia" w:ascii="Songti SC" w:hAnsi="Songti SC" w:eastAsia="Songti SC" w:cs="Songti SC"/>
                <w:color w:val="000000"/>
              </w:rPr>
              <w:t>菜品表</w:t>
            </w:r>
          </w:p>
        </w:tc>
        <w:tc>
          <w:tcPr>
            <w:tcW w:w="2265"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2E08F5A2">
            <w:pPr>
              <w:pStyle w:val="182"/>
              <w:rPr>
                <w:rFonts w:hint="eastAsia"/>
                <w:color w:val="000000"/>
              </w:rPr>
            </w:pPr>
            <w:r>
              <w:rPr>
                <w:rFonts w:hint="eastAsia" w:ascii="Songti SC" w:hAnsi="Songti SC" w:eastAsia="Songti SC" w:cs="Songti SC"/>
                <w:color w:val="000000"/>
                <w:lang w:bidi="ar"/>
              </w:rPr>
              <w:t>category_one（菜品一级分类）；类型：int(11)</w:t>
            </w:r>
          </w:p>
        </w:tc>
        <w:tc>
          <w:tcPr>
            <w:tcW w:w="1425"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28C417BA">
            <w:pPr>
              <w:pStyle w:val="182"/>
              <w:rPr>
                <w:rFonts w:hint="eastAsia"/>
                <w:color w:val="000000"/>
              </w:rPr>
            </w:pPr>
            <w:r>
              <w:rPr>
                <w:rFonts w:hint="eastAsia" w:ascii="Songti SC" w:hAnsi="Songti SC" w:eastAsia="Songti SC" w:cs="Songti SC"/>
                <w:color w:val="000000"/>
              </w:rPr>
              <w:t>（有条件）</w:t>
            </w:r>
          </w:p>
        </w:tc>
        <w:tc>
          <w:tcPr>
            <w:tcW w:w="1260"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05CF062D">
            <w:pPr>
              <w:pStyle w:val="182"/>
              <w:rPr>
                <w:rFonts w:hint="eastAsia"/>
                <w:color w:val="000000"/>
              </w:rPr>
            </w:pPr>
            <w:r>
              <w:rPr>
                <w:rFonts w:hint="eastAsia" w:ascii="Songti SC" w:hAnsi="Songti SC" w:eastAsia="Songti SC" w:cs="Songti SC"/>
                <w:color w:val="000000"/>
              </w:rPr>
              <w:t>（库表）</w:t>
            </w:r>
          </w:p>
        </w:tc>
        <w:tc>
          <w:tcPr>
            <w:tcW w:w="1360"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722CAA63">
            <w:pPr>
              <w:pStyle w:val="182"/>
              <w:jc w:val="center"/>
              <w:rPr>
                <w:rFonts w:hint="eastAsia"/>
                <w:color w:val="000000"/>
              </w:rPr>
            </w:pPr>
          </w:p>
        </w:tc>
      </w:tr>
      <w:tr w14:paraId="5173E7DA">
        <w:trPr>
          <w:trHeight w:val="560" w:hRule="atLeast"/>
        </w:trPr>
        <w:tc>
          <w:tcPr>
            <w:tcW w:w="1633" w:type="dxa"/>
            <w:vMerge w:val="restart"/>
            <w:tcBorders>
              <w:top w:val="single" w:color="auto" w:sz="4" w:space="0"/>
              <w:left w:val="single" w:color="auto" w:sz="4" w:space="0"/>
              <w:right w:val="single" w:color="auto" w:sz="4" w:space="0"/>
            </w:tcBorders>
            <w:shd w:val="clear" w:color="auto" w:fill="FFFFFF" w:themeFill="background1"/>
            <w:vAlign w:val="center"/>
          </w:tcPr>
          <w:p w14:paraId="07122334">
            <w:pPr>
              <w:pStyle w:val="182"/>
              <w:rPr>
                <w:rFonts w:hint="eastAsia"/>
                <w:color w:val="000000"/>
              </w:rPr>
            </w:pPr>
            <w:r>
              <w:rPr>
                <w:rFonts w:hint="eastAsia" w:ascii="Songti SC" w:hAnsi="Songti SC" w:eastAsia="Songti SC" w:cs="Songti SC"/>
                <w:color w:val="000000"/>
              </w:rPr>
              <w:t>菜品表</w:t>
            </w:r>
          </w:p>
        </w:tc>
        <w:tc>
          <w:tcPr>
            <w:tcW w:w="2265"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5DDD3F2E">
            <w:pPr>
              <w:pStyle w:val="182"/>
              <w:rPr>
                <w:rFonts w:hint="eastAsia"/>
                <w:color w:val="000000"/>
              </w:rPr>
            </w:pPr>
            <w:r>
              <w:rPr>
                <w:rFonts w:hint="eastAsia" w:ascii="Songti SC" w:hAnsi="Songti SC" w:eastAsia="Songti SC" w:cs="Songti SC"/>
                <w:color w:val="000000"/>
                <w:lang w:bidi="ar"/>
              </w:rPr>
              <w:t>category_two（菜品细分类）；类型：int(11)</w:t>
            </w:r>
          </w:p>
        </w:tc>
        <w:tc>
          <w:tcPr>
            <w:tcW w:w="1425"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0BCDB7E2">
            <w:pPr>
              <w:pStyle w:val="182"/>
              <w:rPr>
                <w:rFonts w:hint="eastAsia"/>
                <w:color w:val="000000"/>
              </w:rPr>
            </w:pPr>
            <w:r>
              <w:rPr>
                <w:rFonts w:hint="eastAsia" w:ascii="Songti SC" w:hAnsi="Songti SC" w:eastAsia="Songti SC" w:cs="Songti SC"/>
                <w:color w:val="000000"/>
              </w:rPr>
              <w:t>（有条件）</w:t>
            </w:r>
          </w:p>
        </w:tc>
        <w:tc>
          <w:tcPr>
            <w:tcW w:w="1260"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6E14095A">
            <w:pPr>
              <w:pStyle w:val="182"/>
              <w:rPr>
                <w:rFonts w:hint="eastAsia"/>
                <w:color w:val="000000"/>
              </w:rPr>
            </w:pPr>
            <w:r>
              <w:rPr>
                <w:rFonts w:hint="eastAsia" w:ascii="Songti SC" w:hAnsi="Songti SC" w:eastAsia="Songti SC" w:cs="Songti SC"/>
                <w:color w:val="000000"/>
              </w:rPr>
              <w:t>（库表）</w:t>
            </w:r>
          </w:p>
        </w:tc>
        <w:tc>
          <w:tcPr>
            <w:tcW w:w="1360"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11B7C100">
            <w:pPr>
              <w:pStyle w:val="182"/>
              <w:jc w:val="center"/>
              <w:rPr>
                <w:rFonts w:hint="eastAsia"/>
                <w:color w:val="000000"/>
              </w:rPr>
            </w:pPr>
          </w:p>
        </w:tc>
      </w:tr>
      <w:tr w14:paraId="42349439">
        <w:trPr>
          <w:trHeight w:val="560" w:hRule="atLeast"/>
        </w:trPr>
        <w:tc>
          <w:tcPr>
            <w:tcW w:w="1633" w:type="dxa"/>
            <w:tcBorders>
              <w:top w:val="single" w:color="auto" w:sz="4" w:space="0"/>
              <w:left w:val="single" w:color="auto" w:sz="4" w:space="0"/>
              <w:right w:val="single" w:color="auto" w:sz="4" w:space="0"/>
            </w:tcBorders>
            <w:shd w:val="clear" w:color="auto" w:fill="FFFFFF" w:themeFill="background1"/>
            <w:vAlign w:val="center"/>
          </w:tcPr>
          <w:p w14:paraId="669281A4">
            <w:pPr>
              <w:pStyle w:val="182"/>
              <w:rPr>
                <w:rFonts w:hint="eastAsia"/>
                <w:color w:val="000000"/>
              </w:rPr>
            </w:pPr>
            <w:r>
              <w:rPr>
                <w:rFonts w:hint="eastAsia" w:ascii="Songti SC" w:hAnsi="Songti SC" w:eastAsia="Songti SC" w:cs="Songti SC"/>
                <w:color w:val="000000"/>
              </w:rPr>
              <w:t>菜品表</w:t>
            </w:r>
          </w:p>
        </w:tc>
        <w:tc>
          <w:tcPr>
            <w:tcW w:w="2265"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1D845C8D">
            <w:pPr>
              <w:pStyle w:val="182"/>
              <w:rPr>
                <w:rFonts w:hint="eastAsia"/>
                <w:color w:val="000000"/>
              </w:rPr>
            </w:pPr>
            <w:r>
              <w:rPr>
                <w:rFonts w:hint="eastAsia" w:ascii="Songti SC" w:hAnsi="Songti SC" w:eastAsia="Songti SC" w:cs="Songti SC"/>
                <w:color w:val="000000"/>
                <w:lang w:bidi="ar"/>
              </w:rPr>
              <w:t>unit（菜品单位：枚举）；类型：tinyint(4)</w:t>
            </w:r>
          </w:p>
        </w:tc>
        <w:tc>
          <w:tcPr>
            <w:tcW w:w="1425"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79DF5D3E">
            <w:pPr>
              <w:pStyle w:val="182"/>
              <w:rPr>
                <w:rFonts w:hint="eastAsia"/>
                <w:color w:val="000000"/>
              </w:rPr>
            </w:pPr>
            <w:r>
              <w:rPr>
                <w:rFonts w:hint="eastAsia" w:ascii="Songti SC" w:hAnsi="Songti SC" w:eastAsia="Songti SC" w:cs="Songti SC"/>
                <w:color w:val="000000"/>
              </w:rPr>
              <w:t>（有条件）</w:t>
            </w:r>
          </w:p>
        </w:tc>
        <w:tc>
          <w:tcPr>
            <w:tcW w:w="1260"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0909136E">
            <w:pPr>
              <w:pStyle w:val="182"/>
              <w:rPr>
                <w:rFonts w:hint="eastAsia"/>
                <w:color w:val="000000"/>
              </w:rPr>
            </w:pPr>
            <w:r>
              <w:rPr>
                <w:rFonts w:hint="eastAsia" w:ascii="Songti SC" w:hAnsi="Songti SC" w:eastAsia="Songti SC" w:cs="Songti SC"/>
                <w:color w:val="000000"/>
              </w:rPr>
              <w:t>（库表）</w:t>
            </w:r>
          </w:p>
        </w:tc>
        <w:tc>
          <w:tcPr>
            <w:tcW w:w="1360"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3C3B18D6">
            <w:pPr>
              <w:pStyle w:val="182"/>
              <w:jc w:val="center"/>
              <w:rPr>
                <w:rFonts w:hint="eastAsia"/>
                <w:color w:val="000000"/>
              </w:rPr>
            </w:pPr>
          </w:p>
        </w:tc>
      </w:tr>
      <w:tr w14:paraId="7F53A492">
        <w:trPr>
          <w:trHeight w:val="560" w:hRule="atLeast"/>
        </w:trPr>
        <w:tc>
          <w:tcPr>
            <w:tcW w:w="1633" w:type="dxa"/>
            <w:tcBorders>
              <w:top w:val="single" w:color="auto" w:sz="4" w:space="0"/>
              <w:left w:val="single" w:color="auto" w:sz="4" w:space="0"/>
              <w:right w:val="single" w:color="auto" w:sz="4" w:space="0"/>
            </w:tcBorders>
            <w:shd w:val="clear" w:color="auto" w:fill="FFFFFF" w:themeFill="background1"/>
            <w:vAlign w:val="center"/>
          </w:tcPr>
          <w:p w14:paraId="216A2BC7">
            <w:pPr>
              <w:pStyle w:val="182"/>
              <w:rPr>
                <w:rFonts w:hint="eastAsia"/>
                <w:color w:val="000000"/>
              </w:rPr>
            </w:pPr>
            <w:r>
              <w:rPr>
                <w:rFonts w:hint="eastAsia" w:ascii="Songti SC" w:hAnsi="Songti SC" w:eastAsia="Songti SC" w:cs="Songti SC"/>
                <w:color w:val="000000"/>
              </w:rPr>
              <w:t>菜品表</w:t>
            </w:r>
          </w:p>
        </w:tc>
        <w:tc>
          <w:tcPr>
            <w:tcW w:w="2265"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011E2D17">
            <w:pPr>
              <w:pStyle w:val="182"/>
              <w:rPr>
                <w:rFonts w:hint="eastAsia"/>
                <w:color w:val="000000"/>
              </w:rPr>
            </w:pPr>
            <w:r>
              <w:rPr>
                <w:rFonts w:hint="eastAsia" w:ascii="Songti SC" w:hAnsi="Songti SC" w:eastAsia="Songti SC" w:cs="Songti SC"/>
                <w:color w:val="000000"/>
                <w:lang w:bidi="ar"/>
              </w:rPr>
              <w:t>status（状态值）；类型：tinyint(1)</w:t>
            </w:r>
          </w:p>
        </w:tc>
        <w:tc>
          <w:tcPr>
            <w:tcW w:w="1425"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7DB47CE1">
            <w:pPr>
              <w:pStyle w:val="182"/>
              <w:rPr>
                <w:rFonts w:hint="eastAsia"/>
                <w:color w:val="000000"/>
              </w:rPr>
            </w:pPr>
            <w:r>
              <w:rPr>
                <w:rFonts w:hint="eastAsia" w:ascii="Songti SC" w:hAnsi="Songti SC" w:eastAsia="Songti SC" w:cs="Songti SC"/>
                <w:color w:val="000000"/>
              </w:rPr>
              <w:t>（有条件）</w:t>
            </w:r>
          </w:p>
        </w:tc>
        <w:tc>
          <w:tcPr>
            <w:tcW w:w="1260"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1027C66B">
            <w:pPr>
              <w:pStyle w:val="182"/>
              <w:rPr>
                <w:rFonts w:hint="eastAsia"/>
                <w:color w:val="000000"/>
              </w:rPr>
            </w:pPr>
            <w:r>
              <w:rPr>
                <w:rFonts w:hint="eastAsia" w:ascii="Songti SC" w:hAnsi="Songti SC" w:eastAsia="Songti SC" w:cs="Songti SC"/>
                <w:color w:val="000000"/>
              </w:rPr>
              <w:t>（库表）</w:t>
            </w:r>
          </w:p>
        </w:tc>
        <w:tc>
          <w:tcPr>
            <w:tcW w:w="1360"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60F3AD7E">
            <w:pPr>
              <w:pStyle w:val="182"/>
              <w:jc w:val="center"/>
              <w:rPr>
                <w:rFonts w:hint="eastAsia"/>
                <w:color w:val="000000"/>
              </w:rPr>
            </w:pPr>
          </w:p>
        </w:tc>
      </w:tr>
      <w:tr w14:paraId="4431D3D9">
        <w:trPr>
          <w:trHeight w:val="560" w:hRule="atLeast"/>
        </w:trPr>
        <w:tc>
          <w:tcPr>
            <w:tcW w:w="1633" w:type="dxa"/>
            <w:vMerge w:val="restart"/>
            <w:tcBorders>
              <w:top w:val="single" w:color="auto" w:sz="4" w:space="0"/>
              <w:left w:val="single" w:color="auto" w:sz="4" w:space="0"/>
              <w:right w:val="single" w:color="auto" w:sz="4" w:space="0"/>
            </w:tcBorders>
            <w:shd w:val="clear" w:color="auto" w:fill="FFFFFF" w:themeFill="background1"/>
            <w:vAlign w:val="center"/>
          </w:tcPr>
          <w:p w14:paraId="46DD6129">
            <w:pPr>
              <w:pStyle w:val="182"/>
              <w:rPr>
                <w:rFonts w:hint="eastAsia"/>
                <w:color w:val="000000"/>
              </w:rPr>
            </w:pPr>
            <w:r>
              <w:rPr>
                <w:rFonts w:hint="eastAsia" w:ascii="Songti SC" w:hAnsi="Songti SC" w:eastAsia="Songti SC" w:cs="Songti SC"/>
                <w:color w:val="000000"/>
              </w:rPr>
              <w:t>菜品表</w:t>
            </w:r>
          </w:p>
        </w:tc>
        <w:tc>
          <w:tcPr>
            <w:tcW w:w="2265"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35E53FEE">
            <w:pPr>
              <w:pStyle w:val="182"/>
              <w:rPr>
                <w:rFonts w:hint="eastAsia"/>
                <w:color w:val="000000"/>
              </w:rPr>
            </w:pPr>
            <w:r>
              <w:rPr>
                <w:rFonts w:hint="eastAsia" w:ascii="Songti SC" w:hAnsi="Songti SC" w:eastAsia="Songti SC" w:cs="Songti SC"/>
                <w:color w:val="000000"/>
                <w:lang w:bidi="ar"/>
              </w:rPr>
              <w:t>is_del（删除标识）；类型：int(11)</w:t>
            </w:r>
          </w:p>
        </w:tc>
        <w:tc>
          <w:tcPr>
            <w:tcW w:w="1425"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36D265BA">
            <w:pPr>
              <w:pStyle w:val="182"/>
              <w:rPr>
                <w:rFonts w:hint="eastAsia"/>
                <w:color w:val="000000"/>
              </w:rPr>
            </w:pPr>
            <w:r>
              <w:rPr>
                <w:rFonts w:hint="eastAsia" w:ascii="Songti SC" w:hAnsi="Songti SC" w:eastAsia="Songti SC" w:cs="Songti SC"/>
                <w:color w:val="000000"/>
              </w:rPr>
              <w:t>（有条件）</w:t>
            </w:r>
          </w:p>
        </w:tc>
        <w:tc>
          <w:tcPr>
            <w:tcW w:w="1260"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4095695C">
            <w:pPr>
              <w:pStyle w:val="182"/>
              <w:rPr>
                <w:rFonts w:hint="eastAsia"/>
                <w:color w:val="000000"/>
              </w:rPr>
            </w:pPr>
            <w:r>
              <w:rPr>
                <w:rFonts w:hint="eastAsia" w:ascii="Songti SC" w:hAnsi="Songti SC" w:eastAsia="Songti SC" w:cs="Songti SC"/>
                <w:color w:val="000000"/>
              </w:rPr>
              <w:t>（库表）</w:t>
            </w:r>
          </w:p>
        </w:tc>
        <w:tc>
          <w:tcPr>
            <w:tcW w:w="1360"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3EF7D1A1">
            <w:pPr>
              <w:pStyle w:val="182"/>
              <w:jc w:val="center"/>
              <w:rPr>
                <w:rFonts w:hint="eastAsia"/>
                <w:color w:val="000000"/>
              </w:rPr>
            </w:pPr>
          </w:p>
        </w:tc>
      </w:tr>
      <w:tr w14:paraId="7E37B749">
        <w:trPr>
          <w:trHeight w:val="560" w:hRule="atLeast"/>
        </w:trPr>
        <w:tc>
          <w:tcPr>
            <w:tcW w:w="1633" w:type="dxa"/>
            <w:vMerge w:val="restart"/>
            <w:tcBorders>
              <w:top w:val="single" w:color="auto" w:sz="4" w:space="0"/>
              <w:left w:val="single" w:color="auto" w:sz="4" w:space="0"/>
              <w:right w:val="single" w:color="auto" w:sz="4" w:space="0"/>
            </w:tcBorders>
            <w:shd w:val="clear" w:color="auto" w:fill="FFFFFF" w:themeFill="background1"/>
            <w:vAlign w:val="center"/>
          </w:tcPr>
          <w:p w14:paraId="4698F4D0">
            <w:pPr>
              <w:pStyle w:val="182"/>
              <w:rPr>
                <w:rFonts w:hint="eastAsia"/>
                <w:color w:val="000000"/>
              </w:rPr>
            </w:pPr>
            <w:r>
              <w:rPr>
                <w:rFonts w:hint="eastAsia" w:ascii="Songti SC" w:hAnsi="Songti SC" w:eastAsia="Songti SC" w:cs="Songti SC"/>
                <w:color w:val="000000"/>
              </w:rPr>
              <w:t>菜品表</w:t>
            </w:r>
          </w:p>
        </w:tc>
        <w:tc>
          <w:tcPr>
            <w:tcW w:w="2265"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74F4A640">
            <w:pPr>
              <w:pStyle w:val="182"/>
              <w:rPr>
                <w:rFonts w:hint="eastAsia"/>
                <w:color w:val="000000"/>
              </w:rPr>
            </w:pPr>
            <w:r>
              <w:rPr>
                <w:rFonts w:hint="eastAsia" w:ascii="Songti SC" w:hAnsi="Songti SC" w:eastAsia="Songti SC" w:cs="Songti SC"/>
                <w:color w:val="000000"/>
                <w:lang w:bidi="ar"/>
              </w:rPr>
              <w:t>file_path（源文件路径）；类型：varchar(256)</w:t>
            </w:r>
          </w:p>
        </w:tc>
        <w:tc>
          <w:tcPr>
            <w:tcW w:w="1425"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689AEB85">
            <w:pPr>
              <w:pStyle w:val="182"/>
              <w:rPr>
                <w:rFonts w:hint="eastAsia"/>
                <w:color w:val="000000"/>
              </w:rPr>
            </w:pPr>
            <w:r>
              <w:rPr>
                <w:rFonts w:hint="eastAsia" w:ascii="Songti SC" w:hAnsi="Songti SC" w:eastAsia="Songti SC" w:cs="Songti SC"/>
                <w:color w:val="000000"/>
              </w:rPr>
              <w:t>（有条件）</w:t>
            </w:r>
          </w:p>
        </w:tc>
        <w:tc>
          <w:tcPr>
            <w:tcW w:w="1260"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1A4A3A57">
            <w:pPr>
              <w:pStyle w:val="182"/>
              <w:rPr>
                <w:rFonts w:hint="eastAsia"/>
                <w:color w:val="000000"/>
              </w:rPr>
            </w:pPr>
            <w:r>
              <w:rPr>
                <w:rFonts w:hint="eastAsia" w:ascii="Songti SC" w:hAnsi="Songti SC" w:eastAsia="Songti SC" w:cs="Songti SC"/>
                <w:color w:val="000000"/>
              </w:rPr>
              <w:t>（库表）</w:t>
            </w:r>
          </w:p>
        </w:tc>
        <w:tc>
          <w:tcPr>
            <w:tcW w:w="1360"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2CACDA19">
            <w:pPr>
              <w:pStyle w:val="182"/>
              <w:jc w:val="center"/>
              <w:rPr>
                <w:rFonts w:hint="eastAsia"/>
                <w:color w:val="000000"/>
              </w:rPr>
            </w:pPr>
          </w:p>
        </w:tc>
      </w:tr>
      <w:tr w14:paraId="5984F0D3">
        <w:trPr>
          <w:trHeight w:val="560" w:hRule="atLeast"/>
        </w:trPr>
        <w:tc>
          <w:tcPr>
            <w:tcW w:w="1633" w:type="dxa"/>
            <w:vMerge w:val="restart"/>
            <w:tcBorders>
              <w:top w:val="single" w:color="auto" w:sz="4" w:space="0"/>
              <w:left w:val="single" w:color="auto" w:sz="4" w:space="0"/>
              <w:right w:val="single" w:color="auto" w:sz="4" w:space="0"/>
            </w:tcBorders>
            <w:shd w:val="clear" w:color="auto" w:fill="FFFFFF" w:themeFill="background1"/>
            <w:vAlign w:val="center"/>
          </w:tcPr>
          <w:p w14:paraId="3A7F734A">
            <w:pPr>
              <w:pStyle w:val="182"/>
              <w:rPr>
                <w:rFonts w:hint="eastAsia"/>
                <w:color w:val="000000"/>
              </w:rPr>
            </w:pPr>
            <w:r>
              <w:rPr>
                <w:rFonts w:hint="eastAsia" w:ascii="Songti SC" w:hAnsi="Songti SC" w:eastAsia="Songti SC" w:cs="Songti SC"/>
                <w:color w:val="000000"/>
              </w:rPr>
              <w:t>菜品表</w:t>
            </w:r>
          </w:p>
        </w:tc>
        <w:tc>
          <w:tcPr>
            <w:tcW w:w="2265"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4676BCD1">
            <w:pPr>
              <w:pStyle w:val="182"/>
              <w:rPr>
                <w:rFonts w:hint="eastAsia"/>
                <w:color w:val="000000"/>
              </w:rPr>
            </w:pPr>
            <w:r>
              <w:rPr>
                <w:rFonts w:hint="eastAsia" w:ascii="Songti SC" w:hAnsi="Songti SC" w:eastAsia="Songti SC" w:cs="Songti SC"/>
                <w:color w:val="000000"/>
                <w:lang w:bidi="ar"/>
              </w:rPr>
              <w:t>menu_quantity（入菜谱次数）；类型：int(10)</w:t>
            </w:r>
          </w:p>
        </w:tc>
        <w:tc>
          <w:tcPr>
            <w:tcW w:w="1425"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54367D15">
            <w:pPr>
              <w:pStyle w:val="182"/>
              <w:rPr>
                <w:rFonts w:hint="eastAsia"/>
                <w:color w:val="000000"/>
              </w:rPr>
            </w:pPr>
            <w:r>
              <w:rPr>
                <w:rFonts w:hint="eastAsia" w:ascii="Songti SC" w:hAnsi="Songti SC" w:eastAsia="Songti SC" w:cs="Songti SC"/>
                <w:color w:val="000000"/>
              </w:rPr>
              <w:t>（有条件）</w:t>
            </w:r>
          </w:p>
        </w:tc>
        <w:tc>
          <w:tcPr>
            <w:tcW w:w="1260"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496982B1">
            <w:pPr>
              <w:pStyle w:val="182"/>
              <w:rPr>
                <w:rFonts w:hint="eastAsia"/>
                <w:color w:val="000000"/>
              </w:rPr>
            </w:pPr>
            <w:r>
              <w:rPr>
                <w:rFonts w:hint="eastAsia" w:ascii="Songti SC" w:hAnsi="Songti SC" w:eastAsia="Songti SC" w:cs="Songti SC"/>
                <w:color w:val="000000"/>
              </w:rPr>
              <w:t>（库表）</w:t>
            </w:r>
          </w:p>
        </w:tc>
        <w:tc>
          <w:tcPr>
            <w:tcW w:w="1360"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6FC7A800">
            <w:pPr>
              <w:pStyle w:val="182"/>
              <w:jc w:val="center"/>
              <w:rPr>
                <w:rFonts w:hint="eastAsia"/>
                <w:color w:val="000000"/>
              </w:rPr>
            </w:pPr>
          </w:p>
        </w:tc>
      </w:tr>
      <w:tr w14:paraId="7A9B2809">
        <w:trPr>
          <w:trHeight w:val="560" w:hRule="atLeast"/>
        </w:trPr>
        <w:tc>
          <w:tcPr>
            <w:tcW w:w="1633" w:type="dxa"/>
            <w:vMerge w:val="restart"/>
            <w:tcBorders>
              <w:top w:val="single" w:color="auto" w:sz="4" w:space="0"/>
              <w:left w:val="single" w:color="auto" w:sz="4" w:space="0"/>
              <w:right w:val="single" w:color="auto" w:sz="4" w:space="0"/>
            </w:tcBorders>
            <w:shd w:val="clear" w:color="auto" w:fill="FFFFFF" w:themeFill="background1"/>
            <w:vAlign w:val="center"/>
          </w:tcPr>
          <w:p w14:paraId="5C17ACFC">
            <w:pPr>
              <w:pStyle w:val="182"/>
              <w:rPr>
                <w:rFonts w:hint="eastAsia"/>
                <w:color w:val="000000"/>
              </w:rPr>
            </w:pPr>
            <w:r>
              <w:rPr>
                <w:rFonts w:hint="eastAsia" w:ascii="Songti SC" w:hAnsi="Songti SC" w:eastAsia="Songti SC" w:cs="Songti SC"/>
                <w:color w:val="000000"/>
              </w:rPr>
              <w:t>菜品表</w:t>
            </w:r>
          </w:p>
        </w:tc>
        <w:tc>
          <w:tcPr>
            <w:tcW w:w="2265"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135433B0">
            <w:pPr>
              <w:pStyle w:val="182"/>
              <w:rPr>
                <w:rFonts w:hint="eastAsia"/>
                <w:color w:val="000000"/>
              </w:rPr>
            </w:pPr>
            <w:r>
              <w:rPr>
                <w:rFonts w:hint="eastAsia" w:ascii="Songti SC" w:hAnsi="Songti SC" w:eastAsia="Songti SC" w:cs="Songti SC"/>
                <w:color w:val="000000"/>
                <w:lang w:bidi="ar"/>
              </w:rPr>
              <w:t>number_of（选取次数）；类型：int(11)</w:t>
            </w:r>
          </w:p>
        </w:tc>
        <w:tc>
          <w:tcPr>
            <w:tcW w:w="1425"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204FAF3F">
            <w:pPr>
              <w:pStyle w:val="182"/>
              <w:rPr>
                <w:rFonts w:hint="eastAsia"/>
                <w:color w:val="000000"/>
              </w:rPr>
            </w:pPr>
            <w:r>
              <w:rPr>
                <w:rFonts w:hint="eastAsia" w:ascii="Songti SC" w:hAnsi="Songti SC" w:eastAsia="Songti SC" w:cs="Songti SC"/>
                <w:color w:val="000000"/>
              </w:rPr>
              <w:t>（有条件）</w:t>
            </w:r>
          </w:p>
        </w:tc>
        <w:tc>
          <w:tcPr>
            <w:tcW w:w="1260"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2C02C23B">
            <w:pPr>
              <w:pStyle w:val="182"/>
              <w:rPr>
                <w:rFonts w:hint="eastAsia"/>
                <w:color w:val="000000"/>
              </w:rPr>
            </w:pPr>
            <w:r>
              <w:rPr>
                <w:rFonts w:hint="eastAsia" w:ascii="Songti SC" w:hAnsi="Songti SC" w:eastAsia="Songti SC" w:cs="Songti SC"/>
                <w:color w:val="000000"/>
              </w:rPr>
              <w:t>（库表）</w:t>
            </w:r>
          </w:p>
        </w:tc>
        <w:tc>
          <w:tcPr>
            <w:tcW w:w="1360"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00E209B5">
            <w:pPr>
              <w:pStyle w:val="182"/>
              <w:jc w:val="center"/>
              <w:rPr>
                <w:rFonts w:hint="eastAsia"/>
                <w:color w:val="000000"/>
              </w:rPr>
            </w:pPr>
          </w:p>
        </w:tc>
      </w:tr>
      <w:tr w14:paraId="38CC1CCB">
        <w:trPr>
          <w:trHeight w:val="560" w:hRule="atLeast"/>
        </w:trPr>
        <w:tc>
          <w:tcPr>
            <w:tcW w:w="1633" w:type="dxa"/>
            <w:tcBorders>
              <w:top w:val="single" w:color="auto" w:sz="4" w:space="0"/>
              <w:left w:val="single" w:color="auto" w:sz="4" w:space="0"/>
              <w:right w:val="single" w:color="auto" w:sz="4" w:space="0"/>
            </w:tcBorders>
            <w:shd w:val="clear" w:color="auto" w:fill="FFFFFF" w:themeFill="background1"/>
            <w:vAlign w:val="center"/>
          </w:tcPr>
          <w:p w14:paraId="2D5BE5D2">
            <w:pPr>
              <w:pStyle w:val="182"/>
              <w:rPr>
                <w:rFonts w:hint="eastAsia"/>
                <w:color w:val="000000"/>
              </w:rPr>
            </w:pPr>
            <w:r>
              <w:rPr>
                <w:rFonts w:hint="eastAsia" w:ascii="Songti SC" w:hAnsi="Songti SC" w:eastAsia="Songti SC" w:cs="Songti SC"/>
                <w:color w:val="000000"/>
              </w:rPr>
              <w:t>菜品表</w:t>
            </w:r>
          </w:p>
        </w:tc>
        <w:tc>
          <w:tcPr>
            <w:tcW w:w="2265"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398C74BE">
            <w:pPr>
              <w:pStyle w:val="182"/>
              <w:rPr>
                <w:rFonts w:hint="eastAsia"/>
                <w:color w:val="000000"/>
              </w:rPr>
            </w:pPr>
            <w:r>
              <w:rPr>
                <w:rFonts w:hint="eastAsia" w:ascii="Songti SC" w:hAnsi="Songti SC" w:eastAsia="Songti SC" w:cs="Songti SC"/>
                <w:color w:val="000000"/>
                <w:lang w:bidi="ar"/>
              </w:rPr>
              <w:t>price（菜品价格）；类型：float(10,2)</w:t>
            </w:r>
          </w:p>
        </w:tc>
        <w:tc>
          <w:tcPr>
            <w:tcW w:w="1425"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5C67737D">
            <w:pPr>
              <w:pStyle w:val="182"/>
              <w:rPr>
                <w:rFonts w:hint="eastAsia"/>
                <w:color w:val="000000"/>
              </w:rPr>
            </w:pPr>
            <w:r>
              <w:rPr>
                <w:rFonts w:hint="eastAsia" w:ascii="Songti SC" w:hAnsi="Songti SC" w:eastAsia="Songti SC" w:cs="Songti SC"/>
                <w:color w:val="000000"/>
              </w:rPr>
              <w:t>（有条件）</w:t>
            </w:r>
          </w:p>
        </w:tc>
        <w:tc>
          <w:tcPr>
            <w:tcW w:w="1260"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07C673C8">
            <w:pPr>
              <w:pStyle w:val="182"/>
              <w:rPr>
                <w:rFonts w:hint="eastAsia"/>
                <w:color w:val="000000"/>
              </w:rPr>
            </w:pPr>
            <w:r>
              <w:rPr>
                <w:rFonts w:hint="eastAsia" w:ascii="Songti SC" w:hAnsi="Songti SC" w:eastAsia="Songti SC" w:cs="Songti SC"/>
                <w:color w:val="000000"/>
              </w:rPr>
              <w:t>（库表）</w:t>
            </w:r>
          </w:p>
        </w:tc>
        <w:tc>
          <w:tcPr>
            <w:tcW w:w="1360"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63546C50">
            <w:pPr>
              <w:pStyle w:val="182"/>
              <w:jc w:val="center"/>
              <w:rPr>
                <w:rFonts w:hint="eastAsia"/>
                <w:color w:val="000000"/>
              </w:rPr>
            </w:pPr>
          </w:p>
        </w:tc>
      </w:tr>
      <w:tr w14:paraId="6A13BDB7">
        <w:trPr>
          <w:trHeight w:val="560" w:hRule="atLeast"/>
        </w:trPr>
        <w:tc>
          <w:tcPr>
            <w:tcW w:w="1633" w:type="dxa"/>
            <w:tcBorders>
              <w:top w:val="single" w:color="auto" w:sz="4" w:space="0"/>
              <w:left w:val="single" w:color="auto" w:sz="4" w:space="0"/>
              <w:right w:val="single" w:color="auto" w:sz="4" w:space="0"/>
            </w:tcBorders>
            <w:shd w:val="clear" w:color="auto" w:fill="FFFFFF" w:themeFill="background1"/>
            <w:vAlign w:val="center"/>
          </w:tcPr>
          <w:p w14:paraId="116176F8">
            <w:pPr>
              <w:pStyle w:val="182"/>
              <w:rPr>
                <w:rFonts w:hint="eastAsia"/>
                <w:color w:val="000000"/>
              </w:rPr>
            </w:pPr>
            <w:r>
              <w:rPr>
                <w:rFonts w:hint="eastAsia" w:ascii="Songti SC" w:hAnsi="Songti SC" w:eastAsia="Songti SC" w:cs="Songti SC"/>
                <w:color w:val="000000"/>
              </w:rPr>
              <w:t>菜品表</w:t>
            </w:r>
          </w:p>
        </w:tc>
        <w:tc>
          <w:tcPr>
            <w:tcW w:w="2265"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631DC71B">
            <w:pPr>
              <w:pStyle w:val="182"/>
              <w:rPr>
                <w:rFonts w:hint="eastAsia"/>
                <w:color w:val="000000"/>
              </w:rPr>
            </w:pPr>
            <w:r>
              <w:rPr>
                <w:rFonts w:hint="eastAsia" w:ascii="Songti SC" w:hAnsi="Songti SC" w:eastAsia="Songti SC" w:cs="Songti SC"/>
                <w:color w:val="000000"/>
                <w:lang w:bidi="ar"/>
              </w:rPr>
              <w:t>cook_method（烹饪方式：枚举）；类型：tinyint(4)</w:t>
            </w:r>
          </w:p>
        </w:tc>
        <w:tc>
          <w:tcPr>
            <w:tcW w:w="1425"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086C4DCC">
            <w:pPr>
              <w:pStyle w:val="182"/>
              <w:rPr>
                <w:rFonts w:hint="eastAsia"/>
                <w:color w:val="000000"/>
              </w:rPr>
            </w:pPr>
            <w:r>
              <w:rPr>
                <w:rFonts w:hint="eastAsia" w:ascii="Songti SC" w:hAnsi="Songti SC" w:eastAsia="Songti SC" w:cs="Songti SC"/>
                <w:color w:val="000000"/>
              </w:rPr>
              <w:t>（有条件）</w:t>
            </w:r>
          </w:p>
        </w:tc>
        <w:tc>
          <w:tcPr>
            <w:tcW w:w="1260"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3DF14FAB">
            <w:pPr>
              <w:pStyle w:val="182"/>
              <w:rPr>
                <w:rFonts w:hint="eastAsia"/>
                <w:color w:val="000000"/>
              </w:rPr>
            </w:pPr>
            <w:r>
              <w:rPr>
                <w:rFonts w:hint="eastAsia" w:ascii="Songti SC" w:hAnsi="Songti SC" w:eastAsia="Songti SC" w:cs="Songti SC"/>
                <w:color w:val="000000"/>
              </w:rPr>
              <w:t>（库表）</w:t>
            </w:r>
          </w:p>
        </w:tc>
        <w:tc>
          <w:tcPr>
            <w:tcW w:w="1360"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6D8A34AD">
            <w:pPr>
              <w:pStyle w:val="182"/>
              <w:jc w:val="center"/>
              <w:rPr>
                <w:rFonts w:hint="eastAsia"/>
                <w:color w:val="000000"/>
              </w:rPr>
            </w:pPr>
          </w:p>
        </w:tc>
      </w:tr>
      <w:tr w14:paraId="56DA9D92">
        <w:trPr>
          <w:trHeight w:val="560" w:hRule="atLeast"/>
        </w:trPr>
        <w:tc>
          <w:tcPr>
            <w:tcW w:w="1633" w:type="dxa"/>
            <w:vMerge w:val="restart"/>
            <w:tcBorders>
              <w:top w:val="single" w:color="auto" w:sz="4" w:space="0"/>
              <w:left w:val="single" w:color="auto" w:sz="4" w:space="0"/>
              <w:right w:val="single" w:color="auto" w:sz="4" w:space="0"/>
            </w:tcBorders>
            <w:shd w:val="clear" w:color="auto" w:fill="FFFFFF" w:themeFill="background1"/>
            <w:vAlign w:val="center"/>
          </w:tcPr>
          <w:p w14:paraId="126212D7">
            <w:pPr>
              <w:pStyle w:val="182"/>
              <w:rPr>
                <w:rFonts w:hint="eastAsia"/>
                <w:color w:val="000000"/>
              </w:rPr>
            </w:pPr>
            <w:r>
              <w:rPr>
                <w:rFonts w:hint="eastAsia" w:ascii="Songti SC" w:hAnsi="Songti SC" w:eastAsia="Songti SC" w:cs="Songti SC"/>
                <w:color w:val="000000"/>
              </w:rPr>
              <w:t>菜品表</w:t>
            </w:r>
          </w:p>
        </w:tc>
        <w:tc>
          <w:tcPr>
            <w:tcW w:w="2265"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57797129">
            <w:pPr>
              <w:pStyle w:val="182"/>
              <w:rPr>
                <w:rFonts w:hint="eastAsia"/>
                <w:color w:val="000000"/>
              </w:rPr>
            </w:pPr>
            <w:r>
              <w:rPr>
                <w:rFonts w:hint="eastAsia" w:ascii="Songti SC" w:hAnsi="Songti SC" w:eastAsia="Songti SC" w:cs="Songti SC"/>
                <w:color w:val="000000"/>
                <w:lang w:bidi="ar"/>
              </w:rPr>
              <w:t>common（常见食材：1常见2不常见）；类型：tinyint(4)</w:t>
            </w:r>
          </w:p>
        </w:tc>
        <w:tc>
          <w:tcPr>
            <w:tcW w:w="1425"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68F70E6E">
            <w:pPr>
              <w:pStyle w:val="182"/>
              <w:rPr>
                <w:rFonts w:hint="eastAsia"/>
                <w:color w:val="000000"/>
              </w:rPr>
            </w:pPr>
            <w:r>
              <w:rPr>
                <w:rFonts w:hint="eastAsia" w:ascii="Songti SC" w:hAnsi="Songti SC" w:eastAsia="Songti SC" w:cs="Songti SC"/>
                <w:color w:val="000000"/>
              </w:rPr>
              <w:t>（有条件）</w:t>
            </w:r>
          </w:p>
        </w:tc>
        <w:tc>
          <w:tcPr>
            <w:tcW w:w="1260"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68F17850">
            <w:pPr>
              <w:pStyle w:val="182"/>
              <w:rPr>
                <w:rFonts w:hint="eastAsia"/>
                <w:color w:val="000000"/>
              </w:rPr>
            </w:pPr>
            <w:r>
              <w:rPr>
                <w:rFonts w:hint="eastAsia" w:ascii="Songti SC" w:hAnsi="Songti SC" w:eastAsia="Songti SC" w:cs="Songti SC"/>
                <w:color w:val="000000"/>
              </w:rPr>
              <w:t>（库表）</w:t>
            </w:r>
          </w:p>
        </w:tc>
        <w:tc>
          <w:tcPr>
            <w:tcW w:w="1360"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12A1738D">
            <w:pPr>
              <w:pStyle w:val="182"/>
              <w:jc w:val="center"/>
              <w:rPr>
                <w:rFonts w:hint="eastAsia"/>
                <w:color w:val="000000"/>
              </w:rPr>
            </w:pPr>
          </w:p>
        </w:tc>
      </w:tr>
      <w:tr w14:paraId="52B37096">
        <w:trPr>
          <w:trHeight w:val="560" w:hRule="atLeast"/>
        </w:trPr>
        <w:tc>
          <w:tcPr>
            <w:tcW w:w="1633" w:type="dxa"/>
            <w:vMerge w:val="restart"/>
            <w:tcBorders>
              <w:top w:val="single" w:color="auto" w:sz="4" w:space="0"/>
              <w:left w:val="single" w:color="auto" w:sz="4" w:space="0"/>
              <w:right w:val="single" w:color="auto" w:sz="4" w:space="0"/>
            </w:tcBorders>
            <w:shd w:val="clear" w:color="auto" w:fill="FFFFFF" w:themeFill="background1"/>
            <w:vAlign w:val="center"/>
          </w:tcPr>
          <w:p w14:paraId="1BDBD078">
            <w:pPr>
              <w:pStyle w:val="182"/>
              <w:rPr>
                <w:rFonts w:hint="eastAsia"/>
                <w:color w:val="000000"/>
              </w:rPr>
            </w:pPr>
            <w:r>
              <w:rPr>
                <w:rFonts w:hint="eastAsia" w:ascii="Songti SC" w:hAnsi="Songti SC" w:eastAsia="Songti SC" w:cs="Songti SC"/>
                <w:color w:val="000000"/>
              </w:rPr>
              <w:t>菜品表</w:t>
            </w:r>
          </w:p>
        </w:tc>
        <w:tc>
          <w:tcPr>
            <w:tcW w:w="2265"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5AD94AAF">
            <w:pPr>
              <w:pStyle w:val="182"/>
              <w:rPr>
                <w:rFonts w:hint="eastAsia"/>
                <w:color w:val="000000"/>
              </w:rPr>
            </w:pPr>
            <w:r>
              <w:rPr>
                <w:rFonts w:hint="eastAsia" w:ascii="Songti SC" w:hAnsi="Songti SC" w:eastAsia="Songti SC" w:cs="Songti SC"/>
                <w:color w:val="000000"/>
                <w:lang w:bidi="ar"/>
              </w:rPr>
              <w:t>is_delete（是否删除1是0否）；类型：tinyint(4)</w:t>
            </w:r>
          </w:p>
        </w:tc>
        <w:tc>
          <w:tcPr>
            <w:tcW w:w="1425"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5D12F32A">
            <w:pPr>
              <w:pStyle w:val="182"/>
              <w:rPr>
                <w:rFonts w:hint="eastAsia"/>
                <w:color w:val="000000"/>
              </w:rPr>
            </w:pPr>
            <w:r>
              <w:rPr>
                <w:rFonts w:hint="eastAsia" w:ascii="Songti SC" w:hAnsi="Songti SC" w:eastAsia="Songti SC" w:cs="Songti SC"/>
                <w:color w:val="000000"/>
              </w:rPr>
              <w:t>（有条件）</w:t>
            </w:r>
          </w:p>
        </w:tc>
        <w:tc>
          <w:tcPr>
            <w:tcW w:w="1260"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3B07790F">
            <w:pPr>
              <w:pStyle w:val="182"/>
              <w:rPr>
                <w:rFonts w:hint="eastAsia"/>
                <w:color w:val="000000"/>
              </w:rPr>
            </w:pPr>
            <w:r>
              <w:rPr>
                <w:rFonts w:hint="eastAsia" w:ascii="Songti SC" w:hAnsi="Songti SC" w:eastAsia="Songti SC" w:cs="Songti SC"/>
                <w:color w:val="000000"/>
              </w:rPr>
              <w:t>（库表）</w:t>
            </w:r>
          </w:p>
        </w:tc>
        <w:tc>
          <w:tcPr>
            <w:tcW w:w="1360"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28BC1662">
            <w:pPr>
              <w:pStyle w:val="182"/>
              <w:jc w:val="center"/>
              <w:rPr>
                <w:rFonts w:hint="eastAsia"/>
                <w:color w:val="000000"/>
              </w:rPr>
            </w:pPr>
          </w:p>
        </w:tc>
      </w:tr>
      <w:tr w14:paraId="6363232B">
        <w:trPr>
          <w:trHeight w:val="560" w:hRule="atLeast"/>
        </w:trPr>
        <w:tc>
          <w:tcPr>
            <w:tcW w:w="1633" w:type="dxa"/>
            <w:vMerge w:val="restart"/>
            <w:tcBorders>
              <w:top w:val="single" w:color="auto" w:sz="4" w:space="0"/>
              <w:left w:val="single" w:color="auto" w:sz="4" w:space="0"/>
              <w:right w:val="single" w:color="auto" w:sz="4" w:space="0"/>
            </w:tcBorders>
            <w:shd w:val="clear" w:color="auto" w:fill="FFFFFF" w:themeFill="background1"/>
            <w:vAlign w:val="center"/>
          </w:tcPr>
          <w:p w14:paraId="48F3132B">
            <w:pPr>
              <w:pStyle w:val="182"/>
              <w:rPr>
                <w:rFonts w:hint="eastAsia"/>
                <w:color w:val="000000"/>
              </w:rPr>
            </w:pPr>
            <w:r>
              <w:rPr>
                <w:rFonts w:hint="eastAsia" w:ascii="Songti SC" w:hAnsi="Songti SC" w:eastAsia="Songti SC" w:cs="Songti SC"/>
                <w:color w:val="000000"/>
              </w:rPr>
              <w:t>菜品表</w:t>
            </w:r>
          </w:p>
        </w:tc>
        <w:tc>
          <w:tcPr>
            <w:tcW w:w="2265"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303328F2">
            <w:pPr>
              <w:pStyle w:val="182"/>
              <w:rPr>
                <w:rFonts w:hint="eastAsia"/>
                <w:color w:val="000000"/>
              </w:rPr>
            </w:pPr>
            <w:r>
              <w:rPr>
                <w:rFonts w:hint="eastAsia" w:ascii="Songti SC" w:hAnsi="Songti SC" w:eastAsia="Songti SC" w:cs="Songti SC"/>
                <w:color w:val="000000"/>
                <w:lang w:bidi="ar"/>
              </w:rPr>
              <w:t>create_by（创建人）；类型：varchar(36)</w:t>
            </w:r>
          </w:p>
        </w:tc>
        <w:tc>
          <w:tcPr>
            <w:tcW w:w="1425"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35B69AF7">
            <w:pPr>
              <w:pStyle w:val="182"/>
              <w:rPr>
                <w:rFonts w:hint="eastAsia"/>
                <w:color w:val="000000"/>
              </w:rPr>
            </w:pPr>
            <w:r>
              <w:rPr>
                <w:rFonts w:hint="eastAsia" w:ascii="Songti SC" w:hAnsi="Songti SC" w:eastAsia="Songti SC" w:cs="Songti SC"/>
                <w:color w:val="000000"/>
              </w:rPr>
              <w:t>（有条件）</w:t>
            </w:r>
          </w:p>
        </w:tc>
        <w:tc>
          <w:tcPr>
            <w:tcW w:w="1260"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3963C169">
            <w:pPr>
              <w:pStyle w:val="182"/>
              <w:rPr>
                <w:rFonts w:hint="eastAsia"/>
                <w:color w:val="000000"/>
              </w:rPr>
            </w:pPr>
            <w:r>
              <w:rPr>
                <w:rFonts w:hint="eastAsia" w:ascii="Songti SC" w:hAnsi="Songti SC" w:eastAsia="Songti SC" w:cs="Songti SC"/>
                <w:color w:val="000000"/>
              </w:rPr>
              <w:t>（库表）</w:t>
            </w:r>
          </w:p>
        </w:tc>
        <w:tc>
          <w:tcPr>
            <w:tcW w:w="1360"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42FF9E27">
            <w:pPr>
              <w:pStyle w:val="182"/>
              <w:jc w:val="center"/>
              <w:rPr>
                <w:rFonts w:hint="eastAsia"/>
                <w:color w:val="000000"/>
              </w:rPr>
            </w:pPr>
          </w:p>
        </w:tc>
      </w:tr>
      <w:tr w14:paraId="1EBE379B">
        <w:trPr>
          <w:trHeight w:val="560" w:hRule="atLeast"/>
        </w:trPr>
        <w:tc>
          <w:tcPr>
            <w:tcW w:w="1633" w:type="dxa"/>
            <w:vMerge w:val="restart"/>
            <w:tcBorders>
              <w:top w:val="single" w:color="auto" w:sz="4" w:space="0"/>
              <w:left w:val="single" w:color="auto" w:sz="4" w:space="0"/>
              <w:right w:val="single" w:color="auto" w:sz="4" w:space="0"/>
            </w:tcBorders>
            <w:shd w:val="clear" w:color="auto" w:fill="FFFFFF" w:themeFill="background1"/>
            <w:vAlign w:val="center"/>
          </w:tcPr>
          <w:p w14:paraId="6D492320">
            <w:pPr>
              <w:pStyle w:val="182"/>
              <w:rPr>
                <w:rFonts w:hint="eastAsia"/>
                <w:color w:val="000000"/>
              </w:rPr>
            </w:pPr>
            <w:r>
              <w:rPr>
                <w:rFonts w:hint="eastAsia" w:ascii="Songti SC" w:hAnsi="Songti SC" w:eastAsia="Songti SC" w:cs="Songti SC"/>
                <w:color w:val="000000"/>
              </w:rPr>
              <w:t>菜品表</w:t>
            </w:r>
          </w:p>
        </w:tc>
        <w:tc>
          <w:tcPr>
            <w:tcW w:w="2265"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29D58228">
            <w:pPr>
              <w:pStyle w:val="182"/>
              <w:rPr>
                <w:rFonts w:hint="eastAsia"/>
                <w:color w:val="000000"/>
              </w:rPr>
            </w:pPr>
            <w:r>
              <w:rPr>
                <w:rFonts w:hint="eastAsia" w:ascii="Songti SC" w:hAnsi="Songti SC" w:eastAsia="Songti SC" w:cs="Songti SC"/>
                <w:color w:val="000000"/>
                <w:lang w:bidi="ar"/>
              </w:rPr>
              <w:t>create_time（创建时间）；类型：datetime</w:t>
            </w:r>
          </w:p>
        </w:tc>
        <w:tc>
          <w:tcPr>
            <w:tcW w:w="1425"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7EEEF1FF">
            <w:pPr>
              <w:pStyle w:val="182"/>
              <w:rPr>
                <w:rFonts w:hint="eastAsia"/>
                <w:color w:val="000000"/>
              </w:rPr>
            </w:pPr>
            <w:r>
              <w:rPr>
                <w:rFonts w:hint="eastAsia" w:ascii="Songti SC" w:hAnsi="Songti SC" w:eastAsia="Songti SC" w:cs="Songti SC"/>
                <w:color w:val="000000"/>
              </w:rPr>
              <w:t>（有条件）</w:t>
            </w:r>
          </w:p>
        </w:tc>
        <w:tc>
          <w:tcPr>
            <w:tcW w:w="1260"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2FC6D00E">
            <w:pPr>
              <w:pStyle w:val="182"/>
              <w:rPr>
                <w:rFonts w:hint="eastAsia"/>
                <w:color w:val="000000"/>
              </w:rPr>
            </w:pPr>
            <w:r>
              <w:rPr>
                <w:rFonts w:hint="eastAsia" w:ascii="Songti SC" w:hAnsi="Songti SC" w:eastAsia="Songti SC" w:cs="Songti SC"/>
                <w:color w:val="000000"/>
              </w:rPr>
              <w:t>（库表）</w:t>
            </w:r>
          </w:p>
        </w:tc>
        <w:tc>
          <w:tcPr>
            <w:tcW w:w="1360"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79286BD8">
            <w:pPr>
              <w:pStyle w:val="182"/>
              <w:jc w:val="center"/>
              <w:rPr>
                <w:rFonts w:hint="eastAsia"/>
                <w:color w:val="000000"/>
              </w:rPr>
            </w:pPr>
          </w:p>
        </w:tc>
      </w:tr>
      <w:tr w14:paraId="368B83C7">
        <w:trPr>
          <w:trHeight w:val="560" w:hRule="atLeast"/>
        </w:trPr>
        <w:tc>
          <w:tcPr>
            <w:tcW w:w="1633" w:type="dxa"/>
            <w:vMerge w:val="restart"/>
            <w:tcBorders>
              <w:top w:val="single" w:color="auto" w:sz="4" w:space="0"/>
              <w:left w:val="single" w:color="auto" w:sz="4" w:space="0"/>
              <w:right w:val="single" w:color="auto" w:sz="4" w:space="0"/>
            </w:tcBorders>
            <w:shd w:val="clear" w:color="auto" w:fill="FFFFFF" w:themeFill="background1"/>
            <w:vAlign w:val="center"/>
          </w:tcPr>
          <w:p w14:paraId="0267EBC9">
            <w:pPr>
              <w:pStyle w:val="182"/>
              <w:rPr>
                <w:rFonts w:hint="eastAsia"/>
                <w:color w:val="000000"/>
              </w:rPr>
            </w:pPr>
            <w:r>
              <w:rPr>
                <w:rFonts w:hint="eastAsia" w:ascii="Songti SC" w:hAnsi="Songti SC" w:eastAsia="Songti SC" w:cs="Songti SC"/>
                <w:color w:val="000000"/>
              </w:rPr>
              <w:t>菜品表</w:t>
            </w:r>
          </w:p>
        </w:tc>
        <w:tc>
          <w:tcPr>
            <w:tcW w:w="2265"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67CD3384">
            <w:pPr>
              <w:pStyle w:val="182"/>
              <w:rPr>
                <w:rFonts w:hint="eastAsia"/>
                <w:color w:val="000000"/>
              </w:rPr>
            </w:pPr>
            <w:r>
              <w:rPr>
                <w:rFonts w:hint="eastAsia" w:ascii="Songti SC" w:hAnsi="Songti SC" w:eastAsia="Songti SC" w:cs="Songti SC"/>
                <w:color w:val="000000"/>
                <w:lang w:bidi="ar"/>
              </w:rPr>
              <w:t>source_file_path（源文件）；类型：varchar(256)</w:t>
            </w:r>
          </w:p>
        </w:tc>
        <w:tc>
          <w:tcPr>
            <w:tcW w:w="1425"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463E4352">
            <w:pPr>
              <w:pStyle w:val="182"/>
              <w:rPr>
                <w:rFonts w:hint="eastAsia"/>
                <w:color w:val="000000"/>
              </w:rPr>
            </w:pPr>
            <w:r>
              <w:rPr>
                <w:rFonts w:hint="eastAsia" w:ascii="Songti SC" w:hAnsi="Songti SC" w:eastAsia="Songti SC" w:cs="Songti SC"/>
                <w:color w:val="000000"/>
              </w:rPr>
              <w:t>（有条件）</w:t>
            </w:r>
          </w:p>
        </w:tc>
        <w:tc>
          <w:tcPr>
            <w:tcW w:w="1260"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5DA96EA3">
            <w:pPr>
              <w:pStyle w:val="182"/>
              <w:rPr>
                <w:rFonts w:hint="eastAsia"/>
                <w:color w:val="000000"/>
              </w:rPr>
            </w:pPr>
            <w:r>
              <w:rPr>
                <w:rFonts w:hint="eastAsia" w:ascii="Songti SC" w:hAnsi="Songti SC" w:eastAsia="Songti SC" w:cs="Songti SC"/>
                <w:color w:val="000000"/>
              </w:rPr>
              <w:t>（库表）</w:t>
            </w:r>
          </w:p>
        </w:tc>
        <w:tc>
          <w:tcPr>
            <w:tcW w:w="1360"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480658DA">
            <w:pPr>
              <w:pStyle w:val="182"/>
              <w:jc w:val="center"/>
              <w:rPr>
                <w:rFonts w:hint="eastAsia"/>
                <w:color w:val="000000"/>
              </w:rPr>
            </w:pPr>
          </w:p>
        </w:tc>
      </w:tr>
      <w:tr w14:paraId="3C021C07">
        <w:trPr>
          <w:trHeight w:val="560" w:hRule="atLeast"/>
        </w:trPr>
        <w:tc>
          <w:tcPr>
            <w:tcW w:w="1633" w:type="dxa"/>
            <w:vMerge w:val="restart"/>
            <w:tcBorders>
              <w:top w:val="single" w:color="auto" w:sz="4" w:space="0"/>
              <w:left w:val="single" w:color="auto" w:sz="4" w:space="0"/>
              <w:right w:val="single" w:color="auto" w:sz="4" w:space="0"/>
            </w:tcBorders>
            <w:shd w:val="clear" w:color="auto" w:fill="FFFFFF" w:themeFill="background1"/>
            <w:vAlign w:val="center"/>
          </w:tcPr>
          <w:p w14:paraId="214B484E">
            <w:pPr>
              <w:pStyle w:val="182"/>
              <w:rPr>
                <w:rFonts w:hint="eastAsia"/>
                <w:color w:val="000000"/>
              </w:rPr>
            </w:pPr>
            <w:r>
              <w:rPr>
                <w:rFonts w:hint="eastAsia" w:ascii="Songti SC" w:hAnsi="Songti SC" w:eastAsia="Songti SC" w:cs="Songti SC"/>
                <w:color w:val="000000"/>
              </w:rPr>
              <w:t>菜品表</w:t>
            </w:r>
          </w:p>
        </w:tc>
        <w:tc>
          <w:tcPr>
            <w:tcW w:w="2265"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60219819">
            <w:pPr>
              <w:pStyle w:val="182"/>
              <w:rPr>
                <w:rFonts w:hint="eastAsia"/>
                <w:color w:val="000000"/>
              </w:rPr>
            </w:pPr>
            <w:r>
              <w:rPr>
                <w:rFonts w:hint="eastAsia" w:ascii="Songti SC" w:hAnsi="Songti SC" w:eastAsia="Songti SC" w:cs="Songti SC"/>
                <w:color w:val="000000"/>
                <w:lang w:bidi="ar"/>
              </w:rPr>
              <w:t>source（1自建0基础）；类型：tinyint(1)</w:t>
            </w:r>
          </w:p>
        </w:tc>
        <w:tc>
          <w:tcPr>
            <w:tcW w:w="1425"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03D4E707">
            <w:pPr>
              <w:pStyle w:val="182"/>
              <w:rPr>
                <w:rFonts w:hint="eastAsia"/>
                <w:color w:val="000000"/>
              </w:rPr>
            </w:pPr>
            <w:r>
              <w:rPr>
                <w:rFonts w:hint="eastAsia" w:ascii="Songti SC" w:hAnsi="Songti SC" w:eastAsia="Songti SC" w:cs="Songti SC"/>
                <w:color w:val="000000"/>
              </w:rPr>
              <w:t>（有条件）</w:t>
            </w:r>
          </w:p>
        </w:tc>
        <w:tc>
          <w:tcPr>
            <w:tcW w:w="1260"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19AFB942">
            <w:pPr>
              <w:pStyle w:val="182"/>
              <w:rPr>
                <w:rFonts w:hint="eastAsia"/>
                <w:color w:val="000000"/>
              </w:rPr>
            </w:pPr>
            <w:r>
              <w:rPr>
                <w:rFonts w:hint="eastAsia" w:ascii="Songti SC" w:hAnsi="Songti SC" w:eastAsia="Songti SC" w:cs="Songti SC"/>
                <w:color w:val="000000"/>
              </w:rPr>
              <w:t>（库表）</w:t>
            </w:r>
          </w:p>
        </w:tc>
        <w:tc>
          <w:tcPr>
            <w:tcW w:w="1360"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0562D7EC">
            <w:pPr>
              <w:pStyle w:val="182"/>
              <w:jc w:val="center"/>
              <w:rPr>
                <w:rFonts w:hint="eastAsia"/>
                <w:color w:val="000000"/>
              </w:rPr>
            </w:pPr>
          </w:p>
        </w:tc>
      </w:tr>
      <w:tr w14:paraId="72811827">
        <w:trPr>
          <w:trHeight w:val="560" w:hRule="atLeast"/>
        </w:trPr>
        <w:tc>
          <w:tcPr>
            <w:tcW w:w="1633" w:type="dxa"/>
            <w:vMerge w:val="restart"/>
            <w:tcBorders>
              <w:top w:val="single" w:color="auto" w:sz="4" w:space="0"/>
              <w:left w:val="single" w:color="auto" w:sz="4" w:space="0"/>
              <w:right w:val="single" w:color="auto" w:sz="4" w:space="0"/>
            </w:tcBorders>
            <w:shd w:val="clear" w:color="auto" w:fill="FFFFFF" w:themeFill="background1"/>
            <w:vAlign w:val="center"/>
          </w:tcPr>
          <w:p w14:paraId="37FA0139">
            <w:pPr>
              <w:pStyle w:val="182"/>
              <w:rPr>
                <w:rFonts w:hint="eastAsia"/>
                <w:color w:val="000000"/>
              </w:rPr>
            </w:pPr>
            <w:r>
              <w:rPr>
                <w:rFonts w:hint="eastAsia" w:ascii="Songti SC" w:hAnsi="Songti SC" w:eastAsia="Songti SC" w:cs="Songti SC"/>
                <w:color w:val="000000"/>
              </w:rPr>
              <w:t>菜品表</w:t>
            </w:r>
          </w:p>
        </w:tc>
        <w:tc>
          <w:tcPr>
            <w:tcW w:w="2265"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0D0DC8E4">
            <w:pPr>
              <w:pStyle w:val="182"/>
              <w:rPr>
                <w:rFonts w:hint="eastAsia"/>
                <w:color w:val="000000"/>
              </w:rPr>
            </w:pPr>
            <w:r>
              <w:rPr>
                <w:rFonts w:hint="eastAsia" w:ascii="Songti SC" w:hAnsi="Songti SC" w:eastAsia="Songti SC" w:cs="Songti SC"/>
                <w:color w:val="000000"/>
                <w:lang w:bidi="ar"/>
              </w:rPr>
              <w:t>update_time（更新时间）；类型：datetime</w:t>
            </w:r>
          </w:p>
        </w:tc>
        <w:tc>
          <w:tcPr>
            <w:tcW w:w="1425"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64E09CDB">
            <w:pPr>
              <w:pStyle w:val="182"/>
              <w:rPr>
                <w:rFonts w:hint="eastAsia"/>
                <w:color w:val="000000"/>
              </w:rPr>
            </w:pPr>
            <w:r>
              <w:rPr>
                <w:rFonts w:hint="eastAsia" w:ascii="Songti SC" w:hAnsi="Songti SC" w:eastAsia="Songti SC" w:cs="Songti SC"/>
                <w:color w:val="000000"/>
              </w:rPr>
              <w:t>（有条件）</w:t>
            </w:r>
          </w:p>
        </w:tc>
        <w:tc>
          <w:tcPr>
            <w:tcW w:w="1260"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17EE6915">
            <w:pPr>
              <w:pStyle w:val="182"/>
              <w:rPr>
                <w:rFonts w:hint="eastAsia"/>
                <w:color w:val="000000"/>
              </w:rPr>
            </w:pPr>
            <w:r>
              <w:rPr>
                <w:rFonts w:hint="eastAsia" w:ascii="Songti SC" w:hAnsi="Songti SC" w:eastAsia="Songti SC" w:cs="Songti SC"/>
                <w:color w:val="000000"/>
              </w:rPr>
              <w:t>（库表）</w:t>
            </w:r>
          </w:p>
        </w:tc>
        <w:tc>
          <w:tcPr>
            <w:tcW w:w="1360"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30421735">
            <w:pPr>
              <w:pStyle w:val="182"/>
              <w:jc w:val="center"/>
              <w:rPr>
                <w:rFonts w:hint="eastAsia"/>
                <w:color w:val="000000"/>
              </w:rPr>
            </w:pPr>
          </w:p>
        </w:tc>
      </w:tr>
      <w:tr w14:paraId="46C7A3DC">
        <w:trPr>
          <w:trHeight w:val="560" w:hRule="atLeast"/>
        </w:trPr>
        <w:tc>
          <w:tcPr>
            <w:tcW w:w="1633" w:type="dxa"/>
            <w:vMerge w:val="restart"/>
            <w:tcBorders>
              <w:top w:val="single" w:color="auto" w:sz="4" w:space="0"/>
              <w:left w:val="single" w:color="auto" w:sz="4" w:space="0"/>
              <w:right w:val="single" w:color="auto" w:sz="4" w:space="0"/>
            </w:tcBorders>
            <w:shd w:val="clear" w:color="auto" w:fill="FFFFFF" w:themeFill="background1"/>
            <w:vAlign w:val="center"/>
          </w:tcPr>
          <w:p w14:paraId="5D889072">
            <w:pPr>
              <w:pStyle w:val="182"/>
              <w:rPr>
                <w:rFonts w:hint="eastAsia"/>
                <w:color w:val="000000"/>
              </w:rPr>
            </w:pPr>
            <w:r>
              <w:rPr>
                <w:rFonts w:hint="eastAsia" w:ascii="Songti SC" w:hAnsi="Songti SC" w:eastAsia="Songti SC" w:cs="Songti SC"/>
                <w:color w:val="000000"/>
              </w:rPr>
              <w:t>菜品表</w:t>
            </w:r>
          </w:p>
        </w:tc>
        <w:tc>
          <w:tcPr>
            <w:tcW w:w="2265"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5B1A3E0E">
            <w:pPr>
              <w:pStyle w:val="182"/>
              <w:rPr>
                <w:rFonts w:hint="eastAsia"/>
                <w:color w:val="000000"/>
              </w:rPr>
            </w:pPr>
            <w:r>
              <w:rPr>
                <w:rFonts w:hint="eastAsia" w:ascii="Songti SC" w:hAnsi="Songti SC" w:eastAsia="Songti SC" w:cs="Songti SC"/>
                <w:color w:val="000000"/>
                <w:lang w:bidi="ar"/>
              </w:rPr>
              <w:t>version（数据变更标识）；类型：int(11)</w:t>
            </w:r>
          </w:p>
        </w:tc>
        <w:tc>
          <w:tcPr>
            <w:tcW w:w="1425"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18CB745B">
            <w:pPr>
              <w:pStyle w:val="182"/>
              <w:rPr>
                <w:rFonts w:hint="eastAsia"/>
                <w:color w:val="000000"/>
              </w:rPr>
            </w:pPr>
            <w:r>
              <w:rPr>
                <w:rFonts w:hint="eastAsia" w:ascii="Songti SC" w:hAnsi="Songti SC" w:eastAsia="Songti SC" w:cs="Songti SC"/>
                <w:color w:val="000000"/>
              </w:rPr>
              <w:t>（有条件）</w:t>
            </w:r>
          </w:p>
        </w:tc>
        <w:tc>
          <w:tcPr>
            <w:tcW w:w="1260"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503B95A8">
            <w:pPr>
              <w:pStyle w:val="182"/>
              <w:rPr>
                <w:rFonts w:hint="eastAsia"/>
                <w:color w:val="000000"/>
              </w:rPr>
            </w:pPr>
            <w:r>
              <w:rPr>
                <w:rFonts w:hint="eastAsia" w:ascii="Songti SC" w:hAnsi="Songti SC" w:eastAsia="Songti SC" w:cs="Songti SC"/>
                <w:color w:val="000000"/>
              </w:rPr>
              <w:t>（库表）</w:t>
            </w:r>
          </w:p>
        </w:tc>
        <w:tc>
          <w:tcPr>
            <w:tcW w:w="1360"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18E93CA1">
            <w:pPr>
              <w:pStyle w:val="182"/>
              <w:jc w:val="center"/>
              <w:rPr>
                <w:rFonts w:hint="eastAsia"/>
                <w:color w:val="000000"/>
              </w:rPr>
            </w:pPr>
          </w:p>
        </w:tc>
      </w:tr>
      <w:tr w14:paraId="3A20AF9A">
        <w:trPr>
          <w:trHeight w:val="560" w:hRule="atLeast"/>
        </w:trPr>
        <w:tc>
          <w:tcPr>
            <w:tcW w:w="1633" w:type="dxa"/>
            <w:vMerge w:val="restart"/>
            <w:tcBorders>
              <w:top w:val="single" w:color="auto" w:sz="4" w:space="0"/>
              <w:left w:val="single" w:color="auto" w:sz="4" w:space="0"/>
              <w:right w:val="single" w:color="auto" w:sz="4" w:space="0"/>
            </w:tcBorders>
            <w:shd w:val="clear" w:color="auto" w:fill="FFFFFF" w:themeFill="background1"/>
            <w:vAlign w:val="center"/>
          </w:tcPr>
          <w:p w14:paraId="73E611AD">
            <w:pPr>
              <w:pStyle w:val="182"/>
              <w:rPr>
                <w:rFonts w:hint="eastAsia"/>
                <w:color w:val="000000"/>
              </w:rPr>
            </w:pPr>
            <w:r>
              <w:rPr>
                <w:rFonts w:hint="eastAsia" w:ascii="Songti SC" w:hAnsi="Songti SC" w:eastAsia="Songti SC" w:cs="Songti SC"/>
                <w:color w:val="000000"/>
              </w:rPr>
              <w:t>消费业务表</w:t>
            </w:r>
          </w:p>
        </w:tc>
        <w:tc>
          <w:tcPr>
            <w:tcW w:w="2265"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5C41031F">
            <w:pPr>
              <w:pStyle w:val="182"/>
              <w:rPr>
                <w:rFonts w:hint="eastAsia"/>
                <w:color w:val="000000"/>
              </w:rPr>
            </w:pPr>
            <w:r>
              <w:rPr>
                <w:rFonts w:hint="eastAsia" w:ascii="Songti SC" w:hAnsi="Songti SC" w:eastAsia="Songti SC" w:cs="Songti SC"/>
                <w:color w:val="000000"/>
                <w:lang w:bidi="ar"/>
              </w:rPr>
              <w:t>id（自增ID）；类型：int(10)</w:t>
            </w:r>
          </w:p>
        </w:tc>
        <w:tc>
          <w:tcPr>
            <w:tcW w:w="1425"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45219E0B">
            <w:pPr>
              <w:pStyle w:val="182"/>
              <w:rPr>
                <w:rFonts w:hint="eastAsia"/>
                <w:color w:val="000000"/>
              </w:rPr>
            </w:pPr>
            <w:r>
              <w:rPr>
                <w:rFonts w:hint="eastAsia" w:ascii="Songti SC" w:hAnsi="Songti SC" w:eastAsia="Songti SC" w:cs="Songti SC"/>
                <w:color w:val="000000"/>
              </w:rPr>
              <w:t>（有条件）</w:t>
            </w:r>
          </w:p>
        </w:tc>
        <w:tc>
          <w:tcPr>
            <w:tcW w:w="1260"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35B8E769">
            <w:pPr>
              <w:pStyle w:val="182"/>
              <w:rPr>
                <w:rFonts w:hint="eastAsia"/>
                <w:color w:val="000000"/>
              </w:rPr>
            </w:pPr>
            <w:r>
              <w:rPr>
                <w:rFonts w:hint="eastAsia" w:ascii="Songti SC" w:hAnsi="Songti SC" w:eastAsia="Songti SC" w:cs="Songti SC"/>
                <w:color w:val="000000"/>
              </w:rPr>
              <w:t>（库表）</w:t>
            </w:r>
          </w:p>
        </w:tc>
        <w:tc>
          <w:tcPr>
            <w:tcW w:w="1360"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119271B4">
            <w:pPr>
              <w:pStyle w:val="182"/>
              <w:jc w:val="center"/>
              <w:rPr>
                <w:rFonts w:hint="eastAsia"/>
                <w:color w:val="000000"/>
              </w:rPr>
            </w:pPr>
          </w:p>
        </w:tc>
      </w:tr>
      <w:tr w14:paraId="0A44B9C5">
        <w:trPr>
          <w:trHeight w:val="560" w:hRule="atLeast"/>
        </w:trPr>
        <w:tc>
          <w:tcPr>
            <w:tcW w:w="1633" w:type="dxa"/>
            <w:vMerge w:val="restart"/>
            <w:tcBorders>
              <w:top w:val="single" w:color="auto" w:sz="4" w:space="0"/>
              <w:left w:val="single" w:color="auto" w:sz="4" w:space="0"/>
              <w:right w:val="single" w:color="auto" w:sz="4" w:space="0"/>
            </w:tcBorders>
            <w:shd w:val="clear" w:color="auto" w:fill="FFFFFF" w:themeFill="background1"/>
            <w:vAlign w:val="center"/>
          </w:tcPr>
          <w:p w14:paraId="12FD7D0A">
            <w:pPr>
              <w:pStyle w:val="182"/>
              <w:rPr>
                <w:rFonts w:hint="eastAsia"/>
                <w:color w:val="000000"/>
              </w:rPr>
            </w:pPr>
            <w:r>
              <w:rPr>
                <w:rFonts w:hint="eastAsia" w:ascii="Songti SC" w:hAnsi="Songti SC" w:eastAsia="Songti SC" w:cs="Songti SC"/>
                <w:color w:val="000000"/>
              </w:rPr>
              <w:t>消费业务表</w:t>
            </w:r>
          </w:p>
        </w:tc>
        <w:tc>
          <w:tcPr>
            <w:tcW w:w="2265"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21B2B729">
            <w:pPr>
              <w:pStyle w:val="182"/>
              <w:rPr>
                <w:rFonts w:hint="eastAsia"/>
                <w:color w:val="000000"/>
              </w:rPr>
            </w:pPr>
            <w:r>
              <w:rPr>
                <w:rFonts w:hint="eastAsia" w:ascii="Songti SC" w:hAnsi="Songti SC" w:eastAsia="Songti SC" w:cs="Songti SC"/>
                <w:color w:val="000000"/>
                <w:lang w:bidi="ar"/>
              </w:rPr>
              <w:t>uuid（UUID）；类型：char(36)</w:t>
            </w:r>
          </w:p>
        </w:tc>
        <w:tc>
          <w:tcPr>
            <w:tcW w:w="1425"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60296128">
            <w:pPr>
              <w:pStyle w:val="182"/>
              <w:rPr>
                <w:rFonts w:hint="eastAsia"/>
                <w:color w:val="000000"/>
              </w:rPr>
            </w:pPr>
            <w:r>
              <w:rPr>
                <w:rFonts w:hint="eastAsia" w:ascii="Songti SC" w:hAnsi="Songti SC" w:eastAsia="Songti SC" w:cs="Songti SC"/>
                <w:color w:val="000000"/>
              </w:rPr>
              <w:t>（有条件）</w:t>
            </w:r>
          </w:p>
        </w:tc>
        <w:tc>
          <w:tcPr>
            <w:tcW w:w="1260"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2E811D64">
            <w:pPr>
              <w:pStyle w:val="182"/>
              <w:rPr>
                <w:rFonts w:hint="eastAsia"/>
                <w:color w:val="000000"/>
              </w:rPr>
            </w:pPr>
            <w:r>
              <w:rPr>
                <w:rFonts w:hint="eastAsia" w:ascii="Songti SC" w:hAnsi="Songti SC" w:eastAsia="Songti SC" w:cs="Songti SC"/>
                <w:color w:val="000000"/>
              </w:rPr>
              <w:t>（库表）</w:t>
            </w:r>
          </w:p>
        </w:tc>
        <w:tc>
          <w:tcPr>
            <w:tcW w:w="1360"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2A514159">
            <w:pPr>
              <w:pStyle w:val="182"/>
              <w:jc w:val="center"/>
              <w:rPr>
                <w:rFonts w:hint="eastAsia"/>
                <w:color w:val="000000"/>
              </w:rPr>
            </w:pPr>
          </w:p>
        </w:tc>
      </w:tr>
      <w:tr w14:paraId="351C698A">
        <w:trPr>
          <w:trHeight w:val="560" w:hRule="atLeast"/>
        </w:trPr>
        <w:tc>
          <w:tcPr>
            <w:tcW w:w="1633" w:type="dxa"/>
            <w:vMerge w:val="restart"/>
            <w:tcBorders>
              <w:top w:val="single" w:color="auto" w:sz="4" w:space="0"/>
              <w:left w:val="single" w:color="auto" w:sz="4" w:space="0"/>
              <w:right w:val="single" w:color="auto" w:sz="4" w:space="0"/>
            </w:tcBorders>
            <w:shd w:val="clear" w:color="auto" w:fill="FFFFFF" w:themeFill="background1"/>
            <w:vAlign w:val="center"/>
          </w:tcPr>
          <w:p w14:paraId="09976428">
            <w:pPr>
              <w:pStyle w:val="182"/>
              <w:rPr>
                <w:rFonts w:hint="eastAsia"/>
                <w:color w:val="000000"/>
              </w:rPr>
            </w:pPr>
            <w:r>
              <w:rPr>
                <w:rFonts w:hint="eastAsia" w:ascii="Songti SC" w:hAnsi="Songti SC" w:eastAsia="Songti SC" w:cs="Songti SC"/>
                <w:color w:val="000000"/>
              </w:rPr>
              <w:t>消费业务表</w:t>
            </w:r>
          </w:p>
        </w:tc>
        <w:tc>
          <w:tcPr>
            <w:tcW w:w="2265"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0FE9FEBE">
            <w:pPr>
              <w:pStyle w:val="182"/>
              <w:rPr>
                <w:rFonts w:hint="eastAsia"/>
                <w:color w:val="000000"/>
              </w:rPr>
            </w:pPr>
            <w:r>
              <w:rPr>
                <w:rFonts w:hint="eastAsia" w:ascii="Songti SC" w:hAnsi="Songti SC" w:eastAsia="Songti SC" w:cs="Songti SC"/>
                <w:color w:val="000000"/>
                <w:lang w:bidi="ar"/>
              </w:rPr>
              <w:t>order_no（交易订单号）；类型：varchar(64)</w:t>
            </w:r>
          </w:p>
        </w:tc>
        <w:tc>
          <w:tcPr>
            <w:tcW w:w="1425"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1EDE78F2">
            <w:pPr>
              <w:pStyle w:val="182"/>
              <w:rPr>
                <w:rFonts w:hint="eastAsia"/>
                <w:color w:val="000000"/>
              </w:rPr>
            </w:pPr>
            <w:r>
              <w:rPr>
                <w:rFonts w:hint="eastAsia" w:ascii="Songti SC" w:hAnsi="Songti SC" w:eastAsia="Songti SC" w:cs="Songti SC"/>
                <w:color w:val="000000"/>
              </w:rPr>
              <w:t>（有条件）</w:t>
            </w:r>
          </w:p>
        </w:tc>
        <w:tc>
          <w:tcPr>
            <w:tcW w:w="1260"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57D29F0C">
            <w:pPr>
              <w:pStyle w:val="182"/>
              <w:rPr>
                <w:rFonts w:hint="eastAsia"/>
                <w:color w:val="000000"/>
              </w:rPr>
            </w:pPr>
            <w:r>
              <w:rPr>
                <w:rFonts w:hint="eastAsia" w:ascii="Songti SC" w:hAnsi="Songti SC" w:eastAsia="Songti SC" w:cs="Songti SC"/>
                <w:color w:val="000000"/>
              </w:rPr>
              <w:t>（库表）</w:t>
            </w:r>
          </w:p>
        </w:tc>
        <w:tc>
          <w:tcPr>
            <w:tcW w:w="1360"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462C85F9">
            <w:pPr>
              <w:pStyle w:val="182"/>
              <w:jc w:val="center"/>
              <w:rPr>
                <w:rFonts w:hint="eastAsia"/>
                <w:color w:val="000000"/>
              </w:rPr>
            </w:pPr>
          </w:p>
        </w:tc>
      </w:tr>
      <w:tr w14:paraId="1A55581B">
        <w:trPr>
          <w:trHeight w:val="560" w:hRule="atLeast"/>
        </w:trPr>
        <w:tc>
          <w:tcPr>
            <w:tcW w:w="1633" w:type="dxa"/>
            <w:vMerge w:val="restart"/>
            <w:tcBorders>
              <w:top w:val="single" w:color="auto" w:sz="4" w:space="0"/>
              <w:left w:val="single" w:color="auto" w:sz="4" w:space="0"/>
              <w:right w:val="single" w:color="auto" w:sz="4" w:space="0"/>
            </w:tcBorders>
            <w:shd w:val="clear" w:color="auto" w:fill="FFFFFF" w:themeFill="background1"/>
            <w:vAlign w:val="center"/>
          </w:tcPr>
          <w:p w14:paraId="1E09A2EF">
            <w:pPr>
              <w:pStyle w:val="182"/>
              <w:rPr>
                <w:rFonts w:hint="eastAsia"/>
                <w:color w:val="000000"/>
              </w:rPr>
            </w:pPr>
            <w:r>
              <w:rPr>
                <w:rFonts w:hint="eastAsia" w:ascii="Songti SC" w:hAnsi="Songti SC" w:eastAsia="Songti SC" w:cs="Songti SC"/>
                <w:color w:val="000000"/>
              </w:rPr>
              <w:t>消费业务表</w:t>
            </w:r>
          </w:p>
        </w:tc>
        <w:tc>
          <w:tcPr>
            <w:tcW w:w="2265"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72BC6F75">
            <w:pPr>
              <w:pStyle w:val="182"/>
              <w:rPr>
                <w:rFonts w:hint="eastAsia"/>
                <w:color w:val="000000"/>
              </w:rPr>
            </w:pPr>
            <w:r>
              <w:rPr>
                <w:rFonts w:hint="eastAsia" w:ascii="Songti SC" w:hAnsi="Songti SC" w:eastAsia="Songti SC" w:cs="Songti SC"/>
                <w:color w:val="000000"/>
                <w:lang w:bidi="ar"/>
              </w:rPr>
              <w:t>person_id（脱敏人员标识）；类型：varchar(64)</w:t>
            </w:r>
          </w:p>
        </w:tc>
        <w:tc>
          <w:tcPr>
            <w:tcW w:w="1425"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420CC407">
            <w:pPr>
              <w:pStyle w:val="182"/>
              <w:rPr>
                <w:rFonts w:hint="eastAsia"/>
                <w:color w:val="000000"/>
              </w:rPr>
            </w:pPr>
            <w:r>
              <w:rPr>
                <w:rFonts w:hint="eastAsia" w:ascii="Songti SC" w:hAnsi="Songti SC" w:eastAsia="Songti SC" w:cs="Songti SC"/>
                <w:color w:val="000000"/>
              </w:rPr>
              <w:t>（有条件）</w:t>
            </w:r>
          </w:p>
        </w:tc>
        <w:tc>
          <w:tcPr>
            <w:tcW w:w="1260"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7EC9295D">
            <w:pPr>
              <w:pStyle w:val="182"/>
              <w:rPr>
                <w:rFonts w:hint="eastAsia"/>
                <w:color w:val="000000"/>
              </w:rPr>
            </w:pPr>
            <w:r>
              <w:rPr>
                <w:rFonts w:hint="eastAsia" w:ascii="Songti SC" w:hAnsi="Songti SC" w:eastAsia="Songti SC" w:cs="Songti SC"/>
                <w:color w:val="000000"/>
              </w:rPr>
              <w:t>（库表）</w:t>
            </w:r>
          </w:p>
        </w:tc>
        <w:tc>
          <w:tcPr>
            <w:tcW w:w="1360"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0644D969">
            <w:pPr>
              <w:pStyle w:val="182"/>
              <w:jc w:val="center"/>
              <w:rPr>
                <w:rFonts w:hint="eastAsia"/>
                <w:color w:val="000000"/>
              </w:rPr>
            </w:pPr>
          </w:p>
        </w:tc>
      </w:tr>
      <w:tr w14:paraId="61961414">
        <w:trPr>
          <w:trHeight w:val="560" w:hRule="atLeast"/>
        </w:trPr>
        <w:tc>
          <w:tcPr>
            <w:tcW w:w="1633" w:type="dxa"/>
            <w:vMerge w:val="restart"/>
            <w:tcBorders>
              <w:top w:val="single" w:color="auto" w:sz="4" w:space="0"/>
              <w:left w:val="single" w:color="auto" w:sz="4" w:space="0"/>
              <w:right w:val="single" w:color="auto" w:sz="4" w:space="0"/>
            </w:tcBorders>
            <w:shd w:val="clear" w:color="auto" w:fill="FFFFFF" w:themeFill="background1"/>
            <w:vAlign w:val="center"/>
          </w:tcPr>
          <w:p w14:paraId="5721B7CF">
            <w:pPr>
              <w:pStyle w:val="182"/>
              <w:rPr>
                <w:rFonts w:hint="eastAsia"/>
                <w:color w:val="000000"/>
              </w:rPr>
            </w:pPr>
            <w:r>
              <w:rPr>
                <w:rFonts w:hint="eastAsia" w:ascii="Songti SC" w:hAnsi="Songti SC" w:eastAsia="Songti SC" w:cs="Songti SC"/>
                <w:color w:val="000000"/>
              </w:rPr>
              <w:t>消费业务表</w:t>
            </w:r>
          </w:p>
        </w:tc>
        <w:tc>
          <w:tcPr>
            <w:tcW w:w="2265"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43955C49">
            <w:pPr>
              <w:pStyle w:val="182"/>
              <w:rPr>
                <w:rFonts w:hint="eastAsia"/>
                <w:color w:val="000000"/>
              </w:rPr>
            </w:pPr>
            <w:r>
              <w:rPr>
                <w:rFonts w:hint="eastAsia" w:ascii="Songti SC" w:hAnsi="Songti SC" w:eastAsia="Songti SC" w:cs="Songti SC"/>
                <w:color w:val="000000"/>
                <w:lang w:val="en-US" w:eastAsia="zh-CN" w:bidi="ar"/>
              </w:rPr>
              <w:t>r</w:t>
            </w:r>
            <w:r>
              <w:rPr>
                <w:rFonts w:hint="eastAsia" w:ascii="Songti SC" w:hAnsi="Songti SC" w:eastAsia="Songti SC" w:cs="Songti SC"/>
                <w:color w:val="000000"/>
                <w:lang w:bidi="ar"/>
              </w:rPr>
              <w:t>estaurant_id（餐厅标识）；类型：varchar(64)</w:t>
            </w:r>
          </w:p>
        </w:tc>
        <w:tc>
          <w:tcPr>
            <w:tcW w:w="1425"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54023F6D">
            <w:pPr>
              <w:pStyle w:val="182"/>
              <w:rPr>
                <w:rFonts w:hint="eastAsia"/>
                <w:color w:val="000000"/>
              </w:rPr>
            </w:pPr>
            <w:r>
              <w:rPr>
                <w:rFonts w:hint="eastAsia" w:ascii="Songti SC" w:hAnsi="Songti SC" w:eastAsia="Songti SC" w:cs="Songti SC"/>
                <w:color w:val="000000"/>
              </w:rPr>
              <w:t>（有条件）</w:t>
            </w:r>
          </w:p>
        </w:tc>
        <w:tc>
          <w:tcPr>
            <w:tcW w:w="1260"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75480971">
            <w:pPr>
              <w:pStyle w:val="182"/>
              <w:rPr>
                <w:rFonts w:hint="eastAsia"/>
                <w:color w:val="000000"/>
              </w:rPr>
            </w:pPr>
            <w:r>
              <w:rPr>
                <w:rFonts w:hint="eastAsia" w:ascii="Songti SC" w:hAnsi="Songti SC" w:eastAsia="Songti SC" w:cs="Songti SC"/>
                <w:color w:val="000000"/>
              </w:rPr>
              <w:t>（库表）</w:t>
            </w:r>
          </w:p>
        </w:tc>
        <w:tc>
          <w:tcPr>
            <w:tcW w:w="1360"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679F33E0">
            <w:pPr>
              <w:pStyle w:val="182"/>
              <w:jc w:val="center"/>
              <w:rPr>
                <w:rFonts w:hint="eastAsia"/>
                <w:color w:val="000000"/>
              </w:rPr>
            </w:pPr>
          </w:p>
        </w:tc>
      </w:tr>
      <w:tr w14:paraId="037D854E">
        <w:trPr>
          <w:trHeight w:val="560" w:hRule="atLeast"/>
        </w:trPr>
        <w:tc>
          <w:tcPr>
            <w:tcW w:w="1633" w:type="dxa"/>
            <w:vMerge w:val="restart"/>
            <w:tcBorders>
              <w:top w:val="single" w:color="auto" w:sz="4" w:space="0"/>
              <w:left w:val="single" w:color="auto" w:sz="4" w:space="0"/>
              <w:right w:val="single" w:color="auto" w:sz="4" w:space="0"/>
            </w:tcBorders>
            <w:shd w:val="clear" w:color="auto" w:fill="FFFFFF" w:themeFill="background1"/>
            <w:vAlign w:val="center"/>
          </w:tcPr>
          <w:p w14:paraId="558D3F32">
            <w:pPr>
              <w:pStyle w:val="182"/>
              <w:rPr>
                <w:rFonts w:hint="eastAsia"/>
                <w:color w:val="000000"/>
              </w:rPr>
            </w:pPr>
            <w:r>
              <w:rPr>
                <w:rFonts w:hint="eastAsia" w:ascii="Songti SC" w:hAnsi="Songti SC" w:eastAsia="Songti SC" w:cs="Songti SC"/>
                <w:color w:val="000000"/>
              </w:rPr>
              <w:t>消费业务表</w:t>
            </w:r>
          </w:p>
        </w:tc>
        <w:tc>
          <w:tcPr>
            <w:tcW w:w="2265"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26BE4BA4">
            <w:pPr>
              <w:pStyle w:val="182"/>
              <w:rPr>
                <w:rFonts w:hint="eastAsia"/>
                <w:color w:val="000000"/>
              </w:rPr>
            </w:pPr>
            <w:r>
              <w:rPr>
                <w:rFonts w:hint="eastAsia" w:ascii="Songti SC" w:hAnsi="Songti SC" w:eastAsia="Songti SC" w:cs="Songti SC"/>
                <w:color w:val="000000"/>
                <w:lang w:bidi="ar"/>
              </w:rPr>
              <w:t>device_id（消费设备标识）；类型：varchar(64)</w:t>
            </w:r>
          </w:p>
        </w:tc>
        <w:tc>
          <w:tcPr>
            <w:tcW w:w="1425"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6D688A53">
            <w:pPr>
              <w:pStyle w:val="182"/>
              <w:rPr>
                <w:rFonts w:hint="eastAsia"/>
                <w:color w:val="000000"/>
              </w:rPr>
            </w:pPr>
            <w:r>
              <w:rPr>
                <w:rFonts w:hint="eastAsia" w:ascii="Songti SC" w:hAnsi="Songti SC" w:eastAsia="Songti SC" w:cs="Songti SC"/>
                <w:color w:val="000000"/>
              </w:rPr>
              <w:t>（有条件）</w:t>
            </w:r>
          </w:p>
        </w:tc>
        <w:tc>
          <w:tcPr>
            <w:tcW w:w="1260"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5E8F7162">
            <w:pPr>
              <w:pStyle w:val="182"/>
              <w:rPr>
                <w:rFonts w:hint="eastAsia"/>
                <w:color w:val="000000"/>
              </w:rPr>
            </w:pPr>
            <w:r>
              <w:rPr>
                <w:rFonts w:hint="eastAsia" w:ascii="Songti SC" w:hAnsi="Songti SC" w:eastAsia="Songti SC" w:cs="Songti SC"/>
                <w:color w:val="000000"/>
              </w:rPr>
              <w:t>（库表）</w:t>
            </w:r>
          </w:p>
        </w:tc>
        <w:tc>
          <w:tcPr>
            <w:tcW w:w="1360"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3FFDB7B6">
            <w:pPr>
              <w:pStyle w:val="182"/>
              <w:jc w:val="center"/>
              <w:rPr>
                <w:rFonts w:hint="eastAsia"/>
                <w:color w:val="000000"/>
              </w:rPr>
            </w:pPr>
          </w:p>
        </w:tc>
      </w:tr>
      <w:tr w14:paraId="43EF96CE">
        <w:trPr>
          <w:trHeight w:val="560" w:hRule="atLeast"/>
        </w:trPr>
        <w:tc>
          <w:tcPr>
            <w:tcW w:w="1633" w:type="dxa"/>
            <w:vMerge w:val="restart"/>
            <w:tcBorders>
              <w:top w:val="single" w:color="auto" w:sz="4" w:space="0"/>
              <w:left w:val="single" w:color="auto" w:sz="4" w:space="0"/>
              <w:right w:val="single" w:color="auto" w:sz="4" w:space="0"/>
            </w:tcBorders>
            <w:shd w:val="clear" w:color="auto" w:fill="FFFFFF" w:themeFill="background1"/>
            <w:vAlign w:val="center"/>
          </w:tcPr>
          <w:p w14:paraId="016FC00E">
            <w:pPr>
              <w:pStyle w:val="182"/>
              <w:rPr>
                <w:rFonts w:hint="eastAsia"/>
                <w:color w:val="000000"/>
              </w:rPr>
            </w:pPr>
            <w:r>
              <w:rPr>
                <w:rFonts w:hint="eastAsia" w:ascii="Songti SC" w:hAnsi="Songti SC" w:eastAsia="Songti SC" w:cs="Songti SC"/>
                <w:color w:val="000000"/>
              </w:rPr>
              <w:t>消费业务表</w:t>
            </w:r>
          </w:p>
        </w:tc>
        <w:tc>
          <w:tcPr>
            <w:tcW w:w="2265"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37278DD6">
            <w:pPr>
              <w:pStyle w:val="182"/>
              <w:rPr>
                <w:rFonts w:hint="eastAsia"/>
                <w:color w:val="000000"/>
              </w:rPr>
            </w:pPr>
            <w:r>
              <w:rPr>
                <w:rFonts w:hint="eastAsia" w:ascii="Songti SC" w:hAnsi="Songti SC" w:eastAsia="Songti SC" w:cs="Songti SC"/>
                <w:color w:val="000000"/>
                <w:lang w:bidi="ar"/>
              </w:rPr>
              <w:t>meal_times（餐次）；类型：tinyint(1)</w:t>
            </w:r>
          </w:p>
        </w:tc>
        <w:tc>
          <w:tcPr>
            <w:tcW w:w="1425"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03791FCA">
            <w:pPr>
              <w:pStyle w:val="182"/>
              <w:rPr>
                <w:rFonts w:hint="eastAsia"/>
                <w:color w:val="000000"/>
              </w:rPr>
            </w:pPr>
            <w:r>
              <w:rPr>
                <w:rFonts w:hint="eastAsia" w:ascii="Songti SC" w:hAnsi="Songti SC" w:eastAsia="Songti SC" w:cs="Songti SC"/>
                <w:color w:val="000000"/>
              </w:rPr>
              <w:t>（有条件）</w:t>
            </w:r>
          </w:p>
        </w:tc>
        <w:tc>
          <w:tcPr>
            <w:tcW w:w="1260"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58C54D8A">
            <w:pPr>
              <w:pStyle w:val="182"/>
              <w:rPr>
                <w:rFonts w:hint="eastAsia"/>
                <w:color w:val="000000"/>
              </w:rPr>
            </w:pPr>
            <w:r>
              <w:rPr>
                <w:rFonts w:hint="eastAsia" w:ascii="Songti SC" w:hAnsi="Songti SC" w:eastAsia="Songti SC" w:cs="Songti SC"/>
                <w:color w:val="000000"/>
              </w:rPr>
              <w:t>（库表）</w:t>
            </w:r>
          </w:p>
        </w:tc>
        <w:tc>
          <w:tcPr>
            <w:tcW w:w="1360"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243C9A13">
            <w:pPr>
              <w:pStyle w:val="182"/>
              <w:jc w:val="center"/>
              <w:rPr>
                <w:rFonts w:hint="eastAsia"/>
                <w:color w:val="000000"/>
              </w:rPr>
            </w:pPr>
          </w:p>
        </w:tc>
      </w:tr>
      <w:tr w14:paraId="15B6E213">
        <w:trPr>
          <w:trHeight w:val="560" w:hRule="atLeast"/>
        </w:trPr>
        <w:tc>
          <w:tcPr>
            <w:tcW w:w="1633" w:type="dxa"/>
            <w:vMerge w:val="restart"/>
            <w:tcBorders>
              <w:top w:val="single" w:color="auto" w:sz="4" w:space="0"/>
              <w:left w:val="single" w:color="auto" w:sz="4" w:space="0"/>
              <w:right w:val="single" w:color="auto" w:sz="4" w:space="0"/>
            </w:tcBorders>
            <w:shd w:val="clear" w:color="auto" w:fill="FFFFFF" w:themeFill="background1"/>
            <w:vAlign w:val="center"/>
          </w:tcPr>
          <w:p w14:paraId="597936C0">
            <w:pPr>
              <w:pStyle w:val="182"/>
              <w:rPr>
                <w:rFonts w:hint="eastAsia"/>
                <w:color w:val="000000"/>
              </w:rPr>
            </w:pPr>
            <w:r>
              <w:rPr>
                <w:rFonts w:hint="eastAsia" w:ascii="Songti SC" w:hAnsi="Songti SC" w:eastAsia="Songti SC" w:cs="Songti SC"/>
                <w:color w:val="000000"/>
              </w:rPr>
              <w:t>消费业务表</w:t>
            </w:r>
          </w:p>
        </w:tc>
        <w:tc>
          <w:tcPr>
            <w:tcW w:w="2265"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1A363C65">
            <w:pPr>
              <w:pStyle w:val="182"/>
              <w:rPr>
                <w:rFonts w:hint="eastAsia"/>
                <w:color w:val="000000"/>
              </w:rPr>
            </w:pPr>
            <w:r>
              <w:rPr>
                <w:rFonts w:hint="eastAsia" w:ascii="Songti SC" w:hAnsi="Songti SC" w:eastAsia="Songti SC" w:cs="Songti SC"/>
                <w:color w:val="000000"/>
                <w:lang w:bidi="ar"/>
              </w:rPr>
              <w:t>trade_time（交易时间）；类型：datetime</w:t>
            </w:r>
          </w:p>
        </w:tc>
        <w:tc>
          <w:tcPr>
            <w:tcW w:w="1425"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2DB79D99">
            <w:pPr>
              <w:pStyle w:val="182"/>
              <w:rPr>
                <w:rFonts w:hint="eastAsia"/>
                <w:color w:val="000000"/>
              </w:rPr>
            </w:pPr>
            <w:r>
              <w:rPr>
                <w:rFonts w:hint="eastAsia" w:ascii="Songti SC" w:hAnsi="Songti SC" w:eastAsia="Songti SC" w:cs="Songti SC"/>
                <w:color w:val="000000"/>
              </w:rPr>
              <w:t>（有条件）</w:t>
            </w:r>
          </w:p>
        </w:tc>
        <w:tc>
          <w:tcPr>
            <w:tcW w:w="1260"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7825C52E">
            <w:pPr>
              <w:pStyle w:val="182"/>
              <w:rPr>
                <w:rFonts w:hint="eastAsia"/>
                <w:color w:val="000000"/>
              </w:rPr>
            </w:pPr>
            <w:r>
              <w:rPr>
                <w:rFonts w:hint="eastAsia" w:ascii="Songti SC" w:hAnsi="Songti SC" w:eastAsia="Songti SC" w:cs="Songti SC"/>
                <w:color w:val="000000"/>
              </w:rPr>
              <w:t>（库表）</w:t>
            </w:r>
          </w:p>
        </w:tc>
        <w:tc>
          <w:tcPr>
            <w:tcW w:w="1360"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5C0A644E">
            <w:pPr>
              <w:pStyle w:val="182"/>
              <w:jc w:val="center"/>
              <w:rPr>
                <w:rFonts w:hint="eastAsia"/>
                <w:color w:val="000000"/>
              </w:rPr>
            </w:pPr>
          </w:p>
        </w:tc>
      </w:tr>
      <w:tr w14:paraId="28CB52AC">
        <w:trPr>
          <w:trHeight w:val="560" w:hRule="atLeast"/>
        </w:trPr>
        <w:tc>
          <w:tcPr>
            <w:tcW w:w="1633" w:type="dxa"/>
            <w:vMerge w:val="restart"/>
            <w:tcBorders>
              <w:top w:val="single" w:color="auto" w:sz="4" w:space="0"/>
              <w:left w:val="single" w:color="auto" w:sz="4" w:space="0"/>
              <w:right w:val="single" w:color="auto" w:sz="4" w:space="0"/>
            </w:tcBorders>
            <w:shd w:val="clear" w:color="auto" w:fill="FFFFFF" w:themeFill="background1"/>
            <w:vAlign w:val="center"/>
          </w:tcPr>
          <w:p w14:paraId="240BAF4C">
            <w:pPr>
              <w:pStyle w:val="182"/>
              <w:rPr>
                <w:rFonts w:hint="eastAsia"/>
                <w:color w:val="000000"/>
              </w:rPr>
            </w:pPr>
            <w:r>
              <w:rPr>
                <w:rFonts w:hint="eastAsia" w:ascii="Songti SC" w:hAnsi="Songti SC" w:eastAsia="Songti SC" w:cs="Songti SC"/>
                <w:color w:val="000000"/>
              </w:rPr>
              <w:t>消费业务表</w:t>
            </w:r>
          </w:p>
        </w:tc>
        <w:tc>
          <w:tcPr>
            <w:tcW w:w="2265"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6F50B985">
            <w:pPr>
              <w:pStyle w:val="182"/>
              <w:rPr>
                <w:rFonts w:hint="eastAsia"/>
                <w:color w:val="000000"/>
              </w:rPr>
            </w:pPr>
            <w:r>
              <w:rPr>
                <w:rFonts w:hint="eastAsia" w:ascii="Songti SC" w:hAnsi="Songti SC" w:eastAsia="Songti SC" w:cs="Songti SC"/>
                <w:color w:val="000000"/>
                <w:lang w:bidi="ar"/>
              </w:rPr>
              <w:t>amount（交易金额）；类型：decimal(12,2)</w:t>
            </w:r>
          </w:p>
        </w:tc>
        <w:tc>
          <w:tcPr>
            <w:tcW w:w="1425"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06EA0507">
            <w:pPr>
              <w:pStyle w:val="182"/>
              <w:rPr>
                <w:rFonts w:hint="eastAsia"/>
                <w:color w:val="000000"/>
              </w:rPr>
            </w:pPr>
            <w:r>
              <w:rPr>
                <w:rFonts w:hint="eastAsia" w:ascii="Songti SC" w:hAnsi="Songti SC" w:eastAsia="Songti SC" w:cs="Songti SC"/>
                <w:color w:val="000000"/>
              </w:rPr>
              <w:t>（有条件）</w:t>
            </w:r>
          </w:p>
        </w:tc>
        <w:tc>
          <w:tcPr>
            <w:tcW w:w="1260"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5ACF8B9F">
            <w:pPr>
              <w:pStyle w:val="182"/>
              <w:rPr>
                <w:rFonts w:hint="eastAsia"/>
                <w:color w:val="000000"/>
              </w:rPr>
            </w:pPr>
            <w:r>
              <w:rPr>
                <w:rFonts w:hint="eastAsia" w:ascii="Songti SC" w:hAnsi="Songti SC" w:eastAsia="Songti SC" w:cs="Songti SC"/>
                <w:color w:val="000000"/>
              </w:rPr>
              <w:t>（库表）</w:t>
            </w:r>
          </w:p>
        </w:tc>
        <w:tc>
          <w:tcPr>
            <w:tcW w:w="1360"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672C47CC">
            <w:pPr>
              <w:pStyle w:val="182"/>
              <w:jc w:val="center"/>
              <w:rPr>
                <w:rFonts w:hint="eastAsia"/>
                <w:color w:val="000000"/>
              </w:rPr>
            </w:pPr>
          </w:p>
        </w:tc>
      </w:tr>
      <w:tr w14:paraId="588D8F20">
        <w:trPr>
          <w:trHeight w:val="560" w:hRule="atLeast"/>
        </w:trPr>
        <w:tc>
          <w:tcPr>
            <w:tcW w:w="1633" w:type="dxa"/>
            <w:vMerge w:val="restart"/>
            <w:tcBorders>
              <w:top w:val="single" w:color="auto" w:sz="4" w:space="0"/>
              <w:left w:val="single" w:color="auto" w:sz="4" w:space="0"/>
              <w:right w:val="single" w:color="auto" w:sz="4" w:space="0"/>
            </w:tcBorders>
            <w:shd w:val="clear" w:color="auto" w:fill="FFFFFF" w:themeFill="background1"/>
            <w:vAlign w:val="center"/>
          </w:tcPr>
          <w:p w14:paraId="1B2F6A1A">
            <w:pPr>
              <w:pStyle w:val="182"/>
              <w:rPr>
                <w:rFonts w:hint="eastAsia"/>
                <w:color w:val="000000"/>
              </w:rPr>
            </w:pPr>
            <w:r>
              <w:rPr>
                <w:rFonts w:hint="eastAsia" w:ascii="Songti SC" w:hAnsi="Songti SC" w:eastAsia="Songti SC" w:cs="Songti SC"/>
                <w:color w:val="000000"/>
              </w:rPr>
              <w:t>消费业务表</w:t>
            </w:r>
          </w:p>
        </w:tc>
        <w:tc>
          <w:tcPr>
            <w:tcW w:w="2265"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05062437">
            <w:pPr>
              <w:pStyle w:val="182"/>
              <w:rPr>
                <w:rFonts w:hint="eastAsia"/>
                <w:color w:val="000000"/>
              </w:rPr>
            </w:pPr>
            <w:r>
              <w:rPr>
                <w:rFonts w:hint="eastAsia" w:ascii="Songti SC" w:hAnsi="Songti SC" w:eastAsia="Songti SC" w:cs="Songti SC"/>
                <w:color w:val="000000"/>
                <w:lang w:bidi="ar"/>
              </w:rPr>
              <w:t>pay_type（支付方式）；类型：tinyint(2)</w:t>
            </w:r>
          </w:p>
        </w:tc>
        <w:tc>
          <w:tcPr>
            <w:tcW w:w="1425"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57A8115E">
            <w:pPr>
              <w:pStyle w:val="182"/>
              <w:rPr>
                <w:rFonts w:hint="eastAsia"/>
                <w:color w:val="000000"/>
              </w:rPr>
            </w:pPr>
            <w:r>
              <w:rPr>
                <w:rFonts w:hint="eastAsia" w:ascii="Songti SC" w:hAnsi="Songti SC" w:eastAsia="Songti SC" w:cs="Songti SC"/>
                <w:color w:val="000000"/>
              </w:rPr>
              <w:t>（有条件）</w:t>
            </w:r>
          </w:p>
        </w:tc>
        <w:tc>
          <w:tcPr>
            <w:tcW w:w="1260"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65AF369C">
            <w:pPr>
              <w:pStyle w:val="182"/>
              <w:rPr>
                <w:rFonts w:hint="eastAsia"/>
                <w:color w:val="000000"/>
              </w:rPr>
            </w:pPr>
            <w:r>
              <w:rPr>
                <w:rFonts w:hint="eastAsia" w:ascii="Songti SC" w:hAnsi="Songti SC" w:eastAsia="Songti SC" w:cs="Songti SC"/>
                <w:color w:val="000000"/>
              </w:rPr>
              <w:t>（库表）</w:t>
            </w:r>
          </w:p>
        </w:tc>
        <w:tc>
          <w:tcPr>
            <w:tcW w:w="1360"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0DCEFB5B">
            <w:pPr>
              <w:pStyle w:val="182"/>
              <w:jc w:val="center"/>
              <w:rPr>
                <w:rFonts w:hint="eastAsia"/>
                <w:color w:val="000000"/>
              </w:rPr>
            </w:pPr>
          </w:p>
        </w:tc>
      </w:tr>
      <w:tr w14:paraId="64B1768B">
        <w:trPr>
          <w:trHeight w:val="560" w:hRule="atLeast"/>
        </w:trPr>
        <w:tc>
          <w:tcPr>
            <w:tcW w:w="1633" w:type="dxa"/>
            <w:vMerge w:val="restart"/>
            <w:tcBorders>
              <w:top w:val="single" w:color="auto" w:sz="4" w:space="0"/>
              <w:left w:val="single" w:color="auto" w:sz="4" w:space="0"/>
              <w:right w:val="single" w:color="auto" w:sz="4" w:space="0"/>
            </w:tcBorders>
            <w:shd w:val="clear" w:color="auto" w:fill="FFFFFF" w:themeFill="background1"/>
            <w:vAlign w:val="center"/>
          </w:tcPr>
          <w:p w14:paraId="49B899E3">
            <w:pPr>
              <w:pStyle w:val="182"/>
              <w:ind w:left="0" w:leftChars="0" w:firstLine="0" w:firstLineChars="0"/>
              <w:rPr>
                <w:rFonts w:hint="eastAsia"/>
                <w:color w:val="000000"/>
              </w:rPr>
            </w:pPr>
            <w:r>
              <w:rPr>
                <w:rFonts w:hint="eastAsia" w:ascii="Songti SC" w:hAnsi="Songti SC" w:eastAsia="Songti SC" w:cs="Songti SC"/>
                <w:color w:val="000000"/>
              </w:rPr>
              <w:t>消费业务表</w:t>
            </w:r>
          </w:p>
        </w:tc>
        <w:tc>
          <w:tcPr>
            <w:tcW w:w="2265"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49F47C72">
            <w:pPr>
              <w:pStyle w:val="182"/>
              <w:rPr>
                <w:rFonts w:hint="eastAsia"/>
                <w:color w:val="000000"/>
              </w:rPr>
            </w:pPr>
            <w:r>
              <w:rPr>
                <w:rFonts w:hint="eastAsia" w:ascii="Songti SC" w:hAnsi="Songti SC" w:eastAsia="Songti SC" w:cs="Songti SC"/>
                <w:color w:val="000000"/>
                <w:lang w:bidi="ar"/>
              </w:rPr>
              <w:t>status（交易状态）；类型：tinyint(2)</w:t>
            </w:r>
          </w:p>
        </w:tc>
        <w:tc>
          <w:tcPr>
            <w:tcW w:w="1425"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4356F93B">
            <w:pPr>
              <w:pStyle w:val="182"/>
              <w:rPr>
                <w:rFonts w:hint="eastAsia"/>
                <w:color w:val="000000"/>
              </w:rPr>
            </w:pPr>
            <w:r>
              <w:rPr>
                <w:rFonts w:hint="eastAsia" w:ascii="Songti SC" w:hAnsi="Songti SC" w:eastAsia="Songti SC" w:cs="Songti SC"/>
                <w:color w:val="000000"/>
              </w:rPr>
              <w:t>（有条件）</w:t>
            </w:r>
          </w:p>
        </w:tc>
        <w:tc>
          <w:tcPr>
            <w:tcW w:w="1260"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7AA421C6">
            <w:pPr>
              <w:pStyle w:val="182"/>
              <w:rPr>
                <w:rFonts w:hint="eastAsia"/>
                <w:color w:val="000000"/>
              </w:rPr>
            </w:pPr>
            <w:r>
              <w:rPr>
                <w:rFonts w:hint="eastAsia" w:ascii="Songti SC" w:hAnsi="Songti SC" w:eastAsia="Songti SC" w:cs="Songti SC"/>
                <w:color w:val="000000"/>
              </w:rPr>
              <w:t>（库表）</w:t>
            </w:r>
          </w:p>
        </w:tc>
        <w:tc>
          <w:tcPr>
            <w:tcW w:w="1360"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05B0A4DD">
            <w:pPr>
              <w:pStyle w:val="182"/>
              <w:jc w:val="center"/>
              <w:rPr>
                <w:rFonts w:hint="eastAsia"/>
                <w:color w:val="000000"/>
              </w:rPr>
            </w:pPr>
          </w:p>
        </w:tc>
      </w:tr>
      <w:tr w14:paraId="184B8AE4">
        <w:trPr>
          <w:trHeight w:val="560" w:hRule="atLeast"/>
        </w:trPr>
        <w:tc>
          <w:tcPr>
            <w:tcW w:w="1633" w:type="dxa"/>
            <w:tcBorders>
              <w:top w:val="single" w:color="auto" w:sz="4" w:space="0"/>
              <w:left w:val="single" w:color="auto" w:sz="4" w:space="0"/>
              <w:right w:val="single" w:color="auto" w:sz="4" w:space="0"/>
            </w:tcBorders>
            <w:shd w:val="clear" w:color="auto" w:fill="FFFFFF" w:themeFill="background1"/>
            <w:vAlign w:val="center"/>
          </w:tcPr>
          <w:p w14:paraId="071D9E8C">
            <w:pPr>
              <w:pStyle w:val="182"/>
              <w:ind w:left="0" w:leftChars="0" w:firstLine="0" w:firstLineChars="0"/>
              <w:rPr>
                <w:rFonts w:hint="eastAsia"/>
                <w:color w:val="000000"/>
              </w:rPr>
            </w:pPr>
            <w:r>
              <w:rPr>
                <w:rFonts w:hint="eastAsia" w:ascii="Songti SC" w:hAnsi="Songti SC" w:eastAsia="Songti SC" w:cs="Songti SC"/>
                <w:color w:val="000000"/>
              </w:rPr>
              <w:t>消费业务表</w:t>
            </w:r>
          </w:p>
        </w:tc>
        <w:tc>
          <w:tcPr>
            <w:tcW w:w="2265"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1658117E">
            <w:pPr>
              <w:pStyle w:val="182"/>
              <w:rPr>
                <w:rFonts w:hint="eastAsia"/>
                <w:color w:val="000000"/>
              </w:rPr>
            </w:pPr>
            <w:r>
              <w:rPr>
                <w:rFonts w:hint="eastAsia" w:ascii="Songti SC" w:hAnsi="Songti SC" w:eastAsia="Songti SC" w:cs="Songti SC"/>
                <w:color w:val="000000"/>
                <w:lang w:bidi="ar"/>
              </w:rPr>
              <w:t>update_time（更新时间）；类型：datetime</w:t>
            </w:r>
          </w:p>
        </w:tc>
        <w:tc>
          <w:tcPr>
            <w:tcW w:w="1425"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4BA3BDD4">
            <w:pPr>
              <w:pStyle w:val="182"/>
              <w:rPr>
                <w:rFonts w:hint="eastAsia"/>
                <w:color w:val="000000"/>
              </w:rPr>
            </w:pPr>
            <w:r>
              <w:rPr>
                <w:rFonts w:hint="eastAsia" w:ascii="Songti SC" w:hAnsi="Songti SC" w:eastAsia="Songti SC" w:cs="Songti SC"/>
                <w:color w:val="000000"/>
              </w:rPr>
              <w:t>（有条件）</w:t>
            </w:r>
          </w:p>
        </w:tc>
        <w:tc>
          <w:tcPr>
            <w:tcW w:w="1260"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63B64A8D">
            <w:pPr>
              <w:pStyle w:val="182"/>
              <w:rPr>
                <w:rFonts w:hint="eastAsia"/>
                <w:color w:val="000000"/>
              </w:rPr>
            </w:pPr>
            <w:r>
              <w:rPr>
                <w:rFonts w:hint="eastAsia" w:ascii="Songti SC" w:hAnsi="Songti SC" w:eastAsia="Songti SC" w:cs="Songti SC"/>
                <w:color w:val="000000"/>
              </w:rPr>
              <w:t>（库表）</w:t>
            </w:r>
          </w:p>
        </w:tc>
        <w:tc>
          <w:tcPr>
            <w:tcW w:w="1360"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6356E993">
            <w:pPr>
              <w:pStyle w:val="182"/>
              <w:jc w:val="center"/>
              <w:rPr>
                <w:rFonts w:hint="eastAsia"/>
                <w:color w:val="000000"/>
              </w:rPr>
            </w:pPr>
          </w:p>
        </w:tc>
      </w:tr>
    </w:tbl>
    <w:p w14:paraId="251C022E">
      <w:pPr>
        <w:pStyle w:val="4"/>
        <w:rPr>
          <w:rFonts w:hint="eastAsia"/>
          <w:color w:val="000000"/>
        </w:rPr>
      </w:pPr>
      <w:bookmarkStart w:id="327" w:name="_Toc627920930"/>
      <w:r>
        <w:rPr>
          <w:rFonts w:hint="eastAsia" w:ascii="Songti SC" w:hAnsi="Songti SC" w:eastAsia="Songti SC" w:cs="Songti SC"/>
          <w:color w:val="000000"/>
        </w:rPr>
        <w:t>数据共享交换方案</w:t>
      </w:r>
      <w:bookmarkEnd w:id="327"/>
    </w:p>
    <w:tbl>
      <w:tblPr>
        <w:tblStyle w:val="60"/>
        <w:tblW w:w="5000" w:type="pct"/>
        <w:tblInd w:w="0" w:type="dxa"/>
        <w:tblLayout w:type="autofit"/>
        <w:tblCellMar>
          <w:top w:w="0" w:type="dxa"/>
          <w:left w:w="108" w:type="dxa"/>
          <w:bottom w:w="0" w:type="dxa"/>
          <w:right w:w="108" w:type="dxa"/>
        </w:tblCellMar>
      </w:tblPr>
      <w:tblGrid>
        <w:gridCol w:w="2325"/>
        <w:gridCol w:w="2621"/>
        <w:gridCol w:w="3576"/>
      </w:tblGrid>
      <w:tr w14:paraId="56C4F89A">
        <w:trPr>
          <w:trHeight w:val="510" w:hRule="atLeast"/>
        </w:trPr>
        <w:tc>
          <w:tcPr>
            <w:tcW w:w="1364" w:type="pct"/>
            <w:tcBorders>
              <w:top w:val="single" w:color="auto" w:sz="4" w:space="0"/>
              <w:left w:val="single" w:color="auto" w:sz="4" w:space="0"/>
              <w:bottom w:val="single" w:color="auto" w:sz="4" w:space="0"/>
              <w:right w:val="single" w:color="auto" w:sz="4" w:space="0"/>
            </w:tcBorders>
            <w:shd w:val="clear" w:color="000000" w:fill="F2F2F2"/>
            <w:vAlign w:val="center"/>
          </w:tcPr>
          <w:p w14:paraId="3E8C5EC6">
            <w:pPr>
              <w:pStyle w:val="326"/>
              <w:rPr>
                <w:rFonts w:hint="eastAsia"/>
                <w:color w:val="000000"/>
              </w:rPr>
            </w:pPr>
            <w:r>
              <w:rPr>
                <w:rFonts w:hint="eastAsia" w:ascii="Songti SC" w:hAnsi="Songti SC" w:eastAsia="Songti SC" w:cs="Songti SC"/>
                <w:color w:val="000000"/>
              </w:rPr>
              <w:t>所需数据资源名称</w:t>
            </w:r>
          </w:p>
        </w:tc>
        <w:tc>
          <w:tcPr>
            <w:tcW w:w="1538" w:type="pct"/>
            <w:tcBorders>
              <w:top w:val="single" w:color="auto" w:sz="4" w:space="0"/>
              <w:left w:val="single" w:color="auto" w:sz="4" w:space="0"/>
              <w:bottom w:val="single" w:color="auto" w:sz="4" w:space="0"/>
              <w:right w:val="single" w:color="auto" w:sz="4" w:space="0"/>
            </w:tcBorders>
            <w:shd w:val="clear" w:color="000000" w:fill="F2F2F2"/>
            <w:vAlign w:val="center"/>
          </w:tcPr>
          <w:p w14:paraId="2A1CB762">
            <w:pPr>
              <w:pStyle w:val="326"/>
              <w:rPr>
                <w:rFonts w:hint="eastAsia"/>
                <w:color w:val="000000"/>
              </w:rPr>
            </w:pPr>
            <w:r>
              <w:rPr>
                <w:rFonts w:hint="eastAsia" w:ascii="Songti SC" w:hAnsi="Songti SC" w:eastAsia="Songti SC" w:cs="Songti SC"/>
                <w:color w:val="000000"/>
              </w:rPr>
              <w:t>主要数据项</w:t>
            </w:r>
          </w:p>
        </w:tc>
        <w:tc>
          <w:tcPr>
            <w:tcW w:w="2098" w:type="pct"/>
            <w:tcBorders>
              <w:top w:val="single" w:color="auto" w:sz="4" w:space="0"/>
              <w:left w:val="single" w:color="auto" w:sz="4" w:space="0"/>
              <w:bottom w:val="single" w:color="auto" w:sz="4" w:space="0"/>
              <w:right w:val="single" w:color="auto" w:sz="4" w:space="0"/>
            </w:tcBorders>
            <w:shd w:val="clear" w:color="000000" w:fill="F2F2F2"/>
            <w:vAlign w:val="center"/>
          </w:tcPr>
          <w:p w14:paraId="2AB40232">
            <w:pPr>
              <w:pStyle w:val="326"/>
              <w:rPr>
                <w:rFonts w:hint="eastAsia"/>
                <w:color w:val="000000"/>
              </w:rPr>
            </w:pPr>
            <w:r>
              <w:rPr>
                <w:rFonts w:hint="eastAsia" w:ascii="Songti SC" w:hAnsi="Songti SC" w:eastAsia="Songti SC" w:cs="Songti SC"/>
                <w:color w:val="000000"/>
              </w:rPr>
              <w:t>数据应用场景说明</w:t>
            </w:r>
          </w:p>
        </w:tc>
      </w:tr>
      <w:tr w14:paraId="5319366D">
        <w:trPr>
          <w:trHeight w:val="560" w:hRule="atLeast"/>
        </w:trPr>
        <w:tc>
          <w:tcPr>
            <w:tcW w:w="1364" w:type="pct"/>
            <w:vMerge w:val="restart"/>
            <w:tcBorders>
              <w:top w:val="single" w:color="auto" w:sz="4" w:space="0"/>
              <w:left w:val="single" w:color="auto" w:sz="4" w:space="0"/>
              <w:right w:val="single" w:color="auto" w:sz="4" w:space="0"/>
            </w:tcBorders>
            <w:shd w:val="clear" w:color="auto" w:fill="FFFFFF" w:themeFill="background1"/>
            <w:vAlign w:val="center"/>
          </w:tcPr>
          <w:p w14:paraId="5D820DE0">
            <w:pPr>
              <w:pStyle w:val="182"/>
              <w:ind w:left="0" w:leftChars="0" w:firstLine="0" w:firstLineChars="0"/>
              <w:rPr>
                <w:rFonts w:hint="eastAsia"/>
                <w:color w:val="000000"/>
              </w:rPr>
            </w:pPr>
            <w:r>
              <w:rPr>
                <w:rFonts w:hint="eastAsia" w:ascii="Songti SC" w:hAnsi="Songti SC" w:eastAsia="Songti SC" w:cs="Songti SC"/>
                <w:color w:val="000000"/>
              </w:rPr>
              <w:t>人员基础信息（共享目录）</w:t>
            </w:r>
          </w:p>
        </w:tc>
        <w:tc>
          <w:tcPr>
            <w:tcW w:w="1538" w:type="pct"/>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615B33B9">
            <w:pPr>
              <w:pStyle w:val="182"/>
              <w:rPr>
                <w:rFonts w:hint="eastAsia"/>
                <w:color w:val="000000"/>
                <w:lang w:bidi="ar"/>
              </w:rPr>
            </w:pPr>
            <w:r>
              <w:rPr>
                <w:rFonts w:hint="eastAsia" w:ascii="Songti SC" w:hAnsi="Songti SC" w:eastAsia="Songti SC" w:cs="Songti SC"/>
                <w:color w:val="000000"/>
                <w:lang w:bidi="ar"/>
              </w:rPr>
              <w:t>人员标识、组织标识、身份类别、人员状态等经授权共享的必要字段</w:t>
            </w:r>
          </w:p>
        </w:tc>
        <w:tc>
          <w:tcPr>
            <w:tcW w:w="2098" w:type="pct"/>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02DC28E3">
            <w:pPr>
              <w:pStyle w:val="182"/>
              <w:rPr>
                <w:rFonts w:hint="eastAsia"/>
                <w:color w:val="000000"/>
              </w:rPr>
            </w:pPr>
            <w:r>
              <w:rPr>
                <w:rFonts w:hint="eastAsia" w:ascii="Songti SC" w:hAnsi="Songti SC" w:eastAsia="Songti SC" w:cs="Songti SC"/>
                <w:color w:val="000000"/>
              </w:rPr>
              <w:t>用于</w:t>
            </w:r>
            <w:r>
              <w:rPr>
                <w:rFonts w:hint="eastAsia" w:ascii="Songti SC" w:hAnsi="Songti SC" w:eastAsia="Songti SC" w:cs="Songti SC"/>
                <w:color w:val="000000"/>
                <w:lang w:eastAsia="zh-CN"/>
              </w:rPr>
              <w:t>大数据交互平台</w:t>
            </w:r>
            <w:r>
              <w:rPr>
                <w:rFonts w:hint="eastAsia" w:ascii="Songti SC" w:hAnsi="Songti SC" w:eastAsia="Songti SC" w:cs="Songti SC"/>
                <w:color w:val="000000"/>
              </w:rPr>
              <w:t>在授权范围内开展人员归属和食堂服务统计，不共享人脸特征、认证凭据、证件号码和联系方式等敏感信息。</w:t>
            </w:r>
          </w:p>
        </w:tc>
      </w:tr>
      <w:tr w14:paraId="23F19E06">
        <w:trPr>
          <w:trHeight w:val="560" w:hRule="atLeast"/>
        </w:trPr>
        <w:tc>
          <w:tcPr>
            <w:tcW w:w="1364" w:type="pct"/>
            <w:vMerge w:val="restart"/>
            <w:tcBorders>
              <w:top w:val="single" w:color="auto" w:sz="4" w:space="0"/>
              <w:left w:val="single" w:color="auto" w:sz="4" w:space="0"/>
              <w:right w:val="single" w:color="auto" w:sz="4" w:space="0"/>
            </w:tcBorders>
            <w:shd w:val="clear" w:color="auto" w:fill="FFFFFF" w:themeFill="background1"/>
            <w:vAlign w:val="center"/>
          </w:tcPr>
          <w:p w14:paraId="0949C2A7">
            <w:pPr>
              <w:pStyle w:val="182"/>
              <w:rPr>
                <w:rFonts w:hint="eastAsia"/>
                <w:color w:val="000000"/>
              </w:rPr>
            </w:pPr>
            <w:r>
              <w:rPr>
                <w:rFonts w:hint="eastAsia" w:ascii="Songti SC" w:hAnsi="Songti SC" w:eastAsia="Songti SC" w:cs="Songti SC"/>
                <w:color w:val="000000"/>
              </w:rPr>
              <w:t>菜品基础信息（共享目录）</w:t>
            </w:r>
          </w:p>
        </w:tc>
        <w:tc>
          <w:tcPr>
            <w:tcW w:w="1538" w:type="pct"/>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6DBD3CFC">
            <w:pPr>
              <w:pStyle w:val="182"/>
              <w:rPr>
                <w:rFonts w:hint="eastAsia"/>
                <w:color w:val="000000"/>
                <w:lang w:bidi="ar"/>
              </w:rPr>
            </w:pPr>
            <w:r>
              <w:rPr>
                <w:rFonts w:hint="eastAsia" w:ascii="Songti SC" w:hAnsi="Songti SC" w:eastAsia="Songti SC" w:cs="Songti SC"/>
                <w:color w:val="000000"/>
                <w:lang w:bidi="ar"/>
              </w:rPr>
              <w:t>菜品标识、菜品名称、分类、计价单位、价格和状态</w:t>
            </w:r>
          </w:p>
        </w:tc>
        <w:tc>
          <w:tcPr>
            <w:tcW w:w="2098" w:type="pct"/>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0FD971DB">
            <w:pPr>
              <w:pStyle w:val="182"/>
              <w:rPr>
                <w:rFonts w:hint="eastAsia"/>
                <w:color w:val="000000"/>
              </w:rPr>
            </w:pPr>
            <w:r>
              <w:rPr>
                <w:rFonts w:hint="eastAsia" w:ascii="Songti SC" w:hAnsi="Songti SC" w:eastAsia="Songti SC" w:cs="Songti SC"/>
                <w:color w:val="000000"/>
              </w:rPr>
              <w:t>用于</w:t>
            </w:r>
            <w:r>
              <w:rPr>
                <w:rFonts w:hint="eastAsia" w:ascii="Songti SC" w:hAnsi="Songti SC" w:eastAsia="Songti SC" w:cs="Songti SC"/>
                <w:color w:val="000000"/>
                <w:lang w:eastAsia="zh-CN"/>
              </w:rPr>
              <w:t>大数据交互平台</w:t>
            </w:r>
            <w:r>
              <w:rPr>
                <w:rFonts w:hint="eastAsia" w:ascii="Songti SC" w:hAnsi="Songti SC" w:eastAsia="Songti SC" w:cs="Songti SC"/>
                <w:color w:val="000000"/>
              </w:rPr>
              <w:t>按菜品维度开展基础目录管理和餐厅经营汇总，不包含营养素及营养健康分析字段。</w:t>
            </w:r>
          </w:p>
        </w:tc>
      </w:tr>
      <w:tr w14:paraId="6C74C215">
        <w:trPr>
          <w:trHeight w:val="560" w:hRule="atLeast"/>
        </w:trPr>
        <w:tc>
          <w:tcPr>
            <w:tcW w:w="1364" w:type="pct"/>
            <w:tcBorders>
              <w:top w:val="single" w:color="auto" w:sz="4" w:space="0"/>
              <w:left w:val="single" w:color="auto" w:sz="4" w:space="0"/>
              <w:right w:val="single" w:color="auto" w:sz="4" w:space="0"/>
            </w:tcBorders>
            <w:shd w:val="clear" w:color="auto" w:fill="FFFFFF" w:themeFill="background1"/>
            <w:vAlign w:val="center"/>
          </w:tcPr>
          <w:p w14:paraId="07482041">
            <w:pPr>
              <w:pStyle w:val="182"/>
              <w:rPr>
                <w:rFonts w:hint="eastAsia"/>
                <w:color w:val="000000"/>
              </w:rPr>
            </w:pPr>
            <w:r>
              <w:rPr>
                <w:rFonts w:hint="eastAsia" w:ascii="Songti SC" w:hAnsi="Songti SC" w:eastAsia="Songti SC" w:cs="Songti SC"/>
                <w:color w:val="000000"/>
              </w:rPr>
              <w:t>消费业务信息（共享目录）</w:t>
            </w:r>
          </w:p>
        </w:tc>
        <w:tc>
          <w:tcPr>
            <w:tcW w:w="1538" w:type="pct"/>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750A0972">
            <w:pPr>
              <w:pStyle w:val="182"/>
              <w:rPr>
                <w:rFonts w:hint="eastAsia"/>
                <w:color w:val="000000"/>
                <w:lang w:bidi="ar"/>
              </w:rPr>
            </w:pPr>
            <w:r>
              <w:rPr>
                <w:rFonts w:hint="eastAsia" w:ascii="Songti SC" w:hAnsi="Songti SC" w:eastAsia="Songti SC" w:cs="Songti SC"/>
                <w:color w:val="000000"/>
                <w:lang w:bidi="ar"/>
              </w:rPr>
              <w:t>交易标识、脱敏人员标识、餐厅标识、设备标识、餐次、交易时间、金额和交易状态</w:t>
            </w:r>
          </w:p>
        </w:tc>
        <w:tc>
          <w:tcPr>
            <w:tcW w:w="2098" w:type="pct"/>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1D193E39">
            <w:pPr>
              <w:pStyle w:val="182"/>
              <w:rPr>
                <w:rFonts w:hint="eastAsia"/>
                <w:color w:val="000000"/>
              </w:rPr>
            </w:pPr>
            <w:r>
              <w:rPr>
                <w:rFonts w:hint="eastAsia" w:ascii="Songti SC" w:hAnsi="Songti SC" w:eastAsia="Songti SC" w:cs="Songti SC"/>
                <w:color w:val="000000"/>
              </w:rPr>
              <w:t>用于</w:t>
            </w:r>
            <w:r>
              <w:rPr>
                <w:rFonts w:hint="eastAsia" w:ascii="Songti SC" w:hAnsi="Songti SC" w:eastAsia="Songti SC" w:cs="Songti SC"/>
                <w:color w:val="000000"/>
                <w:lang w:eastAsia="zh-CN"/>
              </w:rPr>
              <w:t>大数据交互平台</w:t>
            </w:r>
            <w:r>
              <w:rPr>
                <w:rFonts w:hint="eastAsia" w:ascii="Songti SC" w:hAnsi="Songti SC" w:eastAsia="Songti SC" w:cs="Songti SC"/>
                <w:color w:val="000000"/>
              </w:rPr>
              <w:t>按授权范围开展消费业务汇总、运行分析和数据核验，个人信息按最小必要原则脱敏处理。</w:t>
            </w:r>
          </w:p>
        </w:tc>
      </w:tr>
    </w:tbl>
    <w:p w14:paraId="5646945E">
      <w:pPr>
        <w:pStyle w:val="4"/>
        <w:rPr>
          <w:rFonts w:hint="eastAsia"/>
          <w:color w:val="000000"/>
        </w:rPr>
      </w:pPr>
      <w:bookmarkStart w:id="328" w:name="_Toc732429152"/>
      <w:r>
        <w:rPr>
          <w:rFonts w:hint="eastAsia" w:ascii="Songti SC" w:hAnsi="Songti SC" w:eastAsia="Songti SC" w:cs="Songti SC"/>
          <w:color w:val="000000"/>
        </w:rPr>
        <w:t>信息资源库逻辑架构</w:t>
      </w:r>
      <w:bookmarkEnd w:id="323"/>
      <w:bookmarkEnd w:id="324"/>
      <w:bookmarkEnd w:id="325"/>
      <w:bookmarkEnd w:id="328"/>
    </w:p>
    <w:p w14:paraId="6CB6B3FC">
      <w:pPr>
        <w:ind w:firstLine="480"/>
        <w:rPr>
          <w:rFonts w:hint="eastAsia"/>
          <w:color w:val="000000"/>
        </w:rPr>
      </w:pPr>
      <w:r>
        <w:rPr>
          <w:rFonts w:hint="eastAsia" w:ascii="Songti SC" w:hAnsi="Songti SC" w:eastAsia="Songti SC" w:cs="Songti SC"/>
          <w:color w:val="000000"/>
        </w:rPr>
        <w:t>本项目在现有食堂消费系统数据资源基础上，对共享目录、字段范围和应用场景进行必要梳理。</w:t>
      </w:r>
      <w:r>
        <w:rPr>
          <w:rFonts w:hint="eastAsia" w:ascii="Songti SC" w:hAnsi="Songti SC" w:eastAsia="Songti SC" w:cs="Songti SC"/>
          <w:color w:val="000000"/>
          <w:lang w:eastAsia="zh-CN"/>
        </w:rPr>
        <w:t>大数据交互平台</w:t>
      </w:r>
      <w:r>
        <w:rPr>
          <w:rFonts w:hint="eastAsia" w:ascii="Songti SC" w:hAnsi="Songti SC" w:eastAsia="Songti SC" w:cs="Songti SC"/>
          <w:color w:val="000000"/>
        </w:rPr>
        <w:t>共享内容聚焦组织、餐厅、设备、账户、充值、消费和运营汇总等业务数据，删除营养健康字段和非必要敏感信息，并通过授权控制、交换记录和数据核验保障共享过程安全可追溯。</w:t>
      </w:r>
    </w:p>
    <w:p w14:paraId="3823C295">
      <w:pPr>
        <w:pStyle w:val="3"/>
        <w:rPr>
          <w:rFonts w:hint="eastAsia"/>
          <w:color w:val="000000"/>
          <w:lang w:eastAsia="zh-CN"/>
        </w:rPr>
      </w:pPr>
      <w:bookmarkStart w:id="329" w:name="_Toc1917021070"/>
      <w:bookmarkStart w:id="330" w:name="_Toc1827673192"/>
      <w:bookmarkStart w:id="331" w:name="_Toc560493060"/>
      <w:r>
        <w:rPr>
          <w:rFonts w:ascii="Songti SC" w:hAnsi="Songti SC" w:eastAsia="Songti SC" w:cs="Songti SC"/>
          <w:color w:val="000000"/>
          <w:lang w:eastAsia="zh-CN"/>
        </w:rPr>
        <w:t>食堂消费系统</w:t>
      </w:r>
      <w:bookmarkEnd w:id="329"/>
      <w:r>
        <w:rPr>
          <w:rFonts w:hint="eastAsia" w:ascii="Songti SC" w:hAnsi="Songti SC" w:eastAsia="Songti SC" w:cs="Songti SC"/>
          <w:color w:val="000000"/>
          <w:lang w:eastAsia="zh-CN"/>
        </w:rPr>
        <w:t>功能改造</w:t>
      </w:r>
      <w:bookmarkEnd w:id="330"/>
      <w:bookmarkEnd w:id="331"/>
    </w:p>
    <w:p w14:paraId="4EECA7AB">
      <w:pPr>
        <w:pStyle w:val="4"/>
        <w:rPr>
          <w:rFonts w:hint="eastAsia"/>
          <w:color w:val="000000"/>
        </w:rPr>
      </w:pPr>
      <w:bookmarkStart w:id="332" w:name="_Toc798103413"/>
      <w:bookmarkStart w:id="333" w:name="_Toc97251256"/>
      <w:bookmarkStart w:id="334" w:name="_Toc1343583678"/>
      <w:r>
        <w:rPr>
          <w:rFonts w:ascii="Songti SC" w:hAnsi="Songti SC" w:eastAsia="Songti SC" w:cs="Songti SC"/>
          <w:color w:val="000000"/>
        </w:rPr>
        <w:t>平台软件基础参数改造</w:t>
      </w:r>
      <w:bookmarkEnd w:id="332"/>
      <w:bookmarkEnd w:id="333"/>
      <w:bookmarkEnd w:id="334"/>
    </w:p>
    <w:p w14:paraId="67E92748">
      <w:pPr>
        <w:ind w:firstLine="480"/>
        <w:rPr>
          <w:rFonts w:hint="eastAsia"/>
          <w:color w:val="000000"/>
        </w:rPr>
      </w:pPr>
      <w:r>
        <w:rPr>
          <w:rFonts w:ascii="Songti SC" w:hAnsi="Songti SC" w:eastAsia="Songti SC" w:cs="Songti SC"/>
          <w:color w:val="000000"/>
        </w:rPr>
        <w:t>基础参数是系统运行的公共底座，关系到不同办公区、食堂、人员类别、消费机和报表口径能否统一管理。兼容适配后，应把原来分散在代码、配置文件或人工记录中的关键参数整理为可配置、可查询、可追溯的系统参数。</w:t>
      </w:r>
    </w:p>
    <w:p w14:paraId="7694DF07">
      <w:pPr>
        <w:pStyle w:val="5"/>
        <w:rPr>
          <w:rFonts w:hint="eastAsia"/>
          <w:color w:val="000000"/>
        </w:rPr>
      </w:pPr>
      <w:r>
        <w:rPr>
          <w:rFonts w:ascii="Songti SC" w:hAnsi="Songti SC" w:eastAsia="Songti SC" w:cs="Songti SC"/>
          <w:color w:val="000000"/>
        </w:rPr>
        <w:t>系统参数配置</w:t>
      </w:r>
    </w:p>
    <w:p w14:paraId="483D02A2">
      <w:pPr>
        <w:ind w:firstLine="480"/>
        <w:rPr>
          <w:rFonts w:hint="eastAsia"/>
          <w:color w:val="000000"/>
        </w:rPr>
      </w:pPr>
      <w:r>
        <w:rPr>
          <w:rFonts w:ascii="Songti SC" w:hAnsi="Songti SC" w:eastAsia="Songti SC" w:cs="Songti SC"/>
          <w:color w:val="000000"/>
        </w:rPr>
        <w:t>系统参数配置用于统一维护服务地址、文件目录、上传限制、导出限制、日志保留、任务调度、消息通知、支付开关和消费机接入参数。</w:t>
      </w:r>
    </w:p>
    <w:p w14:paraId="679ADAB0">
      <w:pPr>
        <w:ind w:firstLine="482"/>
        <w:rPr>
          <w:rFonts w:hint="eastAsia"/>
          <w:color w:val="000000"/>
        </w:rPr>
      </w:pPr>
      <w:r>
        <w:rPr>
          <w:rFonts w:hint="eastAsia" w:ascii="Songti SC" w:hAnsi="Songti SC" w:eastAsia="Songti SC" w:cs="Songti SC"/>
          <w:b/>
          <w:color w:val="000000"/>
        </w:rPr>
        <w:t>1.改造</w:t>
      </w:r>
      <w:r>
        <w:rPr>
          <w:rFonts w:ascii="Songti SC" w:hAnsi="Songti SC" w:eastAsia="Songti SC" w:cs="Songti SC"/>
          <w:b/>
          <w:color w:val="000000"/>
        </w:rPr>
        <w:t>内容</w:t>
      </w:r>
    </w:p>
    <w:p w14:paraId="3AC489F9">
      <w:pPr>
        <w:ind w:firstLine="480"/>
        <w:rPr>
          <w:rFonts w:hint="eastAsia"/>
          <w:color w:val="000000"/>
        </w:rPr>
      </w:pPr>
      <w:r>
        <w:rPr>
          <w:rFonts w:ascii="Songti SC" w:hAnsi="Songti SC" w:eastAsia="Songti SC" w:cs="Songti SC"/>
          <w:color w:val="000000"/>
        </w:rPr>
        <w:t>建立生产、测试、试运行等环境的参数分组，避免不同环境参数混用。</w:t>
      </w:r>
    </w:p>
    <w:p w14:paraId="20EDEED9">
      <w:pPr>
        <w:ind w:firstLine="480"/>
        <w:rPr>
          <w:rFonts w:hint="eastAsia"/>
          <w:color w:val="000000"/>
        </w:rPr>
      </w:pPr>
      <w:r>
        <w:rPr>
          <w:rFonts w:ascii="Songti SC" w:hAnsi="Songti SC" w:eastAsia="Songti SC" w:cs="Songti SC"/>
          <w:color w:val="000000"/>
        </w:rPr>
        <w:t>将数据库地址、接口地址、文件路径、银行交互地址、消费机服务地址等从程序包中剥离出来。</w:t>
      </w:r>
    </w:p>
    <w:p w14:paraId="62F0C90E">
      <w:pPr>
        <w:ind w:firstLine="480"/>
        <w:rPr>
          <w:rFonts w:hint="eastAsia"/>
          <w:color w:val="000000"/>
        </w:rPr>
      </w:pPr>
      <w:r>
        <w:rPr>
          <w:rFonts w:ascii="Songti SC" w:hAnsi="Songti SC" w:eastAsia="Songti SC" w:cs="Songti SC"/>
          <w:color w:val="000000"/>
        </w:rPr>
        <w:t>对人员照片、人脸文件、报表文件、导入模板和日志文件设置统一存储目录。</w:t>
      </w:r>
    </w:p>
    <w:p w14:paraId="4A5E1034">
      <w:pPr>
        <w:ind w:firstLine="480"/>
        <w:rPr>
          <w:rFonts w:hint="eastAsia"/>
          <w:color w:val="000000"/>
        </w:rPr>
      </w:pPr>
      <w:r>
        <w:rPr>
          <w:rFonts w:ascii="Songti SC" w:hAnsi="Songti SC" w:eastAsia="Songti SC" w:cs="Songti SC"/>
          <w:color w:val="000000"/>
        </w:rPr>
        <w:t>对充值、消费、补贴、退款、对账、补传等关键任务设置执行时间和运行状态记录。</w:t>
      </w:r>
    </w:p>
    <w:p w14:paraId="15A066DF">
      <w:pPr>
        <w:ind w:firstLine="482"/>
        <w:rPr>
          <w:rFonts w:hint="eastAsia"/>
          <w:color w:val="000000"/>
        </w:rPr>
      </w:pPr>
      <w:r>
        <w:rPr>
          <w:rFonts w:hint="eastAsia" w:ascii="Songti SC" w:hAnsi="Songti SC" w:eastAsia="Songti SC" w:cs="Songti SC"/>
          <w:b/>
          <w:color w:val="000000"/>
        </w:rPr>
        <w:t>2.</w:t>
      </w:r>
      <w:r>
        <w:rPr>
          <w:rFonts w:ascii="Songti SC" w:hAnsi="Songti SC" w:eastAsia="Songti SC" w:cs="Songti SC"/>
          <w:b/>
          <w:color w:val="000000"/>
        </w:rPr>
        <w:t>适配做法</w:t>
      </w:r>
    </w:p>
    <w:p w14:paraId="45973388">
      <w:pPr>
        <w:ind w:firstLine="480"/>
        <w:rPr>
          <w:rFonts w:hint="eastAsia"/>
          <w:color w:val="000000"/>
        </w:rPr>
      </w:pPr>
      <w:r>
        <w:rPr>
          <w:rFonts w:ascii="Songti SC" w:hAnsi="Songti SC" w:eastAsia="Songti SC" w:cs="Songti SC"/>
          <w:color w:val="000000"/>
        </w:rPr>
        <w:t>服务器操作系统下统一使用规范目录，避免因路径分隔符、中文路径、权限不足造成上传或导出失败。</w:t>
      </w:r>
    </w:p>
    <w:p w14:paraId="54A0BCED">
      <w:pPr>
        <w:ind w:firstLine="480"/>
        <w:rPr>
          <w:rFonts w:hint="eastAsia"/>
          <w:color w:val="000000"/>
        </w:rPr>
      </w:pPr>
      <w:r>
        <w:rPr>
          <w:rFonts w:ascii="Songti SC" w:hAnsi="Songti SC" w:eastAsia="Songti SC" w:cs="Songti SC"/>
          <w:color w:val="000000"/>
        </w:rPr>
        <w:t>敏感参数不在页面明文展示，配置变更记录操作人、时间、变更前后内容和原因。</w:t>
      </w:r>
    </w:p>
    <w:p w14:paraId="357CA5BE">
      <w:pPr>
        <w:ind w:firstLine="480"/>
        <w:rPr>
          <w:rFonts w:hint="eastAsia"/>
          <w:color w:val="000000"/>
        </w:rPr>
      </w:pPr>
      <w:r>
        <w:rPr>
          <w:rFonts w:ascii="Songti SC" w:hAnsi="Songti SC" w:eastAsia="Songti SC" w:cs="Songti SC"/>
          <w:color w:val="000000"/>
        </w:rPr>
        <w:t>上线切换时通过参数版本控制完成服务地址切换，减少临时修改带来的风险。</w:t>
      </w:r>
    </w:p>
    <w:p w14:paraId="09EF351B">
      <w:pPr>
        <w:pStyle w:val="5"/>
        <w:rPr>
          <w:rFonts w:hint="eastAsia"/>
          <w:color w:val="000000"/>
        </w:rPr>
      </w:pPr>
      <w:r>
        <w:rPr>
          <w:rFonts w:ascii="Songti SC" w:hAnsi="Songti SC" w:eastAsia="Songti SC" w:cs="Songti SC"/>
          <w:color w:val="000000"/>
        </w:rPr>
        <w:t>用户参数配置</w:t>
      </w:r>
    </w:p>
    <w:p w14:paraId="38D5006F">
      <w:pPr>
        <w:ind w:firstLine="480"/>
        <w:rPr>
          <w:rFonts w:hint="eastAsia"/>
          <w:color w:val="000000"/>
        </w:rPr>
      </w:pPr>
      <w:r>
        <w:rPr>
          <w:rFonts w:ascii="Songti SC" w:hAnsi="Songti SC" w:eastAsia="Songti SC" w:cs="Songti SC"/>
          <w:color w:val="000000"/>
        </w:rPr>
        <w:t>用户参数配置用于确定人员登录、账户状态、有效期、身份类别、消费权限、余额展示和消息通知的公共规则。</w:t>
      </w:r>
    </w:p>
    <w:p w14:paraId="5E7E81EE">
      <w:pPr>
        <w:ind w:firstLine="482"/>
        <w:rPr>
          <w:rFonts w:hint="eastAsia"/>
          <w:color w:val="000000"/>
        </w:rPr>
      </w:pPr>
      <w:r>
        <w:rPr>
          <w:rFonts w:hint="eastAsia" w:ascii="Songti SC" w:hAnsi="Songti SC" w:eastAsia="Songti SC" w:cs="Songti SC"/>
          <w:b/>
          <w:color w:val="000000"/>
        </w:rPr>
        <w:t>1.改造</w:t>
      </w:r>
      <w:r>
        <w:rPr>
          <w:rFonts w:ascii="Songti SC" w:hAnsi="Songti SC" w:eastAsia="Songti SC" w:cs="Songti SC"/>
          <w:b/>
          <w:color w:val="000000"/>
        </w:rPr>
        <w:t>内容</w:t>
      </w:r>
    </w:p>
    <w:p w14:paraId="364B7EF9">
      <w:pPr>
        <w:ind w:firstLine="480"/>
        <w:rPr>
          <w:rFonts w:hint="eastAsia"/>
          <w:color w:val="000000"/>
        </w:rPr>
      </w:pPr>
      <w:r>
        <w:rPr>
          <w:rFonts w:ascii="Songti SC" w:hAnsi="Songti SC" w:eastAsia="Songti SC" w:cs="Songti SC"/>
          <w:color w:val="000000"/>
        </w:rPr>
        <w:t>配置人员编号、手机号、卡号、人脸信息、身份类别、部门和有效期等必填规则。</w:t>
      </w:r>
    </w:p>
    <w:p w14:paraId="0952E56F">
      <w:pPr>
        <w:ind w:firstLine="480"/>
        <w:rPr>
          <w:rFonts w:hint="eastAsia"/>
          <w:color w:val="000000"/>
        </w:rPr>
      </w:pPr>
      <w:r>
        <w:rPr>
          <w:rFonts w:ascii="Songti SC" w:hAnsi="Songti SC" w:eastAsia="Songti SC" w:cs="Songti SC"/>
          <w:color w:val="000000"/>
        </w:rPr>
        <w:t>配置在职、离职、注销、挂失、冻结等状态对应的登录和消费权限。</w:t>
      </w:r>
    </w:p>
    <w:p w14:paraId="4C389808">
      <w:pPr>
        <w:ind w:firstLine="480"/>
        <w:rPr>
          <w:rFonts w:hint="eastAsia"/>
          <w:color w:val="000000"/>
        </w:rPr>
      </w:pPr>
      <w:r>
        <w:rPr>
          <w:rFonts w:ascii="Songti SC" w:hAnsi="Songti SC" w:eastAsia="Songti SC" w:cs="Songti SC"/>
          <w:color w:val="000000"/>
        </w:rPr>
        <w:t>配置用户余额、补贴余额、消费记录、充值记录在管理端和小程序端的展示范围。</w:t>
      </w:r>
    </w:p>
    <w:p w14:paraId="322D5A67">
      <w:pPr>
        <w:ind w:firstLine="480"/>
        <w:rPr>
          <w:rFonts w:hint="eastAsia"/>
          <w:color w:val="000000"/>
        </w:rPr>
      </w:pPr>
      <w:r>
        <w:rPr>
          <w:rFonts w:ascii="Songti SC" w:hAnsi="Songti SC" w:eastAsia="Songti SC" w:cs="Songti SC"/>
          <w:color w:val="000000"/>
        </w:rPr>
        <w:t>配置用户状态变化后是否立即同步消费机，以及同步失败后的重试方式。</w:t>
      </w:r>
    </w:p>
    <w:p w14:paraId="10F1DFB0">
      <w:pPr>
        <w:ind w:firstLine="482"/>
        <w:rPr>
          <w:rFonts w:hint="eastAsia"/>
          <w:color w:val="000000"/>
        </w:rPr>
      </w:pPr>
      <w:r>
        <w:rPr>
          <w:rFonts w:hint="eastAsia" w:ascii="Songti SC" w:hAnsi="Songti SC" w:eastAsia="Songti SC" w:cs="Songti SC"/>
          <w:b/>
          <w:color w:val="000000"/>
        </w:rPr>
        <w:t>2.</w:t>
      </w:r>
      <w:r>
        <w:rPr>
          <w:rFonts w:ascii="Songti SC" w:hAnsi="Songti SC" w:eastAsia="Songti SC" w:cs="Songti SC"/>
          <w:b/>
          <w:color w:val="000000"/>
        </w:rPr>
        <w:t>适配做法</w:t>
      </w:r>
    </w:p>
    <w:p w14:paraId="2A1F143E">
      <w:pPr>
        <w:ind w:firstLine="480"/>
        <w:rPr>
          <w:rFonts w:hint="eastAsia"/>
          <w:color w:val="000000"/>
        </w:rPr>
      </w:pPr>
      <w:r>
        <w:rPr>
          <w:rFonts w:ascii="Songti SC" w:hAnsi="Songti SC" w:eastAsia="Songti SC" w:cs="Songti SC"/>
          <w:color w:val="000000"/>
        </w:rPr>
        <w:t>数据库中对手机号、卡号、人员编号等唯一字段设置一致性约束，防止重复人员或重复卡号。</w:t>
      </w:r>
    </w:p>
    <w:p w14:paraId="055855EF">
      <w:pPr>
        <w:ind w:firstLine="480"/>
        <w:rPr>
          <w:rFonts w:hint="eastAsia"/>
          <w:color w:val="000000"/>
        </w:rPr>
      </w:pPr>
      <w:r>
        <w:rPr>
          <w:rFonts w:ascii="Songti SC" w:hAnsi="Songti SC" w:eastAsia="Songti SC" w:cs="Songti SC"/>
          <w:color w:val="000000"/>
        </w:rPr>
        <w:t>对身份类别建立统一口径，身份类别只用于消费策略和人员分类，不替代系统操作角色。</w:t>
      </w:r>
    </w:p>
    <w:p w14:paraId="28E56946">
      <w:pPr>
        <w:ind w:firstLine="480"/>
        <w:rPr>
          <w:rFonts w:hint="eastAsia"/>
          <w:color w:val="000000"/>
        </w:rPr>
      </w:pPr>
      <w:r>
        <w:rPr>
          <w:rFonts w:ascii="Songti SC" w:hAnsi="Songti SC" w:eastAsia="Songti SC" w:cs="Songti SC"/>
          <w:color w:val="000000"/>
        </w:rPr>
        <w:t>对离职、注销、挂失等高风险状态设置即时同步和后台提醒，降低异常消费风险。</w:t>
      </w:r>
    </w:p>
    <w:p w14:paraId="040465CB">
      <w:pPr>
        <w:pStyle w:val="5"/>
        <w:rPr>
          <w:rFonts w:hint="eastAsia"/>
          <w:color w:val="000000"/>
        </w:rPr>
      </w:pPr>
      <w:r>
        <w:rPr>
          <w:rFonts w:ascii="Songti SC" w:hAnsi="Songti SC" w:eastAsia="Songti SC" w:cs="Songti SC"/>
          <w:color w:val="000000"/>
        </w:rPr>
        <w:t>操作员参数配置</w:t>
      </w:r>
    </w:p>
    <w:p w14:paraId="37C1DB89">
      <w:pPr>
        <w:ind w:firstLine="480"/>
        <w:rPr>
          <w:rFonts w:hint="eastAsia"/>
          <w:color w:val="000000"/>
        </w:rPr>
      </w:pPr>
      <w:r>
        <w:rPr>
          <w:rFonts w:ascii="Songti SC" w:hAnsi="Songti SC" w:eastAsia="Songti SC" w:cs="Songti SC"/>
          <w:color w:val="000000"/>
        </w:rPr>
        <w:t>操作员参数配置用于支撑管理人员按岗位办理人员维护、充值处理、报表查询、消费机维护和系统运维等工作。</w:t>
      </w:r>
    </w:p>
    <w:p w14:paraId="230FF8DA">
      <w:pPr>
        <w:ind w:firstLine="482"/>
        <w:rPr>
          <w:rFonts w:hint="eastAsia"/>
          <w:color w:val="000000"/>
        </w:rPr>
      </w:pPr>
      <w:r>
        <w:rPr>
          <w:rFonts w:hint="eastAsia" w:ascii="Songti SC" w:hAnsi="Songti SC" w:eastAsia="Songti SC" w:cs="Songti SC"/>
          <w:b/>
          <w:color w:val="000000"/>
        </w:rPr>
        <w:t>1.改造</w:t>
      </w:r>
      <w:r>
        <w:rPr>
          <w:rFonts w:ascii="Songti SC" w:hAnsi="Songti SC" w:eastAsia="Songti SC" w:cs="Songti SC"/>
          <w:b/>
          <w:color w:val="000000"/>
        </w:rPr>
        <w:t>内容</w:t>
      </w:r>
    </w:p>
    <w:p w14:paraId="36CA941E">
      <w:pPr>
        <w:ind w:firstLine="480"/>
        <w:rPr>
          <w:rFonts w:hint="eastAsia"/>
          <w:color w:val="000000"/>
        </w:rPr>
      </w:pPr>
      <w:r>
        <w:rPr>
          <w:rFonts w:ascii="Songti SC" w:hAnsi="Songti SC" w:eastAsia="Songti SC" w:cs="Songti SC"/>
          <w:color w:val="000000"/>
        </w:rPr>
        <w:t>配置操作员账号规则、密码规则、登录限制和账号有效期。</w:t>
      </w:r>
    </w:p>
    <w:p w14:paraId="14A12356">
      <w:pPr>
        <w:ind w:firstLine="480"/>
        <w:rPr>
          <w:rFonts w:hint="eastAsia"/>
          <w:color w:val="000000"/>
        </w:rPr>
      </w:pPr>
      <w:r>
        <w:rPr>
          <w:rFonts w:ascii="Songti SC" w:hAnsi="Songti SC" w:eastAsia="Songti SC" w:cs="Songti SC"/>
          <w:color w:val="000000"/>
        </w:rPr>
        <w:t>配置不同岗位可办理的业务范围，如人员维护、充值处理、退款处理、报表查询、设备维护等。</w:t>
      </w:r>
    </w:p>
    <w:p w14:paraId="04D544F5">
      <w:pPr>
        <w:ind w:firstLine="480"/>
        <w:rPr>
          <w:rFonts w:hint="eastAsia"/>
          <w:color w:val="000000"/>
        </w:rPr>
      </w:pPr>
      <w:r>
        <w:rPr>
          <w:rFonts w:ascii="Songti SC" w:hAnsi="Songti SC" w:eastAsia="Songti SC" w:cs="Songti SC"/>
          <w:color w:val="000000"/>
        </w:rPr>
        <w:t>配置按办公区、部门、餐厅、等维度的数据查看范围。</w:t>
      </w:r>
    </w:p>
    <w:p w14:paraId="04C30CA7">
      <w:pPr>
        <w:ind w:firstLine="480"/>
        <w:rPr>
          <w:rFonts w:hint="eastAsia"/>
          <w:color w:val="000000"/>
        </w:rPr>
      </w:pPr>
      <w:r>
        <w:rPr>
          <w:rFonts w:ascii="Songti SC" w:hAnsi="Songti SC" w:eastAsia="Songti SC" w:cs="Songti SC"/>
          <w:color w:val="000000"/>
        </w:rPr>
        <w:t>配置关键业务的二次确认和操作留痕要求。</w:t>
      </w:r>
    </w:p>
    <w:p w14:paraId="49C90522">
      <w:pPr>
        <w:ind w:firstLine="482"/>
        <w:rPr>
          <w:rFonts w:hint="eastAsia"/>
          <w:color w:val="000000"/>
        </w:rPr>
      </w:pPr>
      <w:r>
        <w:rPr>
          <w:rFonts w:hint="eastAsia" w:ascii="Songti SC" w:hAnsi="Songti SC" w:eastAsia="Songti SC" w:cs="Songti SC"/>
          <w:b/>
          <w:color w:val="000000"/>
        </w:rPr>
        <w:t>2.</w:t>
      </w:r>
      <w:r>
        <w:rPr>
          <w:rFonts w:ascii="Songti SC" w:hAnsi="Songti SC" w:eastAsia="Songti SC" w:cs="Songti SC"/>
          <w:b/>
          <w:color w:val="000000"/>
        </w:rPr>
        <w:t>适配做法</w:t>
      </w:r>
    </w:p>
    <w:p w14:paraId="3FD6D878">
      <w:pPr>
        <w:ind w:firstLine="480"/>
        <w:rPr>
          <w:rFonts w:hint="eastAsia"/>
          <w:color w:val="000000"/>
        </w:rPr>
      </w:pPr>
      <w:r>
        <w:rPr>
          <w:rFonts w:ascii="Songti SC" w:hAnsi="Songti SC" w:eastAsia="Songti SC" w:cs="Songti SC"/>
          <w:color w:val="000000"/>
        </w:rPr>
        <w:t>现有运行环境下统一接入安全登录策略，保证账号权限、会话超时和异常登录记录可控。</w:t>
      </w:r>
    </w:p>
    <w:p w14:paraId="303B5BBF">
      <w:pPr>
        <w:ind w:firstLine="480"/>
        <w:rPr>
          <w:rFonts w:hint="eastAsia"/>
          <w:color w:val="000000"/>
        </w:rPr>
      </w:pPr>
      <w:r>
        <w:rPr>
          <w:rFonts w:ascii="Songti SC" w:hAnsi="Songti SC" w:eastAsia="Songti SC" w:cs="Songti SC"/>
          <w:color w:val="000000"/>
        </w:rPr>
        <w:t>对高敏操作加强记录，例如批量导入、批量离职、充值、退款、补贴发放、消费策略修改和消费机参数调整。</w:t>
      </w:r>
    </w:p>
    <w:p w14:paraId="703B744B">
      <w:pPr>
        <w:ind w:firstLine="480"/>
        <w:rPr>
          <w:rFonts w:hint="eastAsia"/>
          <w:color w:val="000000"/>
        </w:rPr>
      </w:pPr>
      <w:r>
        <w:rPr>
          <w:rFonts w:ascii="Songti SC" w:hAnsi="Songti SC" w:eastAsia="Songti SC" w:cs="Songti SC"/>
          <w:color w:val="000000"/>
        </w:rPr>
        <w:t>操作员停用后立即阻断登录，并保留历史操作记录用于追溯。</w:t>
      </w:r>
    </w:p>
    <w:p w14:paraId="33E94D25">
      <w:pPr>
        <w:pStyle w:val="5"/>
        <w:rPr>
          <w:rFonts w:hint="eastAsia"/>
          <w:color w:val="000000"/>
        </w:rPr>
      </w:pPr>
      <w:r>
        <w:rPr>
          <w:rFonts w:ascii="Songti SC" w:hAnsi="Songti SC" w:eastAsia="Songti SC" w:cs="Songti SC"/>
          <w:color w:val="000000"/>
        </w:rPr>
        <w:t>报表参数配置</w:t>
      </w:r>
    </w:p>
    <w:p w14:paraId="18414D80">
      <w:pPr>
        <w:ind w:firstLine="480"/>
        <w:rPr>
          <w:rFonts w:hint="eastAsia"/>
          <w:color w:val="000000"/>
        </w:rPr>
      </w:pPr>
      <w:r>
        <w:rPr>
          <w:rFonts w:ascii="Songti SC" w:hAnsi="Songti SC" w:eastAsia="Songti SC" w:cs="Songti SC"/>
          <w:color w:val="000000"/>
        </w:rPr>
        <w:t>报表参数配置用于统一统计口径，保证财务结算、经营分析、人员查询和消费机统计前后一致。</w:t>
      </w:r>
    </w:p>
    <w:p w14:paraId="1C46DECD">
      <w:pPr>
        <w:ind w:firstLine="482"/>
        <w:rPr>
          <w:rFonts w:hint="eastAsia"/>
          <w:color w:val="000000"/>
        </w:rPr>
      </w:pPr>
      <w:r>
        <w:rPr>
          <w:rFonts w:hint="eastAsia" w:ascii="Songti SC" w:hAnsi="Songti SC" w:eastAsia="Songti SC" w:cs="Songti SC"/>
          <w:b/>
          <w:color w:val="000000"/>
        </w:rPr>
        <w:t>1.改造</w:t>
      </w:r>
      <w:r>
        <w:rPr>
          <w:rFonts w:ascii="Songti SC" w:hAnsi="Songti SC" w:eastAsia="Songti SC" w:cs="Songti SC"/>
          <w:b/>
          <w:color w:val="000000"/>
        </w:rPr>
        <w:t>内容</w:t>
      </w:r>
    </w:p>
    <w:p w14:paraId="65DE13E5">
      <w:pPr>
        <w:ind w:firstLine="480"/>
        <w:rPr>
          <w:rFonts w:hint="eastAsia"/>
          <w:color w:val="000000"/>
        </w:rPr>
      </w:pPr>
      <w:r>
        <w:rPr>
          <w:rFonts w:ascii="Songti SC" w:hAnsi="Songti SC" w:eastAsia="Songti SC" w:cs="Songti SC"/>
          <w:color w:val="000000"/>
        </w:rPr>
        <w:t>配置报表日期口径，包括交易时间、入账时间、补传时间和统计周期。</w:t>
      </w:r>
    </w:p>
    <w:p w14:paraId="13AE2597">
      <w:pPr>
        <w:ind w:firstLine="480"/>
        <w:rPr>
          <w:rFonts w:hint="eastAsia"/>
          <w:color w:val="000000"/>
        </w:rPr>
      </w:pPr>
      <w:r>
        <w:rPr>
          <w:rFonts w:ascii="Songti SC" w:hAnsi="Songti SC" w:eastAsia="Songti SC" w:cs="Songti SC"/>
          <w:color w:val="000000"/>
        </w:rPr>
        <w:t>配置报表维度，包括办公区、部门、餐厅、菜品、人员、身份类别、消费机和支付方式。</w:t>
      </w:r>
    </w:p>
    <w:p w14:paraId="1AE4CCD4">
      <w:pPr>
        <w:ind w:firstLine="480"/>
        <w:rPr>
          <w:rFonts w:hint="eastAsia"/>
          <w:color w:val="000000"/>
        </w:rPr>
      </w:pPr>
      <w:r>
        <w:rPr>
          <w:rFonts w:ascii="Songti SC" w:hAnsi="Songti SC" w:eastAsia="Songti SC" w:cs="Songti SC"/>
          <w:color w:val="000000"/>
        </w:rPr>
        <w:t>配置导出字段、脱敏规则、导出权限和导出日志。</w:t>
      </w:r>
    </w:p>
    <w:p w14:paraId="5692929E">
      <w:pPr>
        <w:ind w:firstLine="480"/>
        <w:rPr>
          <w:rFonts w:hint="eastAsia"/>
          <w:color w:val="000000"/>
        </w:rPr>
      </w:pPr>
      <w:r>
        <w:rPr>
          <w:rFonts w:ascii="Songti SC" w:hAnsi="Songti SC" w:eastAsia="Songti SC" w:cs="Songti SC"/>
          <w:color w:val="000000"/>
        </w:rPr>
        <w:t>配置大数据量查询的分页、汇总、异步导出和结果保留时间。</w:t>
      </w:r>
    </w:p>
    <w:p w14:paraId="500F9AAE">
      <w:pPr>
        <w:ind w:firstLine="482"/>
        <w:rPr>
          <w:rFonts w:hint="eastAsia"/>
          <w:color w:val="000000"/>
        </w:rPr>
      </w:pPr>
      <w:r>
        <w:rPr>
          <w:rFonts w:hint="eastAsia" w:ascii="Songti SC" w:hAnsi="Songti SC" w:eastAsia="Songti SC" w:cs="Songti SC"/>
          <w:b/>
          <w:color w:val="000000"/>
        </w:rPr>
        <w:t>2.</w:t>
      </w:r>
      <w:r>
        <w:rPr>
          <w:rFonts w:ascii="Songti SC" w:hAnsi="Songti SC" w:eastAsia="Songti SC" w:cs="Songti SC"/>
          <w:b/>
          <w:color w:val="000000"/>
        </w:rPr>
        <w:t>适配做法</w:t>
      </w:r>
    </w:p>
    <w:p w14:paraId="01ADD28B">
      <w:pPr>
        <w:ind w:firstLine="480"/>
        <w:rPr>
          <w:rFonts w:hint="eastAsia"/>
          <w:color w:val="000000"/>
        </w:rPr>
      </w:pPr>
      <w:r>
        <w:rPr>
          <w:rFonts w:ascii="Songti SC" w:hAnsi="Songti SC" w:eastAsia="Songti SC" w:cs="Songti SC"/>
          <w:color w:val="000000"/>
        </w:rPr>
        <w:t>数据库下优化报表查询 SQL、索引和汇总逻辑，避免高峰期报表查询影响交易处理。</w:t>
      </w:r>
    </w:p>
    <w:p w14:paraId="0472BCFF">
      <w:pPr>
        <w:ind w:firstLine="480"/>
        <w:rPr>
          <w:rFonts w:hint="eastAsia"/>
          <w:color w:val="000000"/>
        </w:rPr>
      </w:pPr>
      <w:r>
        <w:rPr>
          <w:rFonts w:ascii="Songti SC" w:hAnsi="Songti SC" w:eastAsia="Songti SC" w:cs="Songti SC"/>
          <w:color w:val="000000"/>
        </w:rPr>
        <w:t>对金额字段统一保留精度和四舍五入口径，确保报表合计与账户流水一致。</w:t>
      </w:r>
    </w:p>
    <w:p w14:paraId="40C93358">
      <w:pPr>
        <w:ind w:firstLine="480"/>
        <w:rPr>
          <w:rFonts w:hint="eastAsia"/>
          <w:color w:val="000000"/>
        </w:rPr>
      </w:pPr>
      <w:r>
        <w:rPr>
          <w:rFonts w:ascii="Songti SC" w:hAnsi="Songti SC" w:eastAsia="Songti SC" w:cs="Songti SC"/>
          <w:color w:val="000000"/>
        </w:rPr>
        <w:t>对导出文件名、中文表头、日期格式和金额格式进行兼容处理。</w:t>
      </w:r>
    </w:p>
    <w:p w14:paraId="01C383FD">
      <w:pPr>
        <w:pStyle w:val="4"/>
        <w:rPr>
          <w:rFonts w:hint="eastAsia"/>
          <w:color w:val="000000"/>
        </w:rPr>
      </w:pPr>
      <w:bookmarkStart w:id="335" w:name="_Toc820327941"/>
      <w:bookmarkStart w:id="336" w:name="_Toc266804225"/>
      <w:bookmarkStart w:id="337" w:name="_Toc541203129"/>
      <w:r>
        <w:rPr>
          <w:rFonts w:ascii="Songti SC" w:hAnsi="Songti SC" w:eastAsia="Songti SC" w:cs="Songti SC"/>
          <w:color w:val="000000"/>
        </w:rPr>
        <w:t>配置管理系统改造</w:t>
      </w:r>
      <w:bookmarkEnd w:id="335"/>
      <w:bookmarkEnd w:id="336"/>
      <w:bookmarkEnd w:id="337"/>
    </w:p>
    <w:p w14:paraId="44AB40F9">
      <w:pPr>
        <w:pStyle w:val="5"/>
        <w:rPr>
          <w:rFonts w:hint="eastAsia"/>
          <w:color w:val="000000"/>
        </w:rPr>
      </w:pPr>
      <w:r>
        <w:rPr>
          <w:rFonts w:ascii="Songti SC" w:hAnsi="Songti SC" w:eastAsia="Songti SC" w:cs="Songti SC"/>
          <w:color w:val="000000"/>
        </w:rPr>
        <w:t>操作员角色</w:t>
      </w:r>
    </w:p>
    <w:p w14:paraId="78E875E9">
      <w:pPr>
        <w:ind w:firstLine="480"/>
        <w:rPr>
          <w:rFonts w:hint="eastAsia"/>
          <w:color w:val="000000"/>
        </w:rPr>
      </w:pPr>
      <w:r>
        <w:rPr>
          <w:rFonts w:ascii="Songti SC" w:hAnsi="Songti SC" w:eastAsia="Songti SC" w:cs="Songti SC"/>
          <w:color w:val="000000"/>
        </w:rPr>
        <w:t>操作员角色用于把系统管理职责分解到不同岗位，避免一个账号拥有过多权限。</w:t>
      </w:r>
    </w:p>
    <w:p w14:paraId="09005A3E">
      <w:pPr>
        <w:ind w:firstLine="482"/>
        <w:rPr>
          <w:rFonts w:hint="eastAsia"/>
          <w:color w:val="000000"/>
        </w:rPr>
      </w:pPr>
      <w:r>
        <w:rPr>
          <w:rFonts w:hint="eastAsia" w:ascii="Songti SC" w:hAnsi="Songti SC" w:eastAsia="Songti SC" w:cs="Songti SC"/>
          <w:b/>
          <w:color w:val="000000"/>
        </w:rPr>
        <w:t>1.改造</w:t>
      </w:r>
      <w:r>
        <w:rPr>
          <w:rFonts w:ascii="Songti SC" w:hAnsi="Songti SC" w:eastAsia="Songti SC" w:cs="Songti SC"/>
          <w:b/>
          <w:color w:val="000000"/>
        </w:rPr>
        <w:t>内容</w:t>
      </w:r>
    </w:p>
    <w:p w14:paraId="6D92B3E5">
      <w:pPr>
        <w:ind w:firstLine="480"/>
        <w:rPr>
          <w:rFonts w:hint="eastAsia"/>
          <w:color w:val="000000"/>
        </w:rPr>
      </w:pPr>
      <w:r>
        <w:rPr>
          <w:rFonts w:ascii="Songti SC" w:hAnsi="Songti SC" w:eastAsia="Songti SC" w:cs="Songti SC"/>
          <w:color w:val="000000"/>
        </w:rPr>
        <w:t>建立系统管理员、业务管理员、财务人员、报表人员、设备维护人员、只读查询人员等角色。</w:t>
      </w:r>
    </w:p>
    <w:p w14:paraId="300C3AF3">
      <w:pPr>
        <w:ind w:firstLine="480"/>
        <w:rPr>
          <w:rFonts w:hint="eastAsia"/>
          <w:color w:val="000000"/>
        </w:rPr>
      </w:pPr>
      <w:r>
        <w:rPr>
          <w:rFonts w:ascii="Songti SC" w:hAnsi="Songti SC" w:eastAsia="Songti SC" w:cs="Songti SC"/>
          <w:color w:val="000000"/>
        </w:rPr>
        <w:t>角色按功能菜单、操作按钮、数据范围和导出权限进行授权。</w:t>
      </w:r>
    </w:p>
    <w:p w14:paraId="603E3F56">
      <w:pPr>
        <w:ind w:firstLine="480"/>
        <w:rPr>
          <w:rFonts w:hint="eastAsia"/>
          <w:color w:val="000000"/>
        </w:rPr>
      </w:pPr>
      <w:r>
        <w:rPr>
          <w:rFonts w:ascii="Songti SC" w:hAnsi="Songti SC" w:eastAsia="Songti SC" w:cs="Songti SC"/>
          <w:color w:val="000000"/>
        </w:rPr>
        <w:t>角色调整要保留变更记录，方便追溯权限变化。</w:t>
      </w:r>
    </w:p>
    <w:p w14:paraId="4F10B5E2">
      <w:pPr>
        <w:ind w:firstLine="482"/>
        <w:rPr>
          <w:rFonts w:hint="eastAsia"/>
          <w:color w:val="000000"/>
        </w:rPr>
      </w:pPr>
      <w:r>
        <w:rPr>
          <w:rFonts w:hint="eastAsia" w:ascii="Songti SC" w:hAnsi="Songti SC" w:eastAsia="Songti SC" w:cs="Songti SC"/>
          <w:b/>
          <w:color w:val="000000"/>
        </w:rPr>
        <w:t>2.</w:t>
      </w:r>
      <w:r>
        <w:rPr>
          <w:rFonts w:ascii="Songti SC" w:hAnsi="Songti SC" w:eastAsia="Songti SC" w:cs="Songti SC"/>
          <w:b/>
          <w:color w:val="000000"/>
        </w:rPr>
        <w:t>适配做法</w:t>
      </w:r>
    </w:p>
    <w:p w14:paraId="4F1E91AB">
      <w:pPr>
        <w:ind w:firstLine="480"/>
        <w:rPr>
          <w:rFonts w:hint="eastAsia"/>
          <w:color w:val="000000"/>
        </w:rPr>
      </w:pPr>
      <w:r>
        <w:rPr>
          <w:rFonts w:ascii="Songti SC" w:hAnsi="Songti SC" w:eastAsia="Songti SC" w:cs="Songti SC"/>
          <w:color w:val="000000"/>
        </w:rPr>
        <w:t>在目标政务云环境上线后重新核对角色权限，清理历史冗余角色和长期不用的账号。</w:t>
      </w:r>
    </w:p>
    <w:p w14:paraId="62C71C8B">
      <w:pPr>
        <w:ind w:firstLine="480"/>
        <w:rPr>
          <w:rFonts w:hint="eastAsia"/>
          <w:color w:val="000000"/>
        </w:rPr>
      </w:pPr>
      <w:r>
        <w:rPr>
          <w:rFonts w:ascii="Songti SC" w:hAnsi="Songti SC" w:eastAsia="Songti SC" w:cs="Songti SC"/>
          <w:color w:val="000000"/>
        </w:rPr>
        <w:t>对财务、充值、退款、补贴、消费策略等敏感功能设置更细颗粒度授权。</w:t>
      </w:r>
    </w:p>
    <w:p w14:paraId="0B9EEF05">
      <w:pPr>
        <w:pStyle w:val="5"/>
        <w:rPr>
          <w:rFonts w:hint="eastAsia"/>
          <w:color w:val="000000"/>
        </w:rPr>
      </w:pPr>
      <w:r>
        <w:rPr>
          <w:rFonts w:ascii="Songti SC" w:hAnsi="Songti SC" w:eastAsia="Songti SC" w:cs="Songti SC"/>
          <w:color w:val="000000"/>
        </w:rPr>
        <w:t>操作员配置</w:t>
      </w:r>
    </w:p>
    <w:p w14:paraId="6B444338">
      <w:pPr>
        <w:ind w:firstLine="480"/>
        <w:rPr>
          <w:rFonts w:hint="eastAsia"/>
          <w:color w:val="000000"/>
        </w:rPr>
      </w:pPr>
      <w:r>
        <w:rPr>
          <w:rFonts w:ascii="Songti SC" w:hAnsi="Songti SC" w:eastAsia="Songti SC" w:cs="Songti SC"/>
          <w:color w:val="000000"/>
        </w:rPr>
        <w:t>操作员配置用于维护后台管理人员账号、岗位、所属部门、数据范围和状态。</w:t>
      </w:r>
    </w:p>
    <w:p w14:paraId="34D3A239">
      <w:pPr>
        <w:ind w:firstLine="482"/>
        <w:rPr>
          <w:rFonts w:hint="eastAsia"/>
          <w:color w:val="000000"/>
        </w:rPr>
      </w:pPr>
      <w:r>
        <w:rPr>
          <w:rFonts w:hint="eastAsia" w:ascii="Songti SC" w:hAnsi="Songti SC" w:eastAsia="Songti SC" w:cs="Songti SC"/>
          <w:b/>
          <w:color w:val="000000"/>
        </w:rPr>
        <w:t>1.改造</w:t>
      </w:r>
      <w:r>
        <w:rPr>
          <w:rFonts w:ascii="Songti SC" w:hAnsi="Songti SC" w:eastAsia="Songti SC" w:cs="Songti SC"/>
          <w:b/>
          <w:color w:val="000000"/>
        </w:rPr>
        <w:t>内容</w:t>
      </w:r>
    </w:p>
    <w:p w14:paraId="36032752">
      <w:pPr>
        <w:ind w:firstLine="480"/>
        <w:rPr>
          <w:rFonts w:hint="eastAsia"/>
          <w:color w:val="000000"/>
        </w:rPr>
      </w:pPr>
      <w:r>
        <w:rPr>
          <w:rFonts w:ascii="Songti SC" w:hAnsi="Songti SC" w:eastAsia="Songti SC" w:cs="Songti SC"/>
          <w:color w:val="000000"/>
        </w:rPr>
        <w:t>支持新增、编辑、停用、重置密码、绑定角色和设置数据范围。</w:t>
      </w:r>
    </w:p>
    <w:p w14:paraId="32083AA0">
      <w:pPr>
        <w:ind w:firstLine="480"/>
        <w:rPr>
          <w:rFonts w:hint="eastAsia"/>
          <w:color w:val="000000"/>
        </w:rPr>
      </w:pPr>
      <w:r>
        <w:rPr>
          <w:rFonts w:ascii="Songti SC" w:hAnsi="Songti SC" w:eastAsia="Songti SC" w:cs="Songti SC"/>
          <w:color w:val="000000"/>
        </w:rPr>
        <w:t>支持按办公区、部门、角色、状态查询操作员。</w:t>
      </w:r>
    </w:p>
    <w:p w14:paraId="00BDCAB2">
      <w:pPr>
        <w:ind w:firstLine="480"/>
        <w:rPr>
          <w:rFonts w:hint="eastAsia"/>
          <w:color w:val="000000"/>
        </w:rPr>
      </w:pPr>
      <w:r>
        <w:rPr>
          <w:rFonts w:ascii="Songti SC" w:hAnsi="Songti SC" w:eastAsia="Songti SC" w:cs="Songti SC"/>
          <w:color w:val="000000"/>
        </w:rPr>
        <w:t>操作员停用后保留历史操作痕迹，不删除业务记录。</w:t>
      </w:r>
    </w:p>
    <w:p w14:paraId="0C15B57B">
      <w:pPr>
        <w:ind w:firstLine="482"/>
        <w:rPr>
          <w:rFonts w:hint="eastAsia"/>
          <w:color w:val="000000"/>
        </w:rPr>
      </w:pPr>
      <w:r>
        <w:rPr>
          <w:rFonts w:hint="eastAsia" w:ascii="Songti SC" w:hAnsi="Songti SC" w:eastAsia="Songti SC" w:cs="Songti SC"/>
          <w:b/>
          <w:color w:val="000000"/>
        </w:rPr>
        <w:t>2.</w:t>
      </w:r>
      <w:r>
        <w:rPr>
          <w:rFonts w:ascii="Songti SC" w:hAnsi="Songti SC" w:eastAsia="Songti SC" w:cs="Songti SC"/>
          <w:b/>
          <w:color w:val="000000"/>
        </w:rPr>
        <w:t>适配做法</w:t>
      </w:r>
    </w:p>
    <w:p w14:paraId="37DFE69C">
      <w:pPr>
        <w:ind w:firstLine="480"/>
        <w:rPr>
          <w:rFonts w:hint="eastAsia"/>
          <w:color w:val="000000"/>
        </w:rPr>
      </w:pPr>
      <w:r>
        <w:rPr>
          <w:rFonts w:ascii="Songti SC" w:hAnsi="Songti SC" w:eastAsia="Songti SC" w:cs="Songti SC"/>
          <w:color w:val="000000"/>
        </w:rPr>
        <w:t>统一适配现有办公浏览器下的登录、权限菜单、弹窗和表单交互。</w:t>
      </w:r>
    </w:p>
    <w:p w14:paraId="239EB31F">
      <w:pPr>
        <w:ind w:firstLine="480"/>
        <w:rPr>
          <w:rFonts w:hint="eastAsia"/>
          <w:color w:val="000000"/>
        </w:rPr>
      </w:pPr>
      <w:r>
        <w:rPr>
          <w:rFonts w:ascii="Songti SC" w:hAnsi="Songti SC" w:eastAsia="Songti SC" w:cs="Songti SC"/>
          <w:color w:val="000000"/>
        </w:rPr>
        <w:t>对批量授权、角色调整等操作记录变更前后内容。</w:t>
      </w:r>
    </w:p>
    <w:p w14:paraId="1A4A7026">
      <w:pPr>
        <w:pStyle w:val="5"/>
        <w:rPr>
          <w:rFonts w:hint="eastAsia"/>
          <w:color w:val="000000"/>
        </w:rPr>
      </w:pPr>
      <w:r>
        <w:rPr>
          <w:rFonts w:ascii="Songti SC" w:hAnsi="Songti SC" w:eastAsia="Songti SC" w:cs="Songti SC"/>
          <w:color w:val="000000"/>
        </w:rPr>
        <w:t>卡类型配置</w:t>
      </w:r>
    </w:p>
    <w:p w14:paraId="34BD2B03">
      <w:pPr>
        <w:ind w:firstLine="480"/>
        <w:rPr>
          <w:rFonts w:hint="eastAsia"/>
          <w:color w:val="000000"/>
        </w:rPr>
      </w:pPr>
      <w:r>
        <w:rPr>
          <w:rFonts w:ascii="Songti SC" w:hAnsi="Songti SC" w:eastAsia="Songti SC" w:cs="Songti SC"/>
          <w:color w:val="000000"/>
        </w:rPr>
        <w:t>卡类型配置用于区分不同类型就餐凭证及其消费限制。</w:t>
      </w:r>
    </w:p>
    <w:p w14:paraId="5827D753">
      <w:pPr>
        <w:ind w:firstLine="482"/>
        <w:rPr>
          <w:rFonts w:hint="eastAsia"/>
          <w:color w:val="000000"/>
        </w:rPr>
      </w:pPr>
      <w:r>
        <w:rPr>
          <w:rFonts w:hint="eastAsia" w:ascii="Songti SC" w:hAnsi="Songti SC" w:eastAsia="Songti SC" w:cs="Songti SC"/>
          <w:b/>
          <w:color w:val="000000"/>
        </w:rPr>
        <w:t>1.改造</w:t>
      </w:r>
      <w:r>
        <w:rPr>
          <w:rFonts w:ascii="Songti SC" w:hAnsi="Songti SC" w:eastAsia="Songti SC" w:cs="Songti SC"/>
          <w:b/>
          <w:color w:val="000000"/>
        </w:rPr>
        <w:t>内容</w:t>
      </w:r>
    </w:p>
    <w:p w14:paraId="0B7C5EB3">
      <w:pPr>
        <w:ind w:firstLine="480"/>
        <w:rPr>
          <w:rFonts w:hint="eastAsia"/>
          <w:color w:val="000000"/>
        </w:rPr>
      </w:pPr>
      <w:r>
        <w:rPr>
          <w:rFonts w:ascii="Songti SC" w:hAnsi="Songti SC" w:eastAsia="Songti SC" w:cs="Songti SC"/>
          <w:color w:val="000000"/>
        </w:rPr>
        <w:t>维护实体卡、临时卡、备用卡等类型及使用规则。</w:t>
      </w:r>
    </w:p>
    <w:p w14:paraId="3D49C0CF">
      <w:pPr>
        <w:ind w:firstLine="480"/>
        <w:rPr>
          <w:rFonts w:hint="eastAsia"/>
          <w:color w:val="000000"/>
        </w:rPr>
      </w:pPr>
      <w:r>
        <w:rPr>
          <w:rFonts w:ascii="Songti SC" w:hAnsi="Songti SC" w:eastAsia="Songti SC" w:cs="Songti SC"/>
          <w:color w:val="000000"/>
        </w:rPr>
        <w:t>配置挂失、解挂、补卡、解绑和注销后的消费限制。</w:t>
      </w:r>
    </w:p>
    <w:p w14:paraId="51769F7D">
      <w:pPr>
        <w:ind w:firstLine="480"/>
        <w:rPr>
          <w:rFonts w:hint="eastAsia"/>
          <w:color w:val="000000"/>
        </w:rPr>
      </w:pPr>
      <w:r>
        <w:rPr>
          <w:rFonts w:ascii="Songti SC" w:hAnsi="Songti SC" w:eastAsia="Songti SC" w:cs="Songti SC"/>
          <w:color w:val="000000"/>
        </w:rPr>
        <w:t>配置不同卡类型是否允许消费机离线识别。</w:t>
      </w:r>
    </w:p>
    <w:p w14:paraId="4ED15387">
      <w:pPr>
        <w:ind w:firstLine="482"/>
        <w:rPr>
          <w:rFonts w:hint="eastAsia"/>
          <w:color w:val="000000"/>
        </w:rPr>
      </w:pPr>
      <w:r>
        <w:rPr>
          <w:rFonts w:hint="eastAsia" w:ascii="Songti SC" w:hAnsi="Songti SC" w:eastAsia="Songti SC" w:cs="Songti SC"/>
          <w:b/>
          <w:color w:val="000000"/>
        </w:rPr>
        <w:t>2.</w:t>
      </w:r>
      <w:r>
        <w:rPr>
          <w:rFonts w:ascii="Songti SC" w:hAnsi="Songti SC" w:eastAsia="Songti SC" w:cs="Songti SC"/>
          <w:b/>
          <w:color w:val="000000"/>
        </w:rPr>
        <w:t>适配做法</w:t>
      </w:r>
    </w:p>
    <w:p w14:paraId="4F7E4912">
      <w:pPr>
        <w:ind w:firstLine="480"/>
        <w:rPr>
          <w:rFonts w:hint="eastAsia"/>
          <w:color w:val="000000"/>
        </w:rPr>
      </w:pPr>
      <w:r>
        <w:rPr>
          <w:rFonts w:ascii="Songti SC" w:hAnsi="Songti SC" w:eastAsia="Songti SC" w:cs="Songti SC"/>
          <w:color w:val="000000"/>
        </w:rPr>
        <w:t>卡号在数据库中保持唯一性，数据承接时校验重复卡号和无人员绑定卡。</w:t>
      </w:r>
    </w:p>
    <w:p w14:paraId="3AC60803">
      <w:pPr>
        <w:ind w:firstLine="480"/>
        <w:rPr>
          <w:rFonts w:hint="eastAsia"/>
          <w:color w:val="000000"/>
        </w:rPr>
      </w:pPr>
      <w:r>
        <w:rPr>
          <w:rFonts w:ascii="Songti SC" w:hAnsi="Songti SC" w:eastAsia="Songti SC" w:cs="Songti SC"/>
          <w:color w:val="000000"/>
        </w:rPr>
        <w:t>挂失、解挂、注销状态同步到消费机，现场消费时即时生效或按批次生效。</w:t>
      </w:r>
    </w:p>
    <w:p w14:paraId="5A2E3813">
      <w:pPr>
        <w:pStyle w:val="5"/>
        <w:rPr>
          <w:rFonts w:hint="eastAsia"/>
          <w:color w:val="000000"/>
        </w:rPr>
      </w:pPr>
      <w:r>
        <w:rPr>
          <w:rFonts w:ascii="Songti SC" w:hAnsi="Songti SC" w:eastAsia="Songti SC" w:cs="Songti SC"/>
          <w:color w:val="000000"/>
        </w:rPr>
        <w:t>部门配置</w:t>
      </w:r>
    </w:p>
    <w:p w14:paraId="3A2A1AB4">
      <w:pPr>
        <w:ind w:firstLine="480"/>
        <w:rPr>
          <w:rFonts w:hint="eastAsia"/>
          <w:color w:val="000000"/>
        </w:rPr>
      </w:pPr>
      <w:r>
        <w:rPr>
          <w:rFonts w:ascii="Songti SC" w:hAnsi="Songti SC" w:eastAsia="Songti SC" w:cs="Songti SC"/>
          <w:color w:val="000000"/>
        </w:rPr>
        <w:t>部门配置用于支撑人员归属、权限范围和统计汇总。</w:t>
      </w:r>
    </w:p>
    <w:p w14:paraId="7C4F3125">
      <w:pPr>
        <w:ind w:firstLine="482"/>
        <w:rPr>
          <w:rFonts w:hint="eastAsia"/>
          <w:color w:val="000000"/>
        </w:rPr>
      </w:pPr>
      <w:r>
        <w:rPr>
          <w:rFonts w:hint="eastAsia" w:ascii="Songti SC" w:hAnsi="Songti SC" w:eastAsia="Songti SC" w:cs="Songti SC"/>
          <w:b/>
          <w:color w:val="000000"/>
        </w:rPr>
        <w:t>1.改造</w:t>
      </w:r>
      <w:r>
        <w:rPr>
          <w:rFonts w:ascii="Songti SC" w:hAnsi="Songti SC" w:eastAsia="Songti SC" w:cs="Songti SC"/>
          <w:b/>
          <w:color w:val="000000"/>
        </w:rPr>
        <w:t>内容</w:t>
      </w:r>
    </w:p>
    <w:p w14:paraId="051D5CC5">
      <w:pPr>
        <w:ind w:firstLine="480"/>
        <w:rPr>
          <w:rFonts w:hint="eastAsia"/>
          <w:color w:val="000000"/>
        </w:rPr>
      </w:pPr>
      <w:r>
        <w:rPr>
          <w:rFonts w:ascii="Songti SC" w:hAnsi="Songti SC" w:eastAsia="Songti SC" w:cs="Songti SC"/>
          <w:color w:val="000000"/>
        </w:rPr>
        <w:t>维护部门编码、部门名称、上级部门、状态和排序。</w:t>
      </w:r>
    </w:p>
    <w:p w14:paraId="527C9CA6">
      <w:pPr>
        <w:ind w:firstLine="480"/>
        <w:rPr>
          <w:rFonts w:hint="eastAsia"/>
          <w:color w:val="000000"/>
        </w:rPr>
      </w:pPr>
      <w:r>
        <w:rPr>
          <w:rFonts w:ascii="Songti SC" w:hAnsi="Songti SC" w:eastAsia="Songti SC" w:cs="Songti SC"/>
          <w:color w:val="000000"/>
        </w:rPr>
        <w:t>部门变更后同步影响人员查询、报表统计和消费权限范围。</w:t>
      </w:r>
    </w:p>
    <w:p w14:paraId="11927728">
      <w:pPr>
        <w:ind w:firstLine="480"/>
        <w:rPr>
          <w:rFonts w:hint="eastAsia"/>
          <w:color w:val="000000"/>
        </w:rPr>
      </w:pPr>
      <w:r>
        <w:rPr>
          <w:rFonts w:ascii="Songti SC" w:hAnsi="Songti SC" w:eastAsia="Songti SC" w:cs="Songti SC"/>
          <w:color w:val="000000"/>
        </w:rPr>
        <w:t>支持停用历史部门但保留历史报表统计口径。</w:t>
      </w:r>
    </w:p>
    <w:p w14:paraId="3AF1EDC2">
      <w:pPr>
        <w:ind w:firstLine="482"/>
        <w:rPr>
          <w:rFonts w:hint="eastAsia"/>
          <w:color w:val="000000"/>
        </w:rPr>
      </w:pPr>
      <w:r>
        <w:rPr>
          <w:rFonts w:hint="eastAsia" w:ascii="Songti SC" w:hAnsi="Songti SC" w:eastAsia="Songti SC" w:cs="Songti SC"/>
          <w:b/>
          <w:color w:val="000000"/>
        </w:rPr>
        <w:t>2.</w:t>
      </w:r>
      <w:r>
        <w:rPr>
          <w:rFonts w:ascii="Songti SC" w:hAnsi="Songti SC" w:eastAsia="Songti SC" w:cs="Songti SC"/>
          <w:b/>
          <w:color w:val="000000"/>
        </w:rPr>
        <w:t>适配做法</w:t>
      </w:r>
    </w:p>
    <w:p w14:paraId="6E3AF61A">
      <w:pPr>
        <w:ind w:firstLine="480"/>
        <w:rPr>
          <w:rFonts w:hint="eastAsia"/>
          <w:color w:val="000000"/>
        </w:rPr>
      </w:pPr>
      <w:r>
        <w:rPr>
          <w:rFonts w:hint="eastAsia" w:ascii="Songti SC" w:hAnsi="Songti SC" w:eastAsia="Songti SC" w:cs="Songti SC"/>
          <w:color w:val="000000"/>
        </w:rPr>
        <w:t>数据</w:t>
      </w:r>
      <w:r>
        <w:rPr>
          <w:rFonts w:ascii="Songti SC" w:hAnsi="Songti SC" w:eastAsia="Songti SC" w:cs="Songti SC"/>
          <w:color w:val="000000"/>
        </w:rPr>
        <w:t>承接时校验人员部门关系，避免出现人员无部门或部门编码重复。</w:t>
      </w:r>
    </w:p>
    <w:p w14:paraId="67004059">
      <w:pPr>
        <w:ind w:firstLine="480"/>
        <w:rPr>
          <w:rFonts w:hint="eastAsia"/>
          <w:color w:val="000000"/>
        </w:rPr>
      </w:pPr>
      <w:r>
        <w:rPr>
          <w:rFonts w:ascii="Songti SC" w:hAnsi="Songti SC" w:eastAsia="Songti SC" w:cs="Songti SC"/>
          <w:color w:val="000000"/>
        </w:rPr>
        <w:t>报表查询时对历史部门和现行部门口径进行区分说明。</w:t>
      </w:r>
    </w:p>
    <w:p w14:paraId="0FB18EBF">
      <w:pPr>
        <w:pStyle w:val="5"/>
        <w:rPr>
          <w:rFonts w:hint="eastAsia"/>
          <w:color w:val="000000"/>
        </w:rPr>
      </w:pPr>
      <w:r>
        <w:rPr>
          <w:rFonts w:ascii="Songti SC" w:hAnsi="Songti SC" w:eastAsia="Songti SC" w:cs="Songti SC"/>
          <w:color w:val="000000"/>
        </w:rPr>
        <w:t>人员属性配置</w:t>
      </w:r>
    </w:p>
    <w:p w14:paraId="29BDE4E5">
      <w:pPr>
        <w:ind w:firstLine="480"/>
        <w:rPr>
          <w:rFonts w:hint="eastAsia"/>
          <w:color w:val="000000"/>
        </w:rPr>
      </w:pPr>
      <w:r>
        <w:rPr>
          <w:rFonts w:ascii="Songti SC" w:hAnsi="Songti SC" w:eastAsia="Songti SC" w:cs="Songti SC"/>
          <w:color w:val="000000"/>
        </w:rPr>
        <w:t>人员属性配置用于维护人员档案中的分类字段，支撑消费策略和服务管理。</w:t>
      </w:r>
    </w:p>
    <w:p w14:paraId="7502DECF">
      <w:pPr>
        <w:ind w:firstLine="482"/>
        <w:rPr>
          <w:rFonts w:hint="eastAsia"/>
          <w:color w:val="000000"/>
        </w:rPr>
      </w:pPr>
      <w:r>
        <w:rPr>
          <w:rFonts w:hint="eastAsia" w:ascii="Songti SC" w:hAnsi="Songti SC" w:eastAsia="Songti SC" w:cs="Songti SC"/>
          <w:b/>
          <w:color w:val="000000"/>
        </w:rPr>
        <w:t>1.改造</w:t>
      </w:r>
      <w:r>
        <w:rPr>
          <w:rFonts w:ascii="Songti SC" w:hAnsi="Songti SC" w:eastAsia="Songti SC" w:cs="Songti SC"/>
          <w:b/>
          <w:color w:val="000000"/>
        </w:rPr>
        <w:t>内容</w:t>
      </w:r>
    </w:p>
    <w:p w14:paraId="0A2A9F31">
      <w:pPr>
        <w:ind w:firstLine="480"/>
        <w:rPr>
          <w:rFonts w:hint="eastAsia"/>
          <w:color w:val="000000"/>
        </w:rPr>
      </w:pPr>
      <w:r>
        <w:rPr>
          <w:rFonts w:ascii="Songti SC" w:hAnsi="Songti SC" w:eastAsia="Songti SC" w:cs="Songti SC"/>
          <w:color w:val="000000"/>
        </w:rPr>
        <w:t>配置身份类别、人员类别、有效期、是否允许线上充值、是否允许补贴、是否允许人脸消费等属性。</w:t>
      </w:r>
    </w:p>
    <w:p w14:paraId="2029D52C">
      <w:pPr>
        <w:ind w:firstLine="480"/>
        <w:rPr>
          <w:rFonts w:hint="eastAsia"/>
          <w:color w:val="000000"/>
        </w:rPr>
      </w:pPr>
      <w:r>
        <w:rPr>
          <w:rFonts w:ascii="Songti SC" w:hAnsi="Songti SC" w:eastAsia="Songti SC" w:cs="Songti SC"/>
          <w:color w:val="000000"/>
        </w:rPr>
        <w:t>身份类别用于消费策略匹配，不等同于系统操作角色。</w:t>
      </w:r>
    </w:p>
    <w:p w14:paraId="7FE3BF90">
      <w:pPr>
        <w:ind w:firstLine="480"/>
        <w:rPr>
          <w:rFonts w:hint="eastAsia"/>
          <w:color w:val="000000"/>
        </w:rPr>
      </w:pPr>
      <w:r>
        <w:rPr>
          <w:rFonts w:ascii="Songti SC" w:hAnsi="Songti SC" w:eastAsia="Songti SC" w:cs="Songti SC"/>
          <w:color w:val="000000"/>
        </w:rPr>
        <w:t>人员属性变化后触发消费机同步和消费权限重算。</w:t>
      </w:r>
    </w:p>
    <w:p w14:paraId="5F38FB8F">
      <w:pPr>
        <w:ind w:firstLine="482"/>
        <w:rPr>
          <w:rFonts w:hint="eastAsia"/>
          <w:color w:val="000000"/>
        </w:rPr>
      </w:pPr>
      <w:r>
        <w:rPr>
          <w:rFonts w:hint="eastAsia" w:ascii="Songti SC" w:hAnsi="Songti SC" w:eastAsia="Songti SC" w:cs="Songti SC"/>
          <w:b/>
          <w:color w:val="000000"/>
        </w:rPr>
        <w:t>2.</w:t>
      </w:r>
      <w:r>
        <w:rPr>
          <w:rFonts w:ascii="Songti SC" w:hAnsi="Songti SC" w:eastAsia="Songti SC" w:cs="Songti SC"/>
          <w:b/>
          <w:color w:val="000000"/>
        </w:rPr>
        <w:t>适配做法</w:t>
      </w:r>
    </w:p>
    <w:p w14:paraId="28178DB8">
      <w:pPr>
        <w:ind w:firstLine="480"/>
        <w:rPr>
          <w:rFonts w:hint="eastAsia"/>
          <w:color w:val="000000"/>
        </w:rPr>
      </w:pPr>
      <w:r>
        <w:rPr>
          <w:rFonts w:ascii="Songti SC" w:hAnsi="Songti SC" w:eastAsia="Songti SC" w:cs="Songti SC"/>
          <w:color w:val="000000"/>
        </w:rPr>
        <w:t>升级后统一清理历史属性值，避免同义不同名造成策略混乱。</w:t>
      </w:r>
    </w:p>
    <w:p w14:paraId="2AA48D7C">
      <w:pPr>
        <w:ind w:firstLine="480"/>
        <w:rPr>
          <w:rFonts w:hint="eastAsia"/>
          <w:color w:val="000000"/>
        </w:rPr>
      </w:pPr>
      <w:r>
        <w:rPr>
          <w:rFonts w:ascii="Songti SC" w:hAnsi="Songti SC" w:eastAsia="Songti SC" w:cs="Songti SC"/>
          <w:color w:val="000000"/>
        </w:rPr>
        <w:t>身份类别变更要记录原因和操作人，便于处理后续消费争议。</w:t>
      </w:r>
    </w:p>
    <w:p w14:paraId="05D48606">
      <w:pPr>
        <w:pStyle w:val="5"/>
        <w:rPr>
          <w:rFonts w:hint="eastAsia"/>
          <w:color w:val="000000"/>
        </w:rPr>
      </w:pPr>
      <w:r>
        <w:rPr>
          <w:rFonts w:ascii="Songti SC" w:hAnsi="Songti SC" w:eastAsia="Songti SC" w:cs="Songti SC"/>
          <w:color w:val="000000"/>
        </w:rPr>
        <w:t>餐厅与配置</w:t>
      </w:r>
    </w:p>
    <w:p w14:paraId="45263B98">
      <w:pPr>
        <w:ind w:firstLine="480"/>
        <w:rPr>
          <w:rFonts w:hint="eastAsia"/>
          <w:color w:val="000000"/>
        </w:rPr>
      </w:pPr>
      <w:r>
        <w:rPr>
          <w:rFonts w:ascii="Songti SC" w:hAnsi="Songti SC" w:eastAsia="Songti SC" w:cs="Songti SC"/>
          <w:color w:val="000000"/>
        </w:rPr>
        <w:t>餐厅与配置用于支撑17个办公区食堂经营管理和消费机点位绑定。</w:t>
      </w:r>
    </w:p>
    <w:p w14:paraId="66C8FE86">
      <w:pPr>
        <w:ind w:firstLine="482"/>
        <w:rPr>
          <w:rFonts w:hint="eastAsia"/>
          <w:color w:val="000000"/>
        </w:rPr>
      </w:pPr>
      <w:r>
        <w:rPr>
          <w:rFonts w:hint="eastAsia" w:ascii="Songti SC" w:hAnsi="Songti SC" w:eastAsia="Songti SC" w:cs="Songti SC"/>
          <w:b/>
          <w:color w:val="000000"/>
        </w:rPr>
        <w:t>1.改造</w:t>
      </w:r>
      <w:r>
        <w:rPr>
          <w:rFonts w:ascii="Songti SC" w:hAnsi="Songti SC" w:eastAsia="Songti SC" w:cs="Songti SC"/>
          <w:b/>
          <w:color w:val="000000"/>
        </w:rPr>
        <w:t>内容</w:t>
      </w:r>
    </w:p>
    <w:p w14:paraId="47D93F62">
      <w:pPr>
        <w:ind w:firstLine="480"/>
        <w:rPr>
          <w:rFonts w:hint="eastAsia"/>
          <w:color w:val="000000"/>
        </w:rPr>
      </w:pPr>
      <w:r>
        <w:rPr>
          <w:rFonts w:ascii="Songti SC" w:hAnsi="Songti SC" w:eastAsia="Songti SC" w:cs="Songti SC"/>
          <w:color w:val="000000"/>
        </w:rPr>
        <w:t>维护办公区、餐厅、营业状态、负责人和结算口径。</w:t>
      </w:r>
    </w:p>
    <w:p w14:paraId="7461713C">
      <w:pPr>
        <w:ind w:firstLine="480"/>
        <w:rPr>
          <w:rFonts w:hint="eastAsia"/>
          <w:color w:val="000000"/>
        </w:rPr>
      </w:pPr>
      <w:r>
        <w:rPr>
          <w:rFonts w:ascii="Songti SC" w:hAnsi="Songti SC" w:eastAsia="Songti SC" w:cs="Songti SC"/>
          <w:color w:val="000000"/>
        </w:rPr>
        <w:t>消费机必须绑定到具体办公区、餐厅和，交易才能进入正确统计维度。</w:t>
      </w:r>
    </w:p>
    <w:p w14:paraId="5941F472">
      <w:pPr>
        <w:ind w:firstLine="480"/>
        <w:rPr>
          <w:rFonts w:hint="eastAsia"/>
          <w:color w:val="000000"/>
        </w:rPr>
      </w:pPr>
      <w:r>
        <w:rPr>
          <w:rFonts w:ascii="Songti SC" w:hAnsi="Songti SC" w:eastAsia="Songti SC" w:cs="Songti SC"/>
          <w:color w:val="000000"/>
        </w:rPr>
        <w:t>停用后不影响历史订单和报表查询。</w:t>
      </w:r>
    </w:p>
    <w:p w14:paraId="524B97BF">
      <w:pPr>
        <w:ind w:firstLine="482"/>
        <w:rPr>
          <w:rFonts w:hint="eastAsia"/>
          <w:color w:val="000000"/>
        </w:rPr>
      </w:pPr>
      <w:r>
        <w:rPr>
          <w:rFonts w:hint="eastAsia" w:ascii="Songti SC" w:hAnsi="Songti SC" w:eastAsia="Songti SC" w:cs="Songti SC"/>
          <w:b/>
          <w:color w:val="000000"/>
        </w:rPr>
        <w:t>2.</w:t>
      </w:r>
      <w:r>
        <w:rPr>
          <w:rFonts w:ascii="Songti SC" w:hAnsi="Songti SC" w:eastAsia="Songti SC" w:cs="Songti SC"/>
          <w:b/>
          <w:color w:val="000000"/>
        </w:rPr>
        <w:t>适配做法</w:t>
      </w:r>
    </w:p>
    <w:p w14:paraId="39096E87">
      <w:pPr>
        <w:ind w:firstLine="480"/>
        <w:rPr>
          <w:rFonts w:hint="eastAsia"/>
          <w:color w:val="000000"/>
        </w:rPr>
      </w:pPr>
      <w:r>
        <w:rPr>
          <w:rFonts w:ascii="Songti SC" w:hAnsi="Songti SC" w:eastAsia="Songti SC" w:cs="Songti SC"/>
          <w:color w:val="000000"/>
        </w:rPr>
        <w:t>数据库中建立餐厅、消费机、订单之间的稳定关联关系。</w:t>
      </w:r>
    </w:p>
    <w:p w14:paraId="39E1F959">
      <w:pPr>
        <w:ind w:firstLine="480"/>
        <w:rPr>
          <w:rFonts w:hint="eastAsia"/>
          <w:color w:val="000000"/>
        </w:rPr>
      </w:pPr>
      <w:r>
        <w:rPr>
          <w:rFonts w:hint="eastAsia" w:ascii="Songti SC" w:hAnsi="Songti SC" w:eastAsia="Songti SC" w:cs="Songti SC"/>
          <w:color w:val="000000"/>
        </w:rPr>
        <w:t>数据</w:t>
      </w:r>
      <w:r>
        <w:rPr>
          <w:rFonts w:ascii="Songti SC" w:hAnsi="Songti SC" w:eastAsia="Songti SC" w:cs="Songti SC"/>
          <w:color w:val="000000"/>
        </w:rPr>
        <w:t>承接后重点核对历史订单所属餐厅是否保持一致。</w:t>
      </w:r>
    </w:p>
    <w:p w14:paraId="2D27B00A">
      <w:pPr>
        <w:pStyle w:val="5"/>
        <w:rPr>
          <w:rFonts w:hint="eastAsia"/>
          <w:color w:val="000000"/>
        </w:rPr>
      </w:pPr>
      <w:r>
        <w:rPr>
          <w:rFonts w:ascii="Songti SC" w:hAnsi="Songti SC" w:eastAsia="Songti SC" w:cs="Songti SC"/>
          <w:color w:val="000000"/>
        </w:rPr>
        <w:t>菜品配置</w:t>
      </w:r>
    </w:p>
    <w:p w14:paraId="669927E7">
      <w:pPr>
        <w:ind w:firstLine="480"/>
        <w:rPr>
          <w:rFonts w:hint="eastAsia"/>
          <w:color w:val="000000"/>
        </w:rPr>
      </w:pPr>
      <w:r>
        <w:rPr>
          <w:rFonts w:ascii="Songti SC" w:hAnsi="Songti SC" w:eastAsia="Songti SC" w:cs="Songti SC"/>
          <w:color w:val="000000"/>
        </w:rPr>
        <w:t>菜品配置用于支撑菜品消费、菜品销售统计。</w:t>
      </w:r>
    </w:p>
    <w:p w14:paraId="1C9CB292">
      <w:pPr>
        <w:ind w:firstLine="482"/>
        <w:rPr>
          <w:rFonts w:hint="eastAsia"/>
          <w:color w:val="000000"/>
        </w:rPr>
      </w:pPr>
      <w:r>
        <w:rPr>
          <w:rFonts w:hint="eastAsia" w:ascii="Songti SC" w:hAnsi="Songti SC" w:eastAsia="Songti SC" w:cs="Songti SC"/>
          <w:b/>
          <w:color w:val="000000"/>
        </w:rPr>
        <w:t>1.改造</w:t>
      </w:r>
      <w:r>
        <w:rPr>
          <w:rFonts w:ascii="Songti SC" w:hAnsi="Songti SC" w:eastAsia="Songti SC" w:cs="Songti SC"/>
          <w:b/>
          <w:color w:val="000000"/>
        </w:rPr>
        <w:t>内容</w:t>
      </w:r>
    </w:p>
    <w:p w14:paraId="427B42DC">
      <w:pPr>
        <w:ind w:firstLine="480"/>
        <w:rPr>
          <w:rFonts w:hint="eastAsia"/>
          <w:color w:val="000000"/>
        </w:rPr>
      </w:pPr>
      <w:r>
        <w:rPr>
          <w:rFonts w:ascii="Songti SC" w:hAnsi="Songti SC" w:eastAsia="Songti SC" w:cs="Songti SC"/>
          <w:color w:val="000000"/>
        </w:rPr>
        <w:t>维护菜品名称、价格、餐次、状态。</w:t>
      </w:r>
    </w:p>
    <w:p w14:paraId="0DC0D821">
      <w:pPr>
        <w:ind w:firstLine="480"/>
        <w:rPr>
          <w:rFonts w:hint="eastAsia"/>
          <w:color w:val="000000"/>
        </w:rPr>
      </w:pPr>
      <w:r>
        <w:rPr>
          <w:rFonts w:ascii="Songti SC" w:hAnsi="Songti SC" w:eastAsia="Songti SC" w:cs="Songti SC"/>
          <w:color w:val="000000"/>
        </w:rPr>
        <w:t>支持菜品上下架和价格调整，保留历史订单价格。</w:t>
      </w:r>
    </w:p>
    <w:p w14:paraId="3A30142C">
      <w:pPr>
        <w:ind w:firstLine="480"/>
        <w:rPr>
          <w:rFonts w:hint="eastAsia"/>
          <w:color w:val="000000"/>
        </w:rPr>
      </w:pPr>
      <w:r>
        <w:rPr>
          <w:rFonts w:ascii="Songti SC" w:hAnsi="Songti SC" w:eastAsia="Songti SC" w:cs="Songti SC"/>
          <w:color w:val="000000"/>
        </w:rPr>
        <w:t>支持菜品销量、销售额统计报表。</w:t>
      </w:r>
    </w:p>
    <w:p w14:paraId="6182BFF0">
      <w:pPr>
        <w:ind w:firstLine="482"/>
        <w:rPr>
          <w:rFonts w:hint="eastAsia"/>
          <w:color w:val="000000"/>
        </w:rPr>
      </w:pPr>
      <w:r>
        <w:rPr>
          <w:rFonts w:hint="eastAsia" w:ascii="Songti SC" w:hAnsi="Songti SC" w:eastAsia="Songti SC" w:cs="Songti SC"/>
          <w:b/>
          <w:color w:val="000000"/>
        </w:rPr>
        <w:t>2.</w:t>
      </w:r>
      <w:r>
        <w:rPr>
          <w:rFonts w:ascii="Songti SC" w:hAnsi="Songti SC" w:eastAsia="Songti SC" w:cs="Songti SC"/>
          <w:b/>
          <w:color w:val="000000"/>
        </w:rPr>
        <w:t>适配做法</w:t>
      </w:r>
    </w:p>
    <w:p w14:paraId="700A3FDD">
      <w:pPr>
        <w:ind w:firstLine="480"/>
        <w:rPr>
          <w:rFonts w:hint="eastAsia"/>
          <w:color w:val="000000"/>
        </w:rPr>
      </w:pPr>
      <w:r>
        <w:rPr>
          <w:rFonts w:ascii="Songti SC" w:hAnsi="Songti SC" w:eastAsia="Songti SC" w:cs="Songti SC"/>
          <w:color w:val="000000"/>
        </w:rPr>
        <w:t>在数据库下统一金额精度，避免菜品价格和订单金额出现小数误差。</w:t>
      </w:r>
    </w:p>
    <w:p w14:paraId="5440EDC8">
      <w:pPr>
        <w:ind w:firstLine="480"/>
        <w:rPr>
          <w:rFonts w:hint="eastAsia"/>
          <w:color w:val="000000"/>
        </w:rPr>
      </w:pPr>
      <w:r>
        <w:rPr>
          <w:rFonts w:ascii="Songti SC" w:hAnsi="Songti SC" w:eastAsia="Songti SC" w:cs="Songti SC"/>
          <w:color w:val="000000"/>
        </w:rPr>
        <w:t>菜品调整后同步影响消费机展示或交易识别参数。</w:t>
      </w:r>
    </w:p>
    <w:p w14:paraId="59EEEC18">
      <w:pPr>
        <w:pStyle w:val="4"/>
        <w:rPr>
          <w:rFonts w:hint="eastAsia"/>
          <w:color w:val="000000"/>
        </w:rPr>
      </w:pPr>
      <w:bookmarkStart w:id="338" w:name="_Toc406690647"/>
      <w:bookmarkStart w:id="339" w:name="_Toc1407744058"/>
      <w:bookmarkStart w:id="340" w:name="_Toc232754639"/>
      <w:r>
        <w:rPr>
          <w:rFonts w:ascii="Songti SC" w:hAnsi="Songti SC" w:eastAsia="Songti SC" w:cs="Songti SC"/>
          <w:color w:val="000000"/>
        </w:rPr>
        <w:t>用户管理系统改造</w:t>
      </w:r>
      <w:bookmarkEnd w:id="338"/>
      <w:bookmarkEnd w:id="339"/>
      <w:bookmarkEnd w:id="340"/>
    </w:p>
    <w:p w14:paraId="3DE437C6">
      <w:pPr>
        <w:pStyle w:val="5"/>
        <w:rPr>
          <w:rFonts w:hint="eastAsia"/>
          <w:color w:val="000000"/>
        </w:rPr>
      </w:pPr>
      <w:r>
        <w:rPr>
          <w:rFonts w:ascii="Songti SC" w:hAnsi="Songti SC" w:eastAsia="Songti SC" w:cs="Songti SC"/>
          <w:color w:val="000000"/>
        </w:rPr>
        <w:t>用户注册</w:t>
      </w:r>
    </w:p>
    <w:p w14:paraId="773C85B6">
      <w:pPr>
        <w:ind w:firstLine="480"/>
        <w:rPr>
          <w:rFonts w:hint="eastAsia"/>
          <w:color w:val="000000"/>
        </w:rPr>
      </w:pPr>
      <w:r>
        <w:rPr>
          <w:rFonts w:ascii="Songti SC" w:hAnsi="Songti SC" w:eastAsia="Songti SC" w:cs="Songti SC"/>
          <w:color w:val="000000"/>
        </w:rPr>
        <w:t>用户注册用于建立人员在食堂消费系统中的基础档案，是后续充值、补贴、消费、报表和消费机同步的起点。</w:t>
      </w:r>
    </w:p>
    <w:p w14:paraId="67E28EB3">
      <w:pPr>
        <w:ind w:firstLine="482"/>
        <w:rPr>
          <w:rFonts w:hint="eastAsia"/>
          <w:color w:val="000000"/>
        </w:rPr>
      </w:pPr>
      <w:r>
        <w:rPr>
          <w:rFonts w:hint="eastAsia" w:ascii="Songti SC" w:hAnsi="Songti SC" w:eastAsia="Songti SC" w:cs="Songti SC"/>
          <w:b/>
          <w:color w:val="000000"/>
        </w:rPr>
        <w:t>1.改造</w:t>
      </w:r>
      <w:r>
        <w:rPr>
          <w:rFonts w:ascii="Songti SC" w:hAnsi="Songti SC" w:eastAsia="Songti SC" w:cs="Songti SC"/>
          <w:b/>
          <w:color w:val="000000"/>
        </w:rPr>
        <w:t>内容</w:t>
      </w:r>
    </w:p>
    <w:p w14:paraId="79896555">
      <w:pPr>
        <w:ind w:firstLine="480"/>
        <w:rPr>
          <w:rFonts w:hint="eastAsia"/>
          <w:color w:val="000000"/>
        </w:rPr>
      </w:pPr>
      <w:r>
        <w:rPr>
          <w:rFonts w:ascii="Songti SC" w:hAnsi="Songti SC" w:eastAsia="Songti SC" w:cs="Songti SC"/>
          <w:color w:val="000000"/>
        </w:rPr>
        <w:t>支持录入人员编号、姓名、部门、手机号、身份类别、有效期、卡号和人脸信息。</w:t>
      </w:r>
    </w:p>
    <w:p w14:paraId="270154D5">
      <w:pPr>
        <w:ind w:firstLine="480"/>
        <w:rPr>
          <w:rFonts w:hint="eastAsia"/>
          <w:color w:val="000000"/>
        </w:rPr>
      </w:pPr>
      <w:r>
        <w:rPr>
          <w:rFonts w:ascii="Songti SC" w:hAnsi="Songti SC" w:eastAsia="Songti SC" w:cs="Songti SC"/>
          <w:color w:val="000000"/>
        </w:rPr>
        <w:t>注册时校验人员编号、手机号、卡号是否重复。</w:t>
      </w:r>
    </w:p>
    <w:p w14:paraId="79203908">
      <w:pPr>
        <w:ind w:firstLine="480"/>
        <w:rPr>
          <w:rFonts w:hint="eastAsia"/>
          <w:color w:val="000000"/>
        </w:rPr>
      </w:pPr>
      <w:r>
        <w:rPr>
          <w:rFonts w:ascii="Songti SC" w:hAnsi="Songti SC" w:eastAsia="Songti SC" w:cs="Songti SC"/>
          <w:color w:val="000000"/>
        </w:rPr>
        <w:t>注册完成后自动建立账户，并按规则纳入消费机同步批次。</w:t>
      </w:r>
    </w:p>
    <w:p w14:paraId="6438D6F3">
      <w:pPr>
        <w:ind w:firstLine="482"/>
        <w:rPr>
          <w:rFonts w:hint="eastAsia"/>
          <w:color w:val="000000"/>
        </w:rPr>
      </w:pPr>
      <w:r>
        <w:rPr>
          <w:rFonts w:hint="eastAsia" w:ascii="Songti SC" w:hAnsi="Songti SC" w:eastAsia="Songti SC" w:cs="Songti SC"/>
          <w:b/>
          <w:color w:val="000000"/>
        </w:rPr>
        <w:t>2.</w:t>
      </w:r>
      <w:r>
        <w:rPr>
          <w:rFonts w:ascii="Songti SC" w:hAnsi="Songti SC" w:eastAsia="Songti SC" w:cs="Songti SC"/>
          <w:b/>
          <w:color w:val="000000"/>
        </w:rPr>
        <w:t>适配做法</w:t>
      </w:r>
    </w:p>
    <w:p w14:paraId="739B099B">
      <w:pPr>
        <w:ind w:firstLine="480"/>
        <w:rPr>
          <w:rFonts w:hint="eastAsia"/>
          <w:color w:val="000000"/>
        </w:rPr>
      </w:pPr>
      <w:r>
        <w:rPr>
          <w:rFonts w:ascii="Songti SC" w:hAnsi="Songti SC" w:eastAsia="Songti SC" w:cs="Songti SC"/>
          <w:color w:val="000000"/>
        </w:rPr>
        <w:t>数据库中对唯一字段建立约束，避免重复建档。</w:t>
      </w:r>
    </w:p>
    <w:p w14:paraId="1DCC7DA4">
      <w:pPr>
        <w:ind w:firstLine="480"/>
        <w:rPr>
          <w:rFonts w:hint="eastAsia"/>
          <w:color w:val="000000"/>
        </w:rPr>
      </w:pPr>
      <w:r>
        <w:rPr>
          <w:rFonts w:ascii="Songti SC" w:hAnsi="Songti SC" w:eastAsia="Songti SC" w:cs="Songti SC"/>
          <w:color w:val="000000"/>
        </w:rPr>
        <w:t>人脸照片和人员附件按服务器操作系统目录规范存储。</w:t>
      </w:r>
    </w:p>
    <w:p w14:paraId="48FCB9A5">
      <w:pPr>
        <w:ind w:firstLine="480"/>
        <w:rPr>
          <w:rFonts w:hint="eastAsia"/>
          <w:color w:val="000000"/>
        </w:rPr>
      </w:pPr>
      <w:r>
        <w:rPr>
          <w:rFonts w:ascii="Songti SC" w:hAnsi="Songti SC" w:eastAsia="Songti SC" w:cs="Songti SC"/>
          <w:color w:val="000000"/>
        </w:rPr>
        <w:t>新增人员默认状态、消费权限和充值权限由用户参数自动带入。</w:t>
      </w:r>
    </w:p>
    <w:p w14:paraId="226ACA35">
      <w:pPr>
        <w:pStyle w:val="5"/>
        <w:rPr>
          <w:rFonts w:hint="eastAsia"/>
          <w:color w:val="000000"/>
        </w:rPr>
      </w:pPr>
      <w:r>
        <w:rPr>
          <w:rFonts w:ascii="Songti SC" w:hAnsi="Songti SC" w:eastAsia="Songti SC" w:cs="Songti SC"/>
          <w:color w:val="000000"/>
        </w:rPr>
        <w:t>批量快速注册</w:t>
      </w:r>
    </w:p>
    <w:p w14:paraId="75DC0FDE">
      <w:pPr>
        <w:ind w:firstLine="480"/>
        <w:rPr>
          <w:rFonts w:hint="eastAsia"/>
          <w:color w:val="000000"/>
        </w:rPr>
      </w:pPr>
      <w:r>
        <w:rPr>
          <w:rFonts w:ascii="Songti SC" w:hAnsi="Songti SC" w:eastAsia="Songti SC" w:cs="Songti SC"/>
          <w:color w:val="000000"/>
        </w:rPr>
        <w:t>批量快速注册用于一次性导入多个工作人员，适合办公区人员集中调整、换卡、数据补齐等场景。</w:t>
      </w:r>
    </w:p>
    <w:p w14:paraId="1659B5D5">
      <w:pPr>
        <w:ind w:firstLine="482"/>
        <w:rPr>
          <w:rFonts w:hint="eastAsia"/>
          <w:color w:val="000000"/>
        </w:rPr>
      </w:pPr>
      <w:r>
        <w:rPr>
          <w:rFonts w:hint="eastAsia" w:ascii="Songti SC" w:hAnsi="Songti SC" w:eastAsia="Songti SC" w:cs="Songti SC"/>
          <w:b/>
          <w:color w:val="000000"/>
        </w:rPr>
        <w:t>1.改造</w:t>
      </w:r>
      <w:r>
        <w:rPr>
          <w:rFonts w:ascii="Songti SC" w:hAnsi="Songti SC" w:eastAsia="Songti SC" w:cs="Songti SC"/>
          <w:b/>
          <w:color w:val="000000"/>
        </w:rPr>
        <w:t>内容</w:t>
      </w:r>
    </w:p>
    <w:p w14:paraId="0AA15B5D">
      <w:pPr>
        <w:ind w:firstLine="480"/>
        <w:rPr>
          <w:rFonts w:hint="eastAsia"/>
          <w:color w:val="000000"/>
        </w:rPr>
      </w:pPr>
      <w:r>
        <w:rPr>
          <w:rFonts w:ascii="Songti SC" w:hAnsi="Songti SC" w:eastAsia="Songti SC" w:cs="Songti SC"/>
          <w:color w:val="000000"/>
        </w:rPr>
        <w:t>提供标准导入模板，明确必填字段、字段格式和示例。</w:t>
      </w:r>
    </w:p>
    <w:p w14:paraId="6B3AADFD">
      <w:pPr>
        <w:ind w:firstLine="480"/>
        <w:rPr>
          <w:rFonts w:hint="eastAsia"/>
          <w:color w:val="000000"/>
        </w:rPr>
      </w:pPr>
      <w:r>
        <w:rPr>
          <w:rFonts w:ascii="Songti SC" w:hAnsi="Songti SC" w:eastAsia="Songti SC" w:cs="Songti SC"/>
          <w:color w:val="000000"/>
        </w:rPr>
        <w:t>导入前预校验重复人员、重复卡号、部门不存在、身份类别不存在、有效期异常等问题。</w:t>
      </w:r>
    </w:p>
    <w:p w14:paraId="4531AD62">
      <w:pPr>
        <w:ind w:firstLine="480"/>
        <w:rPr>
          <w:rFonts w:hint="eastAsia"/>
          <w:color w:val="000000"/>
        </w:rPr>
      </w:pPr>
      <w:r>
        <w:rPr>
          <w:rFonts w:ascii="Songti SC" w:hAnsi="Songti SC" w:eastAsia="Songti SC" w:cs="Songti SC"/>
          <w:color w:val="000000"/>
        </w:rPr>
        <w:t>导入后形成成功数量、失败数量、失败原因和可下载错误清单。</w:t>
      </w:r>
    </w:p>
    <w:p w14:paraId="1DD566CA">
      <w:pPr>
        <w:ind w:firstLine="482"/>
        <w:rPr>
          <w:rFonts w:hint="eastAsia"/>
          <w:color w:val="000000"/>
        </w:rPr>
      </w:pPr>
      <w:r>
        <w:rPr>
          <w:rFonts w:hint="eastAsia" w:ascii="Songti SC" w:hAnsi="Songti SC" w:eastAsia="Songti SC" w:cs="Songti SC"/>
          <w:b/>
          <w:color w:val="000000"/>
        </w:rPr>
        <w:t>2.</w:t>
      </w:r>
      <w:r>
        <w:rPr>
          <w:rFonts w:ascii="Songti SC" w:hAnsi="Songti SC" w:eastAsia="Songti SC" w:cs="Songti SC"/>
          <w:b/>
          <w:color w:val="000000"/>
        </w:rPr>
        <w:t>适配做法</w:t>
      </w:r>
    </w:p>
    <w:p w14:paraId="1ED51339">
      <w:pPr>
        <w:ind w:firstLine="480"/>
        <w:rPr>
          <w:rFonts w:hint="eastAsia"/>
          <w:color w:val="000000"/>
        </w:rPr>
      </w:pPr>
      <w:r>
        <w:rPr>
          <w:rFonts w:ascii="Songti SC" w:hAnsi="Songti SC" w:eastAsia="Songti SC" w:cs="Songti SC"/>
          <w:color w:val="000000"/>
        </w:rPr>
        <w:t>现有运行环境下适配 Excel 文件上传、中文字段、日期格式和大文件处理。</w:t>
      </w:r>
    </w:p>
    <w:p w14:paraId="6F4F4241">
      <w:pPr>
        <w:ind w:firstLine="480"/>
        <w:rPr>
          <w:rFonts w:hint="eastAsia"/>
          <w:color w:val="000000"/>
        </w:rPr>
      </w:pPr>
      <w:r>
        <w:rPr>
          <w:rFonts w:ascii="Songti SC" w:hAnsi="Songti SC" w:eastAsia="Songti SC" w:cs="Songti SC"/>
          <w:color w:val="000000"/>
        </w:rPr>
        <w:t>批量导入过程采用分批处理，避免一次性写入影响系统稳定。</w:t>
      </w:r>
    </w:p>
    <w:p w14:paraId="4EAD9B91">
      <w:pPr>
        <w:ind w:firstLine="480"/>
        <w:rPr>
          <w:rFonts w:hint="eastAsia"/>
          <w:color w:val="000000"/>
        </w:rPr>
      </w:pPr>
      <w:r>
        <w:rPr>
          <w:rFonts w:ascii="Songti SC" w:hAnsi="Songti SC" w:eastAsia="Songti SC" w:cs="Songti SC"/>
          <w:color w:val="000000"/>
        </w:rPr>
        <w:t>导入成功的人员进入消费机同步队列，失败数据不进入业务账户。</w:t>
      </w:r>
    </w:p>
    <w:p w14:paraId="7535EF80">
      <w:pPr>
        <w:pStyle w:val="5"/>
        <w:rPr>
          <w:rFonts w:hint="eastAsia"/>
          <w:color w:val="000000"/>
        </w:rPr>
      </w:pPr>
      <w:r>
        <w:rPr>
          <w:rFonts w:ascii="Songti SC" w:hAnsi="Songti SC" w:eastAsia="Songti SC" w:cs="Songti SC"/>
          <w:color w:val="000000"/>
        </w:rPr>
        <w:t>用户查询</w:t>
      </w:r>
    </w:p>
    <w:p w14:paraId="3131FBEF">
      <w:pPr>
        <w:ind w:firstLine="480"/>
        <w:rPr>
          <w:rFonts w:hint="eastAsia"/>
          <w:color w:val="000000"/>
        </w:rPr>
      </w:pPr>
      <w:r>
        <w:rPr>
          <w:rFonts w:ascii="Songti SC" w:hAnsi="Songti SC" w:eastAsia="Songti SC" w:cs="Songti SC"/>
          <w:color w:val="000000"/>
        </w:rPr>
        <w:t>用户查询用于管理人员快速定位人员档案、账户状态、消费权限和同步状态。</w:t>
      </w:r>
    </w:p>
    <w:p w14:paraId="659AD22B">
      <w:pPr>
        <w:ind w:firstLine="482"/>
        <w:rPr>
          <w:rFonts w:hint="eastAsia"/>
          <w:color w:val="000000"/>
        </w:rPr>
      </w:pPr>
      <w:r>
        <w:rPr>
          <w:rFonts w:hint="eastAsia" w:ascii="Songti SC" w:hAnsi="Songti SC" w:eastAsia="Songti SC" w:cs="Songti SC"/>
          <w:b/>
          <w:color w:val="000000"/>
        </w:rPr>
        <w:t>1.改造</w:t>
      </w:r>
      <w:r>
        <w:rPr>
          <w:rFonts w:ascii="Songti SC" w:hAnsi="Songti SC" w:eastAsia="Songti SC" w:cs="Songti SC"/>
          <w:b/>
          <w:color w:val="000000"/>
        </w:rPr>
        <w:t>内容</w:t>
      </w:r>
    </w:p>
    <w:p w14:paraId="7F7DAD5C">
      <w:pPr>
        <w:ind w:firstLine="480"/>
        <w:rPr>
          <w:rFonts w:hint="eastAsia"/>
          <w:color w:val="000000"/>
        </w:rPr>
      </w:pPr>
      <w:r>
        <w:rPr>
          <w:rFonts w:ascii="Songti SC" w:hAnsi="Songti SC" w:eastAsia="Songti SC" w:cs="Songti SC"/>
          <w:color w:val="000000"/>
        </w:rPr>
        <w:t>支持按姓名、人员编号、手机号、部门、身份类别、卡号、状态、有效期查询。</w:t>
      </w:r>
    </w:p>
    <w:p w14:paraId="1370984A">
      <w:pPr>
        <w:ind w:firstLine="480"/>
        <w:rPr>
          <w:rFonts w:hint="eastAsia"/>
          <w:color w:val="000000"/>
        </w:rPr>
      </w:pPr>
      <w:r>
        <w:rPr>
          <w:rFonts w:ascii="Songti SC" w:hAnsi="Songti SC" w:eastAsia="Songti SC" w:cs="Songti SC"/>
          <w:color w:val="000000"/>
        </w:rPr>
        <w:t>查询结果展示账户余额、补贴余额、挂失状态、离职状态、最近消费和最近同步情况。</w:t>
      </w:r>
    </w:p>
    <w:p w14:paraId="618EF7B8">
      <w:pPr>
        <w:ind w:firstLine="480"/>
        <w:rPr>
          <w:rFonts w:hint="eastAsia"/>
          <w:color w:val="000000"/>
        </w:rPr>
      </w:pPr>
      <w:r>
        <w:rPr>
          <w:rFonts w:ascii="Songti SC" w:hAnsi="Songti SC" w:eastAsia="Songti SC" w:cs="Songti SC"/>
          <w:color w:val="000000"/>
        </w:rPr>
        <w:t>支持按权限范围查看对应办公区或部门人员。</w:t>
      </w:r>
    </w:p>
    <w:p w14:paraId="44C22775">
      <w:pPr>
        <w:ind w:firstLine="482"/>
        <w:rPr>
          <w:rFonts w:hint="eastAsia"/>
          <w:color w:val="000000"/>
        </w:rPr>
      </w:pPr>
      <w:r>
        <w:rPr>
          <w:rFonts w:hint="eastAsia" w:ascii="Songti SC" w:hAnsi="Songti SC" w:eastAsia="Songti SC" w:cs="Songti SC"/>
          <w:b/>
          <w:color w:val="000000"/>
        </w:rPr>
        <w:t>2.</w:t>
      </w:r>
      <w:r>
        <w:rPr>
          <w:rFonts w:ascii="Songti SC" w:hAnsi="Songti SC" w:eastAsia="Songti SC" w:cs="Songti SC"/>
          <w:b/>
          <w:color w:val="000000"/>
        </w:rPr>
        <w:t>适配做法</w:t>
      </w:r>
    </w:p>
    <w:p w14:paraId="677096A2">
      <w:pPr>
        <w:ind w:firstLine="480"/>
        <w:rPr>
          <w:rFonts w:hint="eastAsia"/>
          <w:color w:val="000000"/>
        </w:rPr>
      </w:pPr>
      <w:r>
        <w:rPr>
          <w:rFonts w:ascii="Songti SC" w:hAnsi="Songti SC" w:eastAsia="Songti SC" w:cs="Songti SC"/>
          <w:color w:val="000000"/>
        </w:rPr>
        <w:t>数据库下优化组合查询和分页查询，保证人员规模较大时查询稳定。</w:t>
      </w:r>
    </w:p>
    <w:p w14:paraId="654FAA9A">
      <w:pPr>
        <w:ind w:firstLine="480"/>
        <w:rPr>
          <w:rFonts w:hint="eastAsia"/>
          <w:color w:val="000000"/>
        </w:rPr>
      </w:pPr>
      <w:r>
        <w:rPr>
          <w:rFonts w:ascii="Songti SC" w:hAnsi="Songti SC" w:eastAsia="Songti SC" w:cs="Songti SC"/>
          <w:color w:val="000000"/>
        </w:rPr>
        <w:t>敏感字段按权限脱敏展示，导出操作记录日志。</w:t>
      </w:r>
    </w:p>
    <w:p w14:paraId="3C50C969">
      <w:pPr>
        <w:pStyle w:val="5"/>
        <w:rPr>
          <w:rFonts w:hint="eastAsia"/>
          <w:color w:val="000000"/>
        </w:rPr>
      </w:pPr>
      <w:r>
        <w:rPr>
          <w:rFonts w:ascii="Songti SC" w:hAnsi="Songti SC" w:eastAsia="Songti SC" w:cs="Songti SC"/>
          <w:color w:val="000000"/>
        </w:rPr>
        <w:t>用户修改</w:t>
      </w:r>
    </w:p>
    <w:p w14:paraId="024B9777">
      <w:pPr>
        <w:ind w:firstLine="480"/>
        <w:rPr>
          <w:rFonts w:hint="eastAsia"/>
          <w:color w:val="000000"/>
        </w:rPr>
      </w:pPr>
      <w:r>
        <w:rPr>
          <w:rFonts w:ascii="Songti SC" w:hAnsi="Songti SC" w:eastAsia="Songti SC" w:cs="Songti SC"/>
          <w:color w:val="000000"/>
        </w:rPr>
        <w:t>用户修改用于处理人员部门变更、身份类别调整、手机号变更、有效期调整、卡号调整和人脸更新。</w:t>
      </w:r>
    </w:p>
    <w:p w14:paraId="28FE6D4C">
      <w:pPr>
        <w:ind w:firstLine="482"/>
        <w:rPr>
          <w:rFonts w:hint="eastAsia"/>
          <w:color w:val="000000"/>
        </w:rPr>
      </w:pPr>
      <w:r>
        <w:rPr>
          <w:rFonts w:hint="eastAsia" w:ascii="Songti SC" w:hAnsi="Songti SC" w:eastAsia="Songti SC" w:cs="Songti SC"/>
          <w:b/>
          <w:color w:val="000000"/>
        </w:rPr>
        <w:t>1.改造</w:t>
      </w:r>
      <w:r>
        <w:rPr>
          <w:rFonts w:ascii="Songti SC" w:hAnsi="Songti SC" w:eastAsia="Songti SC" w:cs="Songti SC"/>
          <w:b/>
          <w:color w:val="000000"/>
        </w:rPr>
        <w:t>内容</w:t>
      </w:r>
    </w:p>
    <w:p w14:paraId="43B3D7E0">
      <w:pPr>
        <w:ind w:firstLine="480"/>
        <w:rPr>
          <w:rFonts w:hint="eastAsia"/>
          <w:color w:val="000000"/>
        </w:rPr>
      </w:pPr>
      <w:r>
        <w:rPr>
          <w:rFonts w:ascii="Songti SC" w:hAnsi="Songti SC" w:eastAsia="Songti SC" w:cs="Songti SC"/>
          <w:color w:val="000000"/>
        </w:rPr>
        <w:t>修改前展示当前档案和账户状态，避免误操作。</w:t>
      </w:r>
    </w:p>
    <w:p w14:paraId="656D7FFE">
      <w:pPr>
        <w:ind w:firstLine="480"/>
        <w:rPr>
          <w:rFonts w:hint="eastAsia"/>
          <w:color w:val="000000"/>
        </w:rPr>
      </w:pPr>
      <w:r>
        <w:rPr>
          <w:rFonts w:ascii="Songti SC" w:hAnsi="Songti SC" w:eastAsia="Songti SC" w:cs="Songti SC"/>
          <w:color w:val="000000"/>
        </w:rPr>
        <w:t>身份类别、卡号、有效期、人脸信息等影响消费的字段变更后触发同步。</w:t>
      </w:r>
    </w:p>
    <w:p w14:paraId="34D42863">
      <w:pPr>
        <w:ind w:firstLine="480"/>
        <w:rPr>
          <w:rFonts w:hint="eastAsia"/>
          <w:color w:val="000000"/>
        </w:rPr>
      </w:pPr>
      <w:r>
        <w:rPr>
          <w:rFonts w:ascii="Songti SC" w:hAnsi="Songti SC" w:eastAsia="Songti SC" w:cs="Songti SC"/>
          <w:color w:val="000000"/>
        </w:rPr>
        <w:t>关键字段变更保留历史记录，便于追溯消费策略变化。</w:t>
      </w:r>
    </w:p>
    <w:p w14:paraId="4A1E3422">
      <w:pPr>
        <w:ind w:firstLine="482"/>
        <w:rPr>
          <w:rFonts w:hint="eastAsia"/>
          <w:color w:val="000000"/>
        </w:rPr>
      </w:pPr>
      <w:r>
        <w:rPr>
          <w:rFonts w:hint="eastAsia" w:ascii="Songti SC" w:hAnsi="Songti SC" w:eastAsia="Songti SC" w:cs="Songti SC"/>
          <w:b/>
          <w:color w:val="000000"/>
        </w:rPr>
        <w:t>2.</w:t>
      </w:r>
      <w:r>
        <w:rPr>
          <w:rFonts w:ascii="Songti SC" w:hAnsi="Songti SC" w:eastAsia="Songti SC" w:cs="Songti SC"/>
          <w:b/>
          <w:color w:val="000000"/>
        </w:rPr>
        <w:t>适配做法</w:t>
      </w:r>
    </w:p>
    <w:p w14:paraId="03C2D1D9">
      <w:pPr>
        <w:ind w:firstLine="480"/>
        <w:rPr>
          <w:rFonts w:hint="eastAsia"/>
          <w:color w:val="000000"/>
        </w:rPr>
      </w:pPr>
      <w:r>
        <w:rPr>
          <w:rFonts w:ascii="Songti SC" w:hAnsi="Songti SC" w:eastAsia="Songti SC" w:cs="Songti SC"/>
          <w:color w:val="000000"/>
        </w:rPr>
        <w:t>升级后统一处理中文姓名、特殊字符、日期字段和图片文件更新。</w:t>
      </w:r>
    </w:p>
    <w:p w14:paraId="63F92EF9">
      <w:pPr>
        <w:ind w:firstLine="480"/>
        <w:rPr>
          <w:rFonts w:hint="eastAsia"/>
          <w:color w:val="000000"/>
        </w:rPr>
      </w:pPr>
      <w:r>
        <w:rPr>
          <w:rFonts w:ascii="Songti SC" w:hAnsi="Songti SC" w:eastAsia="Songti SC" w:cs="Songti SC"/>
          <w:color w:val="000000"/>
        </w:rPr>
        <w:t>卡号变更时校验新卡未被其他人员占用，旧卡自动失效或解绑。</w:t>
      </w:r>
    </w:p>
    <w:p w14:paraId="698BE8B0">
      <w:pPr>
        <w:pStyle w:val="5"/>
        <w:rPr>
          <w:rFonts w:hint="eastAsia"/>
          <w:color w:val="000000"/>
        </w:rPr>
      </w:pPr>
      <w:r>
        <w:rPr>
          <w:rFonts w:ascii="Songti SC" w:hAnsi="Songti SC" w:eastAsia="Songti SC" w:cs="Songti SC"/>
          <w:color w:val="000000"/>
        </w:rPr>
        <w:t>批量修改有效期</w:t>
      </w:r>
    </w:p>
    <w:p w14:paraId="376A86CC">
      <w:pPr>
        <w:ind w:firstLine="480"/>
        <w:rPr>
          <w:rFonts w:hint="eastAsia"/>
          <w:color w:val="000000"/>
        </w:rPr>
      </w:pPr>
      <w:r>
        <w:rPr>
          <w:rFonts w:ascii="Songti SC" w:hAnsi="Songti SC" w:eastAsia="Songti SC" w:cs="Songti SC"/>
          <w:color w:val="000000"/>
        </w:rPr>
        <w:t>批量修改有效期用于集中处理实习、借调、临时人员或年度有效期调整。</w:t>
      </w:r>
    </w:p>
    <w:p w14:paraId="0CC2184E">
      <w:pPr>
        <w:ind w:firstLine="482"/>
        <w:rPr>
          <w:rFonts w:hint="eastAsia"/>
          <w:color w:val="000000"/>
        </w:rPr>
      </w:pPr>
      <w:r>
        <w:rPr>
          <w:rFonts w:hint="eastAsia" w:ascii="Songti SC" w:hAnsi="Songti SC" w:eastAsia="Songti SC" w:cs="Songti SC"/>
          <w:b/>
          <w:color w:val="000000"/>
        </w:rPr>
        <w:t>1.改造</w:t>
      </w:r>
      <w:r>
        <w:rPr>
          <w:rFonts w:ascii="Songti SC" w:hAnsi="Songti SC" w:eastAsia="Songti SC" w:cs="Songti SC"/>
          <w:b/>
          <w:color w:val="000000"/>
        </w:rPr>
        <w:t>内容</w:t>
      </w:r>
    </w:p>
    <w:p w14:paraId="0D2B13CC">
      <w:pPr>
        <w:ind w:firstLine="480"/>
        <w:rPr>
          <w:rFonts w:hint="eastAsia"/>
          <w:color w:val="000000"/>
        </w:rPr>
      </w:pPr>
      <w:r>
        <w:rPr>
          <w:rFonts w:ascii="Songti SC" w:hAnsi="Songti SC" w:eastAsia="Songti SC" w:cs="Songti SC"/>
          <w:color w:val="000000"/>
        </w:rPr>
        <w:t>支持按部门、身份类别、人员状态筛选人员后批量调整有效期。</w:t>
      </w:r>
    </w:p>
    <w:p w14:paraId="48A33A12">
      <w:pPr>
        <w:ind w:firstLine="480"/>
        <w:rPr>
          <w:rFonts w:hint="eastAsia"/>
          <w:color w:val="000000"/>
        </w:rPr>
      </w:pPr>
      <w:r>
        <w:rPr>
          <w:rFonts w:ascii="Songti SC" w:hAnsi="Songti SC" w:eastAsia="Songti SC" w:cs="Songti SC"/>
          <w:color w:val="000000"/>
        </w:rPr>
        <w:t>调整前提供影响人数确认，调整后形成处理记录。</w:t>
      </w:r>
    </w:p>
    <w:p w14:paraId="38F7B0E3">
      <w:pPr>
        <w:ind w:firstLine="480"/>
        <w:rPr>
          <w:rFonts w:hint="eastAsia"/>
          <w:color w:val="000000"/>
        </w:rPr>
      </w:pPr>
      <w:r>
        <w:rPr>
          <w:rFonts w:ascii="Songti SC" w:hAnsi="Songti SC" w:eastAsia="Songti SC" w:cs="Songti SC"/>
          <w:color w:val="000000"/>
        </w:rPr>
        <w:t>有效期到期后按规则限制登录、充值或消费。</w:t>
      </w:r>
    </w:p>
    <w:p w14:paraId="1149C0F8">
      <w:pPr>
        <w:ind w:firstLine="482"/>
        <w:rPr>
          <w:rFonts w:hint="eastAsia"/>
          <w:color w:val="000000"/>
        </w:rPr>
      </w:pPr>
      <w:r>
        <w:rPr>
          <w:rFonts w:hint="eastAsia" w:ascii="Songti SC" w:hAnsi="Songti SC" w:eastAsia="Songti SC" w:cs="Songti SC"/>
          <w:b/>
          <w:color w:val="000000"/>
        </w:rPr>
        <w:t>2.</w:t>
      </w:r>
      <w:r>
        <w:rPr>
          <w:rFonts w:ascii="Songti SC" w:hAnsi="Songti SC" w:eastAsia="Songti SC" w:cs="Songti SC"/>
          <w:b/>
          <w:color w:val="000000"/>
        </w:rPr>
        <w:t>适配做法</w:t>
      </w:r>
    </w:p>
    <w:p w14:paraId="557CAF07">
      <w:pPr>
        <w:ind w:firstLine="480"/>
        <w:rPr>
          <w:rFonts w:hint="eastAsia"/>
          <w:color w:val="000000"/>
        </w:rPr>
      </w:pPr>
      <w:r>
        <w:rPr>
          <w:rFonts w:ascii="Songti SC" w:hAnsi="Songti SC" w:eastAsia="Songti SC" w:cs="Songti SC"/>
          <w:color w:val="000000"/>
        </w:rPr>
        <w:t>批量任务采用后台执行，避免页面长时间等待。</w:t>
      </w:r>
    </w:p>
    <w:p w14:paraId="2B537D94">
      <w:pPr>
        <w:ind w:firstLine="480"/>
        <w:rPr>
          <w:rFonts w:hint="eastAsia"/>
          <w:color w:val="000000"/>
        </w:rPr>
      </w:pPr>
      <w:r>
        <w:rPr>
          <w:rFonts w:ascii="Songti SC" w:hAnsi="Songti SC" w:eastAsia="Songti SC" w:cs="Songti SC"/>
          <w:color w:val="000000"/>
        </w:rPr>
        <w:t>有效期变化同步到消费机，防止过期人员在现场继续消费。</w:t>
      </w:r>
    </w:p>
    <w:p w14:paraId="3D056F08">
      <w:pPr>
        <w:pStyle w:val="5"/>
        <w:rPr>
          <w:rFonts w:hint="eastAsia"/>
          <w:color w:val="000000"/>
        </w:rPr>
      </w:pPr>
      <w:r>
        <w:rPr>
          <w:rFonts w:ascii="Songti SC" w:hAnsi="Songti SC" w:eastAsia="Songti SC" w:cs="Songti SC"/>
          <w:color w:val="000000"/>
        </w:rPr>
        <w:t>批量离职</w:t>
      </w:r>
    </w:p>
    <w:p w14:paraId="14815EB3">
      <w:pPr>
        <w:ind w:firstLine="480"/>
        <w:rPr>
          <w:rFonts w:hint="eastAsia"/>
          <w:color w:val="000000"/>
        </w:rPr>
      </w:pPr>
      <w:r>
        <w:rPr>
          <w:rFonts w:ascii="Songti SC" w:hAnsi="Songti SC" w:eastAsia="Songti SC" w:cs="Songti SC"/>
          <w:color w:val="000000"/>
        </w:rPr>
        <w:t>批量离职用于集中处理人员退出、调离或不再纳入食堂消费系统服务的场景。</w:t>
      </w:r>
    </w:p>
    <w:p w14:paraId="421AB5DF">
      <w:pPr>
        <w:ind w:firstLine="482"/>
        <w:rPr>
          <w:rFonts w:hint="eastAsia"/>
          <w:color w:val="000000"/>
        </w:rPr>
      </w:pPr>
      <w:r>
        <w:rPr>
          <w:rFonts w:hint="eastAsia" w:ascii="Songti SC" w:hAnsi="Songti SC" w:eastAsia="Songti SC" w:cs="Songti SC"/>
          <w:b/>
          <w:color w:val="000000"/>
        </w:rPr>
        <w:t>1.改造</w:t>
      </w:r>
      <w:r>
        <w:rPr>
          <w:rFonts w:ascii="Songti SC" w:hAnsi="Songti SC" w:eastAsia="Songti SC" w:cs="Songti SC"/>
          <w:b/>
          <w:color w:val="000000"/>
        </w:rPr>
        <w:t>内容</w:t>
      </w:r>
    </w:p>
    <w:p w14:paraId="15BFF25F">
      <w:pPr>
        <w:ind w:firstLine="480"/>
        <w:rPr>
          <w:rFonts w:hint="eastAsia"/>
          <w:color w:val="000000"/>
        </w:rPr>
      </w:pPr>
      <w:r>
        <w:rPr>
          <w:rFonts w:ascii="Songti SC" w:hAnsi="Songti SC" w:eastAsia="Songti SC" w:cs="Songti SC"/>
          <w:color w:val="000000"/>
        </w:rPr>
        <w:t>支持按人员清单批量设置离职状态。</w:t>
      </w:r>
    </w:p>
    <w:p w14:paraId="7FC1EF7D">
      <w:pPr>
        <w:ind w:firstLine="480"/>
        <w:rPr>
          <w:rFonts w:hint="eastAsia"/>
          <w:color w:val="000000"/>
        </w:rPr>
      </w:pPr>
      <w:r>
        <w:rPr>
          <w:rFonts w:ascii="Songti SC" w:hAnsi="Songti SC" w:eastAsia="Songti SC" w:cs="Songti SC"/>
          <w:color w:val="000000"/>
        </w:rPr>
        <w:t>离职时联动限制充值、消费和补贴发放。</w:t>
      </w:r>
    </w:p>
    <w:p w14:paraId="4E0D8B77">
      <w:pPr>
        <w:ind w:firstLine="480"/>
        <w:rPr>
          <w:rFonts w:hint="eastAsia"/>
          <w:color w:val="000000"/>
        </w:rPr>
      </w:pPr>
      <w:r>
        <w:rPr>
          <w:rFonts w:ascii="Songti SC" w:hAnsi="Songti SC" w:eastAsia="Songti SC" w:cs="Songti SC"/>
          <w:color w:val="000000"/>
        </w:rPr>
        <w:t>可根据管理规则保留余额、发起退款或进入待处理状态。</w:t>
      </w:r>
    </w:p>
    <w:p w14:paraId="78AC3436">
      <w:pPr>
        <w:ind w:firstLine="482"/>
        <w:rPr>
          <w:rFonts w:hint="eastAsia"/>
          <w:color w:val="000000"/>
        </w:rPr>
      </w:pPr>
      <w:r>
        <w:rPr>
          <w:rFonts w:hint="eastAsia" w:ascii="Songti SC" w:hAnsi="Songti SC" w:eastAsia="Songti SC" w:cs="Songti SC"/>
          <w:b/>
          <w:color w:val="000000"/>
        </w:rPr>
        <w:t>2.</w:t>
      </w:r>
      <w:r>
        <w:rPr>
          <w:rFonts w:ascii="Songti SC" w:hAnsi="Songti SC" w:eastAsia="Songti SC" w:cs="Songti SC"/>
          <w:b/>
          <w:color w:val="000000"/>
        </w:rPr>
        <w:t>适配做法</w:t>
      </w:r>
    </w:p>
    <w:p w14:paraId="015BEF9C">
      <w:pPr>
        <w:ind w:firstLine="480"/>
        <w:rPr>
          <w:rFonts w:hint="eastAsia"/>
          <w:color w:val="000000"/>
        </w:rPr>
      </w:pPr>
      <w:r>
        <w:rPr>
          <w:rFonts w:ascii="Songti SC" w:hAnsi="Songti SC" w:eastAsia="Songti SC" w:cs="Songti SC"/>
          <w:color w:val="000000"/>
        </w:rPr>
        <w:t>离职状态优先同步消费机，确保现场不可继续消费。</w:t>
      </w:r>
    </w:p>
    <w:p w14:paraId="3F03EE0B">
      <w:pPr>
        <w:ind w:firstLine="480"/>
        <w:rPr>
          <w:rFonts w:hint="eastAsia"/>
          <w:color w:val="000000"/>
        </w:rPr>
      </w:pPr>
      <w:r>
        <w:rPr>
          <w:rFonts w:ascii="Songti SC" w:hAnsi="Songti SC" w:eastAsia="Songti SC" w:cs="Songti SC"/>
          <w:color w:val="000000"/>
        </w:rPr>
        <w:t>离职批次记录处理人、处理时间、人员清单和处理结果。</w:t>
      </w:r>
    </w:p>
    <w:p w14:paraId="14CFE295">
      <w:pPr>
        <w:pStyle w:val="5"/>
        <w:rPr>
          <w:rFonts w:hint="eastAsia"/>
          <w:color w:val="000000"/>
        </w:rPr>
      </w:pPr>
      <w:r>
        <w:rPr>
          <w:rFonts w:ascii="Songti SC" w:hAnsi="Songti SC" w:eastAsia="Songti SC" w:cs="Songti SC"/>
          <w:color w:val="000000"/>
        </w:rPr>
        <w:t>挂失管理</w:t>
      </w:r>
    </w:p>
    <w:p w14:paraId="0634311E">
      <w:pPr>
        <w:ind w:firstLine="480"/>
        <w:rPr>
          <w:rFonts w:hint="eastAsia"/>
          <w:color w:val="000000"/>
        </w:rPr>
      </w:pPr>
      <w:r>
        <w:rPr>
          <w:rFonts w:ascii="Songti SC" w:hAnsi="Songti SC" w:eastAsia="Songti SC" w:cs="Songti SC"/>
          <w:color w:val="000000"/>
        </w:rPr>
        <w:t>挂失管理用于处理卡片遗失、临时风险控制和账户保护。</w:t>
      </w:r>
    </w:p>
    <w:p w14:paraId="1B4D0E36">
      <w:pPr>
        <w:ind w:firstLine="482"/>
        <w:rPr>
          <w:rFonts w:hint="eastAsia"/>
          <w:color w:val="000000"/>
        </w:rPr>
      </w:pPr>
      <w:r>
        <w:rPr>
          <w:rFonts w:hint="eastAsia" w:ascii="Songti SC" w:hAnsi="Songti SC" w:eastAsia="Songti SC" w:cs="Songti SC"/>
          <w:b/>
          <w:color w:val="000000"/>
        </w:rPr>
        <w:t>1.改造</w:t>
      </w:r>
      <w:r>
        <w:rPr>
          <w:rFonts w:ascii="Songti SC" w:hAnsi="Songti SC" w:eastAsia="Songti SC" w:cs="Songti SC"/>
          <w:b/>
          <w:color w:val="000000"/>
        </w:rPr>
        <w:t>内容</w:t>
      </w:r>
    </w:p>
    <w:p w14:paraId="7626FDF0">
      <w:pPr>
        <w:ind w:firstLine="480"/>
        <w:rPr>
          <w:rFonts w:hint="eastAsia"/>
          <w:color w:val="000000"/>
        </w:rPr>
      </w:pPr>
      <w:r>
        <w:rPr>
          <w:rFonts w:ascii="Songti SC" w:hAnsi="Songti SC" w:eastAsia="Songti SC" w:cs="Songti SC"/>
          <w:color w:val="000000"/>
        </w:rPr>
        <w:t>支持人员卡号挂失、解挂、补卡和解绑。</w:t>
      </w:r>
    </w:p>
    <w:p w14:paraId="50E8D599">
      <w:pPr>
        <w:ind w:firstLine="480"/>
        <w:rPr>
          <w:rFonts w:hint="eastAsia"/>
          <w:color w:val="000000"/>
        </w:rPr>
      </w:pPr>
      <w:r>
        <w:rPr>
          <w:rFonts w:ascii="Songti SC" w:hAnsi="Songti SC" w:eastAsia="Songti SC" w:cs="Songti SC"/>
          <w:color w:val="000000"/>
        </w:rPr>
        <w:t>挂失后消费机刷卡消费应被拦截，小程序端可继续按规则查询余额。</w:t>
      </w:r>
    </w:p>
    <w:p w14:paraId="0F5740B3">
      <w:pPr>
        <w:ind w:firstLine="480"/>
        <w:rPr>
          <w:rFonts w:hint="eastAsia"/>
          <w:color w:val="000000"/>
        </w:rPr>
      </w:pPr>
      <w:r>
        <w:rPr>
          <w:rFonts w:ascii="Songti SC" w:hAnsi="Songti SC" w:eastAsia="Songti SC" w:cs="Songti SC"/>
          <w:color w:val="000000"/>
        </w:rPr>
        <w:t>挂失记录保留原因、时间和办理人。</w:t>
      </w:r>
    </w:p>
    <w:p w14:paraId="2159DF02">
      <w:pPr>
        <w:ind w:firstLine="482"/>
        <w:rPr>
          <w:rFonts w:hint="eastAsia"/>
          <w:color w:val="000000"/>
        </w:rPr>
      </w:pPr>
      <w:r>
        <w:rPr>
          <w:rFonts w:hint="eastAsia" w:ascii="Songti SC" w:hAnsi="Songti SC" w:eastAsia="Songti SC" w:cs="Songti SC"/>
          <w:b/>
          <w:color w:val="000000"/>
        </w:rPr>
        <w:t>2.</w:t>
      </w:r>
      <w:r>
        <w:rPr>
          <w:rFonts w:ascii="Songti SC" w:hAnsi="Songti SC" w:eastAsia="Songti SC" w:cs="Songti SC"/>
          <w:b/>
          <w:color w:val="000000"/>
        </w:rPr>
        <w:t>适配做法</w:t>
      </w:r>
    </w:p>
    <w:p w14:paraId="0FCD0A40">
      <w:pPr>
        <w:ind w:firstLine="480"/>
        <w:rPr>
          <w:rFonts w:hint="eastAsia"/>
          <w:color w:val="000000"/>
        </w:rPr>
      </w:pPr>
      <w:r>
        <w:rPr>
          <w:rFonts w:ascii="Songti SC" w:hAnsi="Songti SC" w:eastAsia="Songti SC" w:cs="Songti SC"/>
          <w:color w:val="000000"/>
        </w:rPr>
        <w:t>挂失状态进入消费机同步队列，已离线消费机恢复联网后必须补齐状态。</w:t>
      </w:r>
    </w:p>
    <w:p w14:paraId="480EE768">
      <w:pPr>
        <w:ind w:firstLine="480"/>
        <w:rPr>
          <w:rFonts w:hint="eastAsia"/>
          <w:color w:val="000000"/>
        </w:rPr>
      </w:pPr>
      <w:r>
        <w:rPr>
          <w:rFonts w:ascii="Songti SC" w:hAnsi="Songti SC" w:eastAsia="Songti SC" w:cs="Songti SC"/>
          <w:color w:val="000000"/>
        </w:rPr>
        <w:t>补卡时新旧卡关系可追溯，防止同一人员多张卡并行消费。</w:t>
      </w:r>
    </w:p>
    <w:p w14:paraId="7ED0566C">
      <w:pPr>
        <w:pStyle w:val="5"/>
        <w:rPr>
          <w:rFonts w:hint="eastAsia"/>
          <w:color w:val="000000"/>
        </w:rPr>
      </w:pPr>
      <w:r>
        <w:rPr>
          <w:rFonts w:ascii="Songti SC" w:hAnsi="Songti SC" w:eastAsia="Songti SC" w:cs="Songti SC"/>
          <w:color w:val="000000"/>
        </w:rPr>
        <w:t>用户恢复</w:t>
      </w:r>
    </w:p>
    <w:p w14:paraId="19905EAE">
      <w:pPr>
        <w:ind w:firstLine="480"/>
        <w:rPr>
          <w:rFonts w:hint="eastAsia"/>
          <w:color w:val="000000"/>
        </w:rPr>
      </w:pPr>
      <w:r>
        <w:rPr>
          <w:rFonts w:ascii="Songti SC" w:hAnsi="Songti SC" w:eastAsia="Songti SC" w:cs="Songti SC"/>
          <w:color w:val="000000"/>
        </w:rPr>
        <w:t>用户恢复用于处理误离职、误停用、误挂失或临时禁用解除。</w:t>
      </w:r>
    </w:p>
    <w:p w14:paraId="528CECFC">
      <w:pPr>
        <w:ind w:firstLine="482"/>
        <w:rPr>
          <w:rFonts w:hint="eastAsia"/>
          <w:color w:val="000000"/>
        </w:rPr>
      </w:pPr>
      <w:r>
        <w:rPr>
          <w:rFonts w:hint="eastAsia" w:ascii="Songti SC" w:hAnsi="Songti SC" w:eastAsia="Songti SC" w:cs="Songti SC"/>
          <w:b/>
          <w:color w:val="000000"/>
        </w:rPr>
        <w:t>1.改造</w:t>
      </w:r>
      <w:r>
        <w:rPr>
          <w:rFonts w:ascii="Songti SC" w:hAnsi="Songti SC" w:eastAsia="Songti SC" w:cs="Songti SC"/>
          <w:b/>
          <w:color w:val="000000"/>
        </w:rPr>
        <w:t>内容</w:t>
      </w:r>
    </w:p>
    <w:p w14:paraId="036C6D19">
      <w:pPr>
        <w:ind w:firstLine="480"/>
        <w:rPr>
          <w:rFonts w:hint="eastAsia"/>
          <w:color w:val="000000"/>
        </w:rPr>
      </w:pPr>
      <w:r>
        <w:rPr>
          <w:rFonts w:ascii="Songti SC" w:hAnsi="Songti SC" w:eastAsia="Songti SC" w:cs="Songti SC"/>
          <w:color w:val="000000"/>
        </w:rPr>
        <w:t>支持对符合条件的用户恢复在职、恢复消费、恢复充值或恢复卡片状态。</w:t>
      </w:r>
    </w:p>
    <w:p w14:paraId="71A1FA9F">
      <w:pPr>
        <w:ind w:firstLine="480"/>
        <w:rPr>
          <w:rFonts w:hint="eastAsia"/>
          <w:color w:val="000000"/>
        </w:rPr>
      </w:pPr>
      <w:r>
        <w:rPr>
          <w:rFonts w:ascii="Songti SC" w:hAnsi="Songti SC" w:eastAsia="Songti SC" w:cs="Songti SC"/>
          <w:color w:val="000000"/>
        </w:rPr>
        <w:t>恢复操作前展示当前账户余额、补贴余额和历史状态。</w:t>
      </w:r>
    </w:p>
    <w:p w14:paraId="6E189BD9">
      <w:pPr>
        <w:ind w:firstLine="480"/>
        <w:rPr>
          <w:rFonts w:hint="eastAsia"/>
          <w:color w:val="000000"/>
        </w:rPr>
      </w:pPr>
      <w:r>
        <w:rPr>
          <w:rFonts w:ascii="Songti SC" w:hAnsi="Songti SC" w:eastAsia="Songti SC" w:cs="Songti SC"/>
          <w:color w:val="000000"/>
        </w:rPr>
        <w:t>恢复后重新纳入消费机同步队列。</w:t>
      </w:r>
    </w:p>
    <w:p w14:paraId="411FB7DD">
      <w:pPr>
        <w:ind w:firstLine="482"/>
        <w:rPr>
          <w:rFonts w:hint="eastAsia"/>
          <w:color w:val="000000"/>
        </w:rPr>
      </w:pPr>
      <w:r>
        <w:rPr>
          <w:rFonts w:hint="eastAsia" w:ascii="Songti SC" w:hAnsi="Songti SC" w:eastAsia="Songti SC" w:cs="Songti SC"/>
          <w:b/>
          <w:color w:val="000000"/>
        </w:rPr>
        <w:t>2.</w:t>
      </w:r>
      <w:r>
        <w:rPr>
          <w:rFonts w:ascii="Songti SC" w:hAnsi="Songti SC" w:eastAsia="Songti SC" w:cs="Songti SC"/>
          <w:b/>
          <w:color w:val="000000"/>
        </w:rPr>
        <w:t>适配做法</w:t>
      </w:r>
    </w:p>
    <w:p w14:paraId="78DD5FA4">
      <w:pPr>
        <w:ind w:firstLine="480"/>
        <w:rPr>
          <w:rFonts w:hint="eastAsia"/>
          <w:color w:val="000000"/>
        </w:rPr>
      </w:pPr>
      <w:r>
        <w:rPr>
          <w:rFonts w:ascii="Songti SC" w:hAnsi="Songti SC" w:eastAsia="Songti SC" w:cs="Songti SC"/>
          <w:color w:val="000000"/>
        </w:rPr>
        <w:t>恢复操作必须校验人员编号、卡号和身份类别仍然有效。</w:t>
      </w:r>
    </w:p>
    <w:p w14:paraId="5FAB05EC">
      <w:pPr>
        <w:ind w:firstLine="480"/>
        <w:rPr>
          <w:rFonts w:hint="eastAsia"/>
          <w:color w:val="000000"/>
        </w:rPr>
      </w:pPr>
      <w:r>
        <w:rPr>
          <w:rFonts w:ascii="Songti SC" w:hAnsi="Songti SC" w:eastAsia="Songti SC" w:cs="Songti SC"/>
          <w:color w:val="000000"/>
        </w:rPr>
        <w:t>恢复前后状态保留记录，便于后续查询责任链。</w:t>
      </w:r>
    </w:p>
    <w:p w14:paraId="3F0F0594">
      <w:pPr>
        <w:pStyle w:val="5"/>
        <w:rPr>
          <w:rFonts w:hint="eastAsia"/>
          <w:color w:val="000000"/>
        </w:rPr>
      </w:pPr>
      <w:r>
        <w:rPr>
          <w:rFonts w:ascii="Songti SC" w:hAnsi="Songti SC" w:eastAsia="Songti SC" w:cs="Songti SC"/>
          <w:color w:val="000000"/>
        </w:rPr>
        <w:t>用户离职</w:t>
      </w:r>
    </w:p>
    <w:p w14:paraId="3E55C63F">
      <w:pPr>
        <w:ind w:firstLine="480"/>
        <w:rPr>
          <w:rFonts w:hint="eastAsia"/>
          <w:color w:val="000000"/>
        </w:rPr>
      </w:pPr>
      <w:r>
        <w:rPr>
          <w:rFonts w:ascii="Songti SC" w:hAnsi="Songti SC" w:eastAsia="Songti SC" w:cs="Songti SC"/>
          <w:color w:val="000000"/>
        </w:rPr>
        <w:t>用户离职用于单个人员离开服务范围时的账户收口处理。</w:t>
      </w:r>
    </w:p>
    <w:p w14:paraId="7BA343A9">
      <w:pPr>
        <w:ind w:firstLine="482"/>
        <w:rPr>
          <w:rFonts w:hint="eastAsia"/>
          <w:color w:val="000000"/>
        </w:rPr>
      </w:pPr>
      <w:r>
        <w:rPr>
          <w:rFonts w:hint="eastAsia" w:ascii="Songti SC" w:hAnsi="Songti SC" w:eastAsia="Songti SC" w:cs="Songti SC"/>
          <w:b/>
          <w:color w:val="000000"/>
        </w:rPr>
        <w:t>1.改造</w:t>
      </w:r>
      <w:r>
        <w:rPr>
          <w:rFonts w:ascii="Songti SC" w:hAnsi="Songti SC" w:eastAsia="Songti SC" w:cs="Songti SC"/>
          <w:b/>
          <w:color w:val="000000"/>
        </w:rPr>
        <w:t>内容</w:t>
      </w:r>
    </w:p>
    <w:p w14:paraId="4167B65C">
      <w:pPr>
        <w:ind w:firstLine="480"/>
        <w:rPr>
          <w:rFonts w:hint="eastAsia"/>
          <w:color w:val="000000"/>
        </w:rPr>
      </w:pPr>
      <w:r>
        <w:rPr>
          <w:rFonts w:ascii="Songti SC" w:hAnsi="Songti SC" w:eastAsia="Songti SC" w:cs="Songti SC"/>
          <w:color w:val="000000"/>
        </w:rPr>
        <w:t>办理离职时停止消费权限和补贴权限。</w:t>
      </w:r>
    </w:p>
    <w:p w14:paraId="42CBCCF3">
      <w:pPr>
        <w:ind w:firstLine="480"/>
        <w:rPr>
          <w:rFonts w:hint="eastAsia"/>
          <w:color w:val="000000"/>
        </w:rPr>
      </w:pPr>
      <w:r>
        <w:rPr>
          <w:rFonts w:ascii="Songti SC" w:hAnsi="Songti SC" w:eastAsia="Songti SC" w:cs="Songti SC"/>
          <w:color w:val="000000"/>
        </w:rPr>
        <w:t>根据管理规则处理余额查询、退款申请或余额保留。</w:t>
      </w:r>
    </w:p>
    <w:p w14:paraId="1F8264D7">
      <w:pPr>
        <w:ind w:firstLine="480"/>
        <w:rPr>
          <w:rFonts w:hint="eastAsia"/>
          <w:color w:val="000000"/>
        </w:rPr>
      </w:pPr>
      <w:r>
        <w:rPr>
          <w:rFonts w:ascii="Songti SC" w:hAnsi="Songti SC" w:eastAsia="Songti SC" w:cs="Songti SC"/>
          <w:color w:val="000000"/>
        </w:rPr>
        <w:t>离职人员仍可按权限查询历史消费和充值记录。</w:t>
      </w:r>
    </w:p>
    <w:p w14:paraId="6863486C">
      <w:pPr>
        <w:ind w:firstLine="482"/>
        <w:rPr>
          <w:rFonts w:hint="eastAsia"/>
          <w:color w:val="000000"/>
        </w:rPr>
      </w:pPr>
      <w:r>
        <w:rPr>
          <w:rFonts w:hint="eastAsia" w:ascii="Songti SC" w:hAnsi="Songti SC" w:eastAsia="Songti SC" w:cs="Songti SC"/>
          <w:b/>
          <w:color w:val="000000"/>
        </w:rPr>
        <w:t>2.</w:t>
      </w:r>
      <w:r>
        <w:rPr>
          <w:rFonts w:ascii="Songti SC" w:hAnsi="Songti SC" w:eastAsia="Songti SC" w:cs="Songti SC"/>
          <w:b/>
          <w:color w:val="000000"/>
        </w:rPr>
        <w:t>适配做法</w:t>
      </w:r>
    </w:p>
    <w:p w14:paraId="43DE398A">
      <w:pPr>
        <w:ind w:firstLine="480"/>
        <w:rPr>
          <w:rFonts w:hint="eastAsia"/>
          <w:color w:val="000000"/>
        </w:rPr>
      </w:pPr>
      <w:r>
        <w:rPr>
          <w:rFonts w:ascii="Songti SC" w:hAnsi="Songti SC" w:eastAsia="Songti SC" w:cs="Songti SC"/>
          <w:color w:val="000000"/>
        </w:rPr>
        <w:t>离职状态与账户状态、卡状态、人脸状态联动，避免只改人员状态但现场仍可消费。</w:t>
      </w:r>
    </w:p>
    <w:p w14:paraId="3F5248F6">
      <w:pPr>
        <w:ind w:firstLine="480"/>
        <w:rPr>
          <w:rFonts w:hint="eastAsia"/>
          <w:color w:val="000000"/>
        </w:rPr>
      </w:pPr>
      <w:r>
        <w:rPr>
          <w:rFonts w:ascii="Songti SC" w:hAnsi="Songti SC" w:eastAsia="Songti SC" w:cs="Songti SC"/>
          <w:color w:val="000000"/>
        </w:rPr>
        <w:t>离职后的历史报表仍保留原部门、身份类别和消费记录。</w:t>
      </w:r>
    </w:p>
    <w:p w14:paraId="52C5D970">
      <w:pPr>
        <w:pStyle w:val="4"/>
        <w:rPr>
          <w:rFonts w:hint="eastAsia"/>
          <w:color w:val="000000"/>
        </w:rPr>
      </w:pPr>
      <w:bookmarkStart w:id="341" w:name="_Toc1339496486"/>
      <w:bookmarkStart w:id="342" w:name="_Toc1127043807"/>
      <w:bookmarkStart w:id="343" w:name="_Toc1956739375"/>
      <w:r>
        <w:rPr>
          <w:rFonts w:ascii="Songti SC" w:hAnsi="Songti SC" w:eastAsia="Songti SC" w:cs="Songti SC"/>
          <w:color w:val="000000"/>
        </w:rPr>
        <w:t>消费配置管理系统改造</w:t>
      </w:r>
      <w:bookmarkEnd w:id="341"/>
      <w:bookmarkEnd w:id="342"/>
      <w:bookmarkEnd w:id="343"/>
    </w:p>
    <w:p w14:paraId="0B336FE3">
      <w:pPr>
        <w:pStyle w:val="5"/>
        <w:rPr>
          <w:rFonts w:hint="eastAsia"/>
          <w:color w:val="000000"/>
        </w:rPr>
      </w:pPr>
      <w:r>
        <w:rPr>
          <w:rFonts w:ascii="Songti SC" w:hAnsi="Songti SC" w:eastAsia="Songti SC" w:cs="Songti SC"/>
          <w:color w:val="000000"/>
        </w:rPr>
        <w:t>餐厅类型配置</w:t>
      </w:r>
    </w:p>
    <w:p w14:paraId="4F5814E8">
      <w:pPr>
        <w:ind w:firstLine="480"/>
        <w:rPr>
          <w:rFonts w:hint="eastAsia"/>
          <w:color w:val="000000"/>
        </w:rPr>
      </w:pPr>
      <w:r>
        <w:rPr>
          <w:rFonts w:ascii="Songti SC" w:hAnsi="Songti SC" w:eastAsia="Songti SC" w:cs="Songti SC"/>
          <w:color w:val="000000"/>
        </w:rPr>
        <w:t>餐厅类型配置用于区分不同办公区食堂、不同服务形态和不同结算口径。</w:t>
      </w:r>
    </w:p>
    <w:p w14:paraId="0126E007">
      <w:pPr>
        <w:ind w:firstLine="482"/>
        <w:rPr>
          <w:rFonts w:hint="eastAsia"/>
          <w:color w:val="000000"/>
        </w:rPr>
      </w:pPr>
      <w:r>
        <w:rPr>
          <w:rFonts w:hint="eastAsia" w:ascii="Songti SC" w:hAnsi="Songti SC" w:eastAsia="Songti SC" w:cs="Songti SC"/>
          <w:b/>
          <w:color w:val="000000"/>
        </w:rPr>
        <w:t>1.改造</w:t>
      </w:r>
      <w:r>
        <w:rPr>
          <w:rFonts w:ascii="Songti SC" w:hAnsi="Songti SC" w:eastAsia="Songti SC" w:cs="Songti SC"/>
          <w:b/>
          <w:color w:val="000000"/>
        </w:rPr>
        <w:t>内容</w:t>
      </w:r>
    </w:p>
    <w:p w14:paraId="4B6D148E">
      <w:pPr>
        <w:ind w:firstLine="480"/>
        <w:rPr>
          <w:rFonts w:hint="eastAsia"/>
          <w:color w:val="000000"/>
        </w:rPr>
      </w:pPr>
      <w:r>
        <w:rPr>
          <w:rFonts w:ascii="Songti SC" w:hAnsi="Songti SC" w:eastAsia="Songti SC" w:cs="Songti SC"/>
          <w:color w:val="000000"/>
        </w:rPr>
        <w:t>维护机关食堂、临时供餐点、专项餐厅等类型。</w:t>
      </w:r>
    </w:p>
    <w:p w14:paraId="32BA6547">
      <w:pPr>
        <w:ind w:firstLine="480"/>
        <w:rPr>
          <w:rFonts w:hint="eastAsia"/>
          <w:color w:val="000000"/>
        </w:rPr>
      </w:pPr>
      <w:r>
        <w:rPr>
          <w:rFonts w:ascii="Songti SC" w:hAnsi="Songti SC" w:eastAsia="Songti SC" w:cs="Songti SC"/>
          <w:color w:val="000000"/>
        </w:rPr>
        <w:t>餐厅类型与消费策略、报表统计和结算口径关联。</w:t>
      </w:r>
    </w:p>
    <w:p w14:paraId="33CC23FE">
      <w:pPr>
        <w:ind w:firstLine="480"/>
        <w:rPr>
          <w:rFonts w:hint="eastAsia"/>
          <w:color w:val="000000"/>
        </w:rPr>
      </w:pPr>
      <w:r>
        <w:rPr>
          <w:rFonts w:ascii="Songti SC" w:hAnsi="Songti SC" w:eastAsia="Songti SC" w:cs="Songti SC"/>
          <w:color w:val="000000"/>
        </w:rPr>
        <w:t>餐厅类型停用不影响历史订单查询。</w:t>
      </w:r>
    </w:p>
    <w:p w14:paraId="398DA0E3">
      <w:pPr>
        <w:ind w:firstLine="482"/>
        <w:rPr>
          <w:rFonts w:hint="eastAsia"/>
          <w:color w:val="000000"/>
        </w:rPr>
      </w:pPr>
      <w:r>
        <w:rPr>
          <w:rFonts w:hint="eastAsia" w:ascii="Songti SC" w:hAnsi="Songti SC" w:eastAsia="Songti SC" w:cs="Songti SC"/>
          <w:b/>
          <w:color w:val="000000"/>
        </w:rPr>
        <w:t>2.</w:t>
      </w:r>
      <w:r>
        <w:rPr>
          <w:rFonts w:ascii="Songti SC" w:hAnsi="Songti SC" w:eastAsia="Songti SC" w:cs="Songti SC"/>
          <w:b/>
          <w:color w:val="000000"/>
        </w:rPr>
        <w:t>适配做法</w:t>
      </w:r>
    </w:p>
    <w:p w14:paraId="09620799">
      <w:pPr>
        <w:ind w:firstLine="480"/>
        <w:rPr>
          <w:rFonts w:hint="eastAsia"/>
          <w:color w:val="000000"/>
        </w:rPr>
      </w:pPr>
      <w:r>
        <w:rPr>
          <w:rFonts w:ascii="Songti SC" w:hAnsi="Songti SC" w:eastAsia="Songti SC" w:cs="Songti SC"/>
          <w:color w:val="000000"/>
        </w:rPr>
        <w:t>升级后统一餐厅类型编码，历史订单按原类型保留。</w:t>
      </w:r>
    </w:p>
    <w:p w14:paraId="10CA37F9">
      <w:pPr>
        <w:ind w:firstLine="480"/>
        <w:rPr>
          <w:rFonts w:hint="eastAsia"/>
          <w:color w:val="000000"/>
        </w:rPr>
      </w:pPr>
      <w:r>
        <w:rPr>
          <w:rFonts w:ascii="Songti SC" w:hAnsi="Songti SC" w:eastAsia="Songti SC" w:cs="Songti SC"/>
          <w:color w:val="000000"/>
        </w:rPr>
        <w:t>报表查询支持按餐厅类型汇总和下钻。</w:t>
      </w:r>
    </w:p>
    <w:p w14:paraId="38D2188F">
      <w:pPr>
        <w:pStyle w:val="5"/>
        <w:rPr>
          <w:rFonts w:hint="eastAsia"/>
          <w:color w:val="000000"/>
        </w:rPr>
      </w:pPr>
      <w:r>
        <w:rPr>
          <w:rFonts w:ascii="Songti SC" w:hAnsi="Songti SC" w:eastAsia="Songti SC" w:cs="Songti SC"/>
          <w:color w:val="000000"/>
        </w:rPr>
        <w:t>餐次定义</w:t>
      </w:r>
    </w:p>
    <w:p w14:paraId="6F04FC44">
      <w:pPr>
        <w:ind w:firstLine="480"/>
        <w:rPr>
          <w:rFonts w:hint="eastAsia"/>
          <w:color w:val="000000"/>
        </w:rPr>
      </w:pPr>
      <w:r>
        <w:rPr>
          <w:rFonts w:ascii="Songti SC" w:hAnsi="Songti SC" w:eastAsia="Songti SC" w:cs="Songti SC"/>
          <w:color w:val="000000"/>
        </w:rPr>
        <w:t>餐次定义用于确定早餐、午餐、晚餐或其他供餐时段的消费规则。</w:t>
      </w:r>
    </w:p>
    <w:p w14:paraId="2D4EA022">
      <w:pPr>
        <w:ind w:firstLine="482"/>
        <w:rPr>
          <w:rFonts w:hint="eastAsia"/>
          <w:color w:val="000000"/>
        </w:rPr>
      </w:pPr>
      <w:r>
        <w:rPr>
          <w:rFonts w:hint="eastAsia" w:ascii="Songti SC" w:hAnsi="Songti SC" w:eastAsia="Songti SC" w:cs="Songti SC"/>
          <w:b/>
          <w:color w:val="000000"/>
        </w:rPr>
        <w:t>1.改造</w:t>
      </w:r>
      <w:r>
        <w:rPr>
          <w:rFonts w:ascii="Songti SC" w:hAnsi="Songti SC" w:eastAsia="Songti SC" w:cs="Songti SC"/>
          <w:b/>
          <w:color w:val="000000"/>
        </w:rPr>
        <w:t>内容</w:t>
      </w:r>
    </w:p>
    <w:p w14:paraId="3C6213B1">
      <w:pPr>
        <w:ind w:firstLine="480"/>
        <w:rPr>
          <w:rFonts w:hint="eastAsia"/>
          <w:color w:val="000000"/>
        </w:rPr>
      </w:pPr>
      <w:r>
        <w:rPr>
          <w:rFonts w:ascii="Songti SC" w:hAnsi="Songti SC" w:eastAsia="Songti SC" w:cs="Songti SC"/>
          <w:color w:val="000000"/>
        </w:rPr>
        <w:t>配置餐次名称、开始时间、结束时间、可消费次数、可用和可用消费机。</w:t>
      </w:r>
    </w:p>
    <w:p w14:paraId="199A30E4">
      <w:pPr>
        <w:ind w:firstLine="480"/>
        <w:rPr>
          <w:rFonts w:hint="eastAsia"/>
          <w:color w:val="000000"/>
        </w:rPr>
      </w:pPr>
      <w:r>
        <w:rPr>
          <w:rFonts w:ascii="Songti SC" w:hAnsi="Songti SC" w:eastAsia="Songti SC" w:cs="Songti SC"/>
          <w:color w:val="000000"/>
        </w:rPr>
        <w:t>支持节假日、临时调整、特殊餐次等配置。</w:t>
      </w:r>
    </w:p>
    <w:p w14:paraId="4B524829">
      <w:pPr>
        <w:ind w:firstLine="480"/>
        <w:rPr>
          <w:rFonts w:hint="eastAsia"/>
          <w:color w:val="000000"/>
        </w:rPr>
      </w:pPr>
      <w:r>
        <w:rPr>
          <w:rFonts w:ascii="Songti SC" w:hAnsi="Songti SC" w:eastAsia="Songti SC" w:cs="Songti SC"/>
          <w:color w:val="000000"/>
        </w:rPr>
        <w:t>餐次与消费策略、补贴策略和报表统计关联。</w:t>
      </w:r>
    </w:p>
    <w:p w14:paraId="2EA7229D">
      <w:pPr>
        <w:ind w:firstLine="482"/>
        <w:rPr>
          <w:rFonts w:hint="eastAsia"/>
          <w:color w:val="000000"/>
        </w:rPr>
      </w:pPr>
      <w:r>
        <w:rPr>
          <w:rFonts w:hint="eastAsia" w:ascii="Songti SC" w:hAnsi="Songti SC" w:eastAsia="Songti SC" w:cs="Songti SC"/>
          <w:b/>
          <w:color w:val="000000"/>
        </w:rPr>
        <w:t>2.</w:t>
      </w:r>
      <w:r>
        <w:rPr>
          <w:rFonts w:ascii="Songti SC" w:hAnsi="Songti SC" w:eastAsia="Songti SC" w:cs="Songti SC"/>
          <w:b/>
          <w:color w:val="000000"/>
        </w:rPr>
        <w:t>适配做法</w:t>
      </w:r>
    </w:p>
    <w:p w14:paraId="5CE7B315">
      <w:pPr>
        <w:ind w:firstLine="480"/>
        <w:rPr>
          <w:rFonts w:hint="eastAsia"/>
          <w:color w:val="000000"/>
        </w:rPr>
      </w:pPr>
      <w:r>
        <w:rPr>
          <w:rFonts w:ascii="Songti SC" w:hAnsi="Songti SC" w:eastAsia="Songti SC" w:cs="Songti SC"/>
          <w:color w:val="000000"/>
        </w:rPr>
        <w:t>现有运行环境下保证服务器时间、消费机时间和数据库时间一致。</w:t>
      </w:r>
    </w:p>
    <w:p w14:paraId="3FCE027F">
      <w:pPr>
        <w:ind w:firstLine="480"/>
        <w:rPr>
          <w:rFonts w:hint="eastAsia"/>
          <w:color w:val="000000"/>
        </w:rPr>
      </w:pPr>
      <w:r>
        <w:rPr>
          <w:rFonts w:ascii="Songti SC" w:hAnsi="Songti SC" w:eastAsia="Songti SC" w:cs="Songti SC"/>
          <w:color w:val="000000"/>
        </w:rPr>
        <w:t>餐次变更后及时下发消费机，避免现场时段判断不一致。</w:t>
      </w:r>
    </w:p>
    <w:p w14:paraId="5D42A21E">
      <w:pPr>
        <w:pStyle w:val="5"/>
        <w:rPr>
          <w:rFonts w:hint="eastAsia"/>
          <w:color w:val="000000"/>
        </w:rPr>
      </w:pPr>
      <w:r>
        <w:rPr>
          <w:rFonts w:ascii="Songti SC" w:hAnsi="Songti SC" w:eastAsia="Songti SC" w:cs="Songti SC"/>
          <w:color w:val="000000"/>
        </w:rPr>
        <w:t>脱机数据处理</w:t>
      </w:r>
    </w:p>
    <w:p w14:paraId="60524CE3">
      <w:pPr>
        <w:ind w:firstLine="480"/>
        <w:rPr>
          <w:rFonts w:hint="eastAsia"/>
          <w:color w:val="000000"/>
        </w:rPr>
      </w:pPr>
      <w:r>
        <w:rPr>
          <w:rFonts w:ascii="Songti SC" w:hAnsi="Songti SC" w:eastAsia="Songti SC" w:cs="Songti SC"/>
          <w:color w:val="000000"/>
        </w:rPr>
        <w:t>脱机数据处理用于保障网络异常时消费机交易不中断，并在网络恢复后完成账务闭环。</w:t>
      </w:r>
    </w:p>
    <w:p w14:paraId="505C8132">
      <w:pPr>
        <w:ind w:firstLine="482"/>
        <w:rPr>
          <w:rFonts w:hint="eastAsia"/>
          <w:color w:val="000000"/>
        </w:rPr>
      </w:pPr>
      <w:r>
        <w:rPr>
          <w:rFonts w:hint="eastAsia" w:ascii="Songti SC" w:hAnsi="Songti SC" w:eastAsia="Songti SC" w:cs="Songti SC"/>
          <w:b/>
          <w:color w:val="000000"/>
        </w:rPr>
        <w:t>1.改造</w:t>
      </w:r>
      <w:r>
        <w:rPr>
          <w:rFonts w:ascii="Songti SC" w:hAnsi="Songti SC" w:eastAsia="Songti SC" w:cs="Songti SC"/>
          <w:b/>
          <w:color w:val="000000"/>
        </w:rPr>
        <w:t>内容</w:t>
      </w:r>
    </w:p>
    <w:p w14:paraId="07D5481D">
      <w:pPr>
        <w:ind w:firstLine="480"/>
        <w:rPr>
          <w:rFonts w:hint="eastAsia"/>
          <w:color w:val="000000"/>
        </w:rPr>
      </w:pPr>
      <w:r>
        <w:rPr>
          <w:rFonts w:ascii="Songti SC" w:hAnsi="Songti SC" w:eastAsia="Songti SC" w:cs="Songti SC"/>
          <w:color w:val="000000"/>
        </w:rPr>
        <w:t>消费机离线时本地保存订单、人员标识、金额、设备号、本地订单号和交易时间。</w:t>
      </w:r>
    </w:p>
    <w:p w14:paraId="1C3C380F">
      <w:pPr>
        <w:ind w:firstLine="480"/>
        <w:rPr>
          <w:rFonts w:hint="eastAsia"/>
          <w:color w:val="000000"/>
        </w:rPr>
      </w:pPr>
      <w:r>
        <w:rPr>
          <w:rFonts w:ascii="Songti SC" w:hAnsi="Songti SC" w:eastAsia="Songti SC" w:cs="Songti SC"/>
          <w:color w:val="000000"/>
        </w:rPr>
        <w:t>网络恢复后按队列补传，后台逐笔处理并返回结果。</w:t>
      </w:r>
    </w:p>
    <w:p w14:paraId="4D3F61C7">
      <w:pPr>
        <w:ind w:firstLine="480"/>
        <w:rPr>
          <w:rFonts w:hint="eastAsia"/>
          <w:color w:val="000000"/>
        </w:rPr>
      </w:pPr>
      <w:r>
        <w:rPr>
          <w:rFonts w:ascii="Songti SC" w:hAnsi="Songti SC" w:eastAsia="Songti SC" w:cs="Songti SC"/>
          <w:color w:val="000000"/>
        </w:rPr>
        <w:t>补传失败进入异常清单，可查询失败原因并重试。</w:t>
      </w:r>
    </w:p>
    <w:p w14:paraId="1396F054">
      <w:pPr>
        <w:ind w:firstLine="482"/>
        <w:rPr>
          <w:rFonts w:hint="eastAsia"/>
          <w:color w:val="000000"/>
        </w:rPr>
      </w:pPr>
      <w:r>
        <w:rPr>
          <w:rFonts w:hint="eastAsia" w:ascii="Songti SC" w:hAnsi="Songti SC" w:eastAsia="Songti SC" w:cs="Songti SC"/>
          <w:b/>
          <w:color w:val="000000"/>
        </w:rPr>
        <w:t>2.</w:t>
      </w:r>
      <w:r>
        <w:rPr>
          <w:rFonts w:ascii="Songti SC" w:hAnsi="Songti SC" w:eastAsia="Songti SC" w:cs="Songti SC"/>
          <w:b/>
          <w:color w:val="000000"/>
        </w:rPr>
        <w:t>适配做法</w:t>
      </w:r>
    </w:p>
    <w:p w14:paraId="208E829C">
      <w:pPr>
        <w:ind w:firstLine="480"/>
        <w:rPr>
          <w:rFonts w:hint="eastAsia"/>
          <w:color w:val="000000"/>
        </w:rPr>
      </w:pPr>
      <w:r>
        <w:rPr>
          <w:rFonts w:ascii="Songti SC" w:hAnsi="Songti SC" w:eastAsia="Songti SC" w:cs="Songti SC"/>
          <w:color w:val="000000"/>
        </w:rPr>
        <w:t>采用设备号和本地订单号做幂等控制，防止重复补传重复扣款。</w:t>
      </w:r>
    </w:p>
    <w:p w14:paraId="16356813">
      <w:pPr>
        <w:ind w:firstLine="480"/>
        <w:rPr>
          <w:rFonts w:hint="eastAsia"/>
          <w:color w:val="000000"/>
        </w:rPr>
      </w:pPr>
      <w:r>
        <w:rPr>
          <w:rFonts w:ascii="Songti SC" w:hAnsi="Songti SC" w:eastAsia="Songti SC" w:cs="Songti SC"/>
          <w:color w:val="000000"/>
        </w:rPr>
        <w:t>对长时间离线消费机设置告警，提示现场处理。</w:t>
      </w:r>
    </w:p>
    <w:p w14:paraId="19E66CBC">
      <w:pPr>
        <w:ind w:firstLine="480"/>
        <w:rPr>
          <w:rFonts w:hint="eastAsia"/>
          <w:color w:val="000000"/>
        </w:rPr>
      </w:pPr>
      <w:r>
        <w:rPr>
          <w:rFonts w:ascii="Songti SC" w:hAnsi="Songti SC" w:eastAsia="Songti SC" w:cs="Songti SC"/>
          <w:color w:val="000000"/>
        </w:rPr>
        <w:t>补传入账后纳入正常报表，并保留补传时间。</w:t>
      </w:r>
    </w:p>
    <w:p w14:paraId="37E614E1">
      <w:pPr>
        <w:pStyle w:val="5"/>
        <w:rPr>
          <w:rFonts w:hint="eastAsia"/>
          <w:color w:val="000000"/>
        </w:rPr>
      </w:pPr>
      <w:r>
        <w:rPr>
          <w:rFonts w:ascii="Songti SC" w:hAnsi="Songti SC" w:eastAsia="Songti SC" w:cs="Songti SC"/>
          <w:color w:val="000000"/>
        </w:rPr>
        <w:t>用户消费权限配置</w:t>
      </w:r>
    </w:p>
    <w:p w14:paraId="10BBD881">
      <w:pPr>
        <w:ind w:firstLine="480"/>
        <w:rPr>
          <w:rFonts w:hint="eastAsia"/>
          <w:color w:val="000000"/>
        </w:rPr>
      </w:pPr>
      <w:r>
        <w:rPr>
          <w:rFonts w:ascii="Songti SC" w:hAnsi="Songti SC" w:eastAsia="Songti SC" w:cs="Songti SC"/>
          <w:color w:val="000000"/>
        </w:rPr>
        <w:t>用户消费权限配置用于按身份类别、部门、人员状态、餐次、餐厅和余额条件控制可消费范围。</w:t>
      </w:r>
    </w:p>
    <w:p w14:paraId="116D7B66">
      <w:pPr>
        <w:ind w:firstLine="482"/>
        <w:rPr>
          <w:rFonts w:hint="eastAsia"/>
          <w:color w:val="000000"/>
        </w:rPr>
      </w:pPr>
      <w:r>
        <w:rPr>
          <w:rFonts w:hint="eastAsia" w:ascii="Songti SC" w:hAnsi="Songti SC" w:eastAsia="Songti SC" w:cs="Songti SC"/>
          <w:b/>
          <w:color w:val="000000"/>
        </w:rPr>
        <w:t>1.改造</w:t>
      </w:r>
      <w:r>
        <w:rPr>
          <w:rFonts w:ascii="Songti SC" w:hAnsi="Songti SC" w:eastAsia="Songti SC" w:cs="Songti SC"/>
          <w:b/>
          <w:color w:val="000000"/>
        </w:rPr>
        <w:t>内容</w:t>
      </w:r>
    </w:p>
    <w:p w14:paraId="3023A3D0">
      <w:pPr>
        <w:ind w:firstLine="480"/>
        <w:rPr>
          <w:rFonts w:hint="eastAsia"/>
          <w:color w:val="000000"/>
        </w:rPr>
      </w:pPr>
      <w:r>
        <w:rPr>
          <w:rFonts w:ascii="Songti SC" w:hAnsi="Songti SC" w:eastAsia="Songti SC" w:cs="Songti SC"/>
          <w:color w:val="000000"/>
        </w:rPr>
        <w:t>配置不同身份类别的可用餐厅、餐次、消费限额和补贴规则。</w:t>
      </w:r>
    </w:p>
    <w:p w14:paraId="62503F66">
      <w:pPr>
        <w:ind w:firstLine="480"/>
        <w:rPr>
          <w:rFonts w:hint="eastAsia"/>
          <w:color w:val="000000"/>
        </w:rPr>
      </w:pPr>
      <w:r>
        <w:rPr>
          <w:rFonts w:ascii="Songti SC" w:hAnsi="Songti SC" w:eastAsia="Songti SC" w:cs="Songti SC"/>
          <w:color w:val="000000"/>
        </w:rPr>
        <w:t>配置挂失、离职、过期、冻结、余额不足等状态的消费限制。</w:t>
      </w:r>
    </w:p>
    <w:p w14:paraId="3B9D07EB">
      <w:pPr>
        <w:ind w:firstLine="480"/>
        <w:rPr>
          <w:rFonts w:hint="eastAsia"/>
          <w:color w:val="000000"/>
        </w:rPr>
      </w:pPr>
      <w:r>
        <w:rPr>
          <w:rFonts w:ascii="Songti SC" w:hAnsi="Songti SC" w:eastAsia="Songti SC" w:cs="Songti SC"/>
          <w:color w:val="000000"/>
        </w:rPr>
        <w:t>支持白名单、黑名单或特殊人员规则。</w:t>
      </w:r>
    </w:p>
    <w:p w14:paraId="12459060">
      <w:pPr>
        <w:ind w:firstLine="482"/>
        <w:rPr>
          <w:rFonts w:hint="eastAsia"/>
          <w:color w:val="000000"/>
        </w:rPr>
      </w:pPr>
      <w:r>
        <w:rPr>
          <w:rFonts w:hint="eastAsia" w:ascii="Songti SC" w:hAnsi="Songti SC" w:eastAsia="Songti SC" w:cs="Songti SC"/>
          <w:b/>
          <w:color w:val="000000"/>
        </w:rPr>
        <w:t>2.</w:t>
      </w:r>
      <w:r>
        <w:rPr>
          <w:rFonts w:ascii="Songti SC" w:hAnsi="Songti SC" w:eastAsia="Songti SC" w:cs="Songti SC"/>
          <w:b/>
          <w:color w:val="000000"/>
        </w:rPr>
        <w:t>适配做法</w:t>
      </w:r>
    </w:p>
    <w:p w14:paraId="11C069BA">
      <w:pPr>
        <w:ind w:firstLine="480"/>
        <w:rPr>
          <w:rFonts w:hint="eastAsia"/>
          <w:color w:val="000000"/>
        </w:rPr>
      </w:pPr>
      <w:r>
        <w:rPr>
          <w:rFonts w:ascii="Songti SC" w:hAnsi="Songti SC" w:eastAsia="Songti SC" w:cs="Songti SC"/>
          <w:color w:val="000000"/>
        </w:rPr>
        <w:t>身份类别作为消费策略匹配字段，不与后台操作角色混用。</w:t>
      </w:r>
    </w:p>
    <w:p w14:paraId="1DA4B68D">
      <w:pPr>
        <w:ind w:firstLine="480"/>
        <w:rPr>
          <w:rFonts w:hint="eastAsia"/>
          <w:color w:val="000000"/>
        </w:rPr>
      </w:pPr>
      <w:r>
        <w:rPr>
          <w:rFonts w:ascii="Songti SC" w:hAnsi="Songti SC" w:eastAsia="Songti SC" w:cs="Songti SC"/>
          <w:color w:val="000000"/>
        </w:rPr>
        <w:t>策略变更后通过版本号同步消费机和后台服务，保证判断口径一致。</w:t>
      </w:r>
    </w:p>
    <w:p w14:paraId="52FBF89E">
      <w:pPr>
        <w:pStyle w:val="5"/>
        <w:rPr>
          <w:rFonts w:hint="eastAsia"/>
          <w:color w:val="000000"/>
        </w:rPr>
      </w:pPr>
      <w:r>
        <w:rPr>
          <w:rFonts w:ascii="Songti SC" w:hAnsi="Songti SC" w:eastAsia="Songti SC" w:cs="Songti SC"/>
          <w:color w:val="000000"/>
        </w:rPr>
        <w:t>操作员权限配置</w:t>
      </w:r>
    </w:p>
    <w:p w14:paraId="277DA47C">
      <w:pPr>
        <w:ind w:firstLine="480"/>
        <w:rPr>
          <w:rFonts w:hint="eastAsia"/>
          <w:color w:val="000000"/>
        </w:rPr>
      </w:pPr>
      <w:r>
        <w:rPr>
          <w:rFonts w:ascii="Songti SC" w:hAnsi="Songti SC" w:eastAsia="Songti SC" w:cs="Songti SC"/>
          <w:color w:val="000000"/>
        </w:rPr>
        <w:t>操作员权限配置用于控制管理人员可办理的消费相关事项。</w:t>
      </w:r>
    </w:p>
    <w:p w14:paraId="1A1BEFC8">
      <w:pPr>
        <w:ind w:firstLine="482"/>
        <w:rPr>
          <w:rFonts w:hint="eastAsia"/>
          <w:color w:val="000000"/>
        </w:rPr>
      </w:pPr>
      <w:r>
        <w:rPr>
          <w:rFonts w:hint="eastAsia" w:ascii="Songti SC" w:hAnsi="Songti SC" w:eastAsia="Songti SC" w:cs="Songti SC"/>
          <w:b/>
          <w:color w:val="000000"/>
        </w:rPr>
        <w:t>1.改造</w:t>
      </w:r>
      <w:r>
        <w:rPr>
          <w:rFonts w:ascii="Songti SC" w:hAnsi="Songti SC" w:eastAsia="Songti SC" w:cs="Songti SC"/>
          <w:b/>
          <w:color w:val="000000"/>
        </w:rPr>
        <w:t>内容</w:t>
      </w:r>
    </w:p>
    <w:p w14:paraId="3CCA911E">
      <w:pPr>
        <w:ind w:firstLine="480"/>
        <w:rPr>
          <w:rFonts w:hint="eastAsia"/>
          <w:color w:val="000000"/>
        </w:rPr>
      </w:pPr>
      <w:r>
        <w:rPr>
          <w:rFonts w:ascii="Songti SC" w:hAnsi="Songti SC" w:eastAsia="Songti SC" w:cs="Songti SC"/>
          <w:color w:val="000000"/>
        </w:rPr>
        <w:t>消费策略、餐次、菜品价格、消费机参数等敏感配置按角色授权。</w:t>
      </w:r>
    </w:p>
    <w:p w14:paraId="422DEDFC">
      <w:pPr>
        <w:ind w:firstLine="480"/>
        <w:rPr>
          <w:rFonts w:hint="eastAsia"/>
          <w:color w:val="000000"/>
        </w:rPr>
      </w:pPr>
      <w:r>
        <w:rPr>
          <w:rFonts w:ascii="Songti SC" w:hAnsi="Songti SC" w:eastAsia="Songti SC" w:cs="Songti SC"/>
          <w:color w:val="000000"/>
        </w:rPr>
        <w:t>按办公区或餐厅限制操作员可管理范围。</w:t>
      </w:r>
    </w:p>
    <w:p w14:paraId="770FBE53">
      <w:pPr>
        <w:ind w:firstLine="480"/>
        <w:rPr>
          <w:rFonts w:hint="eastAsia"/>
          <w:color w:val="000000"/>
        </w:rPr>
      </w:pPr>
      <w:r>
        <w:rPr>
          <w:rFonts w:ascii="Songti SC" w:hAnsi="Songti SC" w:eastAsia="Songti SC" w:cs="Songti SC"/>
          <w:color w:val="000000"/>
        </w:rPr>
        <w:t>对配置变更设置操作记录和影响范围说明。</w:t>
      </w:r>
    </w:p>
    <w:p w14:paraId="320577EE">
      <w:pPr>
        <w:ind w:firstLine="482"/>
        <w:rPr>
          <w:rFonts w:hint="eastAsia"/>
          <w:color w:val="000000"/>
        </w:rPr>
      </w:pPr>
      <w:r>
        <w:rPr>
          <w:rFonts w:hint="eastAsia" w:ascii="Songti SC" w:hAnsi="Songti SC" w:eastAsia="Songti SC" w:cs="Songti SC"/>
          <w:b/>
          <w:color w:val="000000"/>
        </w:rPr>
        <w:t>2.</w:t>
      </w:r>
      <w:r>
        <w:rPr>
          <w:rFonts w:ascii="Songti SC" w:hAnsi="Songti SC" w:eastAsia="Songti SC" w:cs="Songti SC"/>
          <w:b/>
          <w:color w:val="000000"/>
        </w:rPr>
        <w:t>适配做法</w:t>
      </w:r>
    </w:p>
    <w:p w14:paraId="16D6B004">
      <w:pPr>
        <w:ind w:firstLine="480"/>
        <w:rPr>
          <w:rFonts w:hint="eastAsia"/>
          <w:color w:val="000000"/>
        </w:rPr>
      </w:pPr>
      <w:r>
        <w:rPr>
          <w:rFonts w:ascii="Songti SC" w:hAnsi="Songti SC" w:eastAsia="Songti SC" w:cs="Songti SC"/>
          <w:color w:val="000000"/>
        </w:rPr>
        <w:t>升级后重新梳理历史权限，减少长期累积的过度授权。</w:t>
      </w:r>
    </w:p>
    <w:p w14:paraId="452B5907">
      <w:pPr>
        <w:ind w:firstLine="480"/>
        <w:rPr>
          <w:rFonts w:hint="eastAsia"/>
          <w:color w:val="000000"/>
        </w:rPr>
      </w:pPr>
      <w:r>
        <w:rPr>
          <w:rFonts w:ascii="Songti SC" w:hAnsi="Songti SC" w:eastAsia="Songti SC" w:cs="Songti SC"/>
          <w:color w:val="000000"/>
        </w:rPr>
        <w:t>导入、导出、批量调整、参数下发等动作纳入日志审计。</w:t>
      </w:r>
    </w:p>
    <w:p w14:paraId="2B0337A3">
      <w:pPr>
        <w:pStyle w:val="5"/>
        <w:rPr>
          <w:rFonts w:hint="eastAsia"/>
          <w:color w:val="000000"/>
        </w:rPr>
      </w:pPr>
      <w:r>
        <w:rPr>
          <w:rFonts w:ascii="Songti SC" w:hAnsi="Songti SC" w:eastAsia="Songti SC" w:cs="Songti SC"/>
          <w:color w:val="000000"/>
        </w:rPr>
        <w:t>消费策略配置</w:t>
      </w:r>
    </w:p>
    <w:p w14:paraId="357A36BE">
      <w:pPr>
        <w:ind w:firstLine="480"/>
        <w:rPr>
          <w:rFonts w:hint="eastAsia"/>
          <w:color w:val="000000"/>
        </w:rPr>
      </w:pPr>
      <w:r>
        <w:rPr>
          <w:rFonts w:ascii="Songti SC" w:hAnsi="Songti SC" w:eastAsia="Songti SC" w:cs="Songti SC"/>
          <w:color w:val="000000"/>
        </w:rPr>
        <w:t>消费策略配置用于综合身份类别、餐次、餐厅、消费方式、余额和补贴规则，形成统一扣款判断。</w:t>
      </w:r>
    </w:p>
    <w:p w14:paraId="2C92D84A">
      <w:pPr>
        <w:ind w:firstLine="482"/>
        <w:rPr>
          <w:rFonts w:hint="eastAsia"/>
          <w:color w:val="000000"/>
        </w:rPr>
      </w:pPr>
      <w:r>
        <w:rPr>
          <w:rFonts w:hint="eastAsia" w:ascii="Songti SC" w:hAnsi="Songti SC" w:eastAsia="Songti SC" w:cs="Songti SC"/>
          <w:b/>
          <w:color w:val="000000"/>
        </w:rPr>
        <w:t>1.改造</w:t>
      </w:r>
      <w:r>
        <w:rPr>
          <w:rFonts w:ascii="Songti SC" w:hAnsi="Songti SC" w:eastAsia="Songti SC" w:cs="Songti SC"/>
          <w:b/>
          <w:color w:val="000000"/>
        </w:rPr>
        <w:t>内容</w:t>
      </w:r>
    </w:p>
    <w:p w14:paraId="18804A61">
      <w:pPr>
        <w:ind w:firstLine="480"/>
        <w:rPr>
          <w:rFonts w:hint="eastAsia"/>
          <w:color w:val="000000"/>
        </w:rPr>
      </w:pPr>
      <w:r>
        <w:rPr>
          <w:rFonts w:ascii="Songti SC" w:hAnsi="Songti SC" w:eastAsia="Songti SC" w:cs="Songti SC"/>
          <w:color w:val="000000"/>
        </w:rPr>
        <w:t>支持按身份类别设置消费限额、每日次数、餐次限制和可用支付方式。</w:t>
      </w:r>
    </w:p>
    <w:p w14:paraId="0CB22742">
      <w:pPr>
        <w:ind w:firstLine="480"/>
        <w:rPr>
          <w:rFonts w:hint="eastAsia"/>
          <w:color w:val="000000"/>
        </w:rPr>
      </w:pPr>
      <w:r>
        <w:rPr>
          <w:rFonts w:ascii="Songti SC" w:hAnsi="Songti SC" w:eastAsia="Songti SC" w:cs="Songti SC"/>
          <w:color w:val="000000"/>
        </w:rPr>
        <w:t>支持按菜品、或餐厅设置特殊价格和补贴规则。</w:t>
      </w:r>
    </w:p>
    <w:p w14:paraId="2998D569">
      <w:pPr>
        <w:ind w:firstLine="480"/>
        <w:rPr>
          <w:rFonts w:hint="eastAsia"/>
          <w:color w:val="000000"/>
        </w:rPr>
      </w:pPr>
      <w:r>
        <w:rPr>
          <w:rFonts w:ascii="Songti SC" w:hAnsi="Songti SC" w:eastAsia="Songti SC" w:cs="Songti SC"/>
          <w:color w:val="000000"/>
        </w:rPr>
        <w:t>支持规则启停、版本管理和生效时间。</w:t>
      </w:r>
    </w:p>
    <w:p w14:paraId="673FED17">
      <w:pPr>
        <w:ind w:firstLine="482"/>
        <w:rPr>
          <w:rFonts w:hint="eastAsia"/>
          <w:color w:val="000000"/>
        </w:rPr>
      </w:pPr>
      <w:r>
        <w:rPr>
          <w:rFonts w:hint="eastAsia" w:ascii="Songti SC" w:hAnsi="Songti SC" w:eastAsia="Songti SC" w:cs="Songti SC"/>
          <w:b/>
          <w:color w:val="000000"/>
        </w:rPr>
        <w:t>2.</w:t>
      </w:r>
      <w:r>
        <w:rPr>
          <w:rFonts w:ascii="Songti SC" w:hAnsi="Songti SC" w:eastAsia="Songti SC" w:cs="Songti SC"/>
          <w:b/>
          <w:color w:val="000000"/>
        </w:rPr>
        <w:t>适配做法</w:t>
      </w:r>
    </w:p>
    <w:p w14:paraId="1A77844B">
      <w:pPr>
        <w:ind w:firstLine="480"/>
        <w:rPr>
          <w:rFonts w:hint="eastAsia"/>
          <w:color w:val="000000"/>
        </w:rPr>
      </w:pPr>
      <w:r>
        <w:rPr>
          <w:rFonts w:ascii="Songti SC" w:hAnsi="Songti SC" w:eastAsia="Songti SC" w:cs="Songti SC"/>
          <w:color w:val="000000"/>
        </w:rPr>
        <w:t>策略在数据库中保持版本化，历史订单关联当时生效策略。</w:t>
      </w:r>
    </w:p>
    <w:p w14:paraId="761AEB2A">
      <w:pPr>
        <w:ind w:firstLine="480"/>
        <w:rPr>
          <w:rFonts w:hint="eastAsia"/>
          <w:color w:val="000000"/>
        </w:rPr>
      </w:pPr>
      <w:r>
        <w:rPr>
          <w:rFonts w:ascii="Songti SC" w:hAnsi="Songti SC" w:eastAsia="Songti SC" w:cs="Songti SC"/>
          <w:color w:val="000000"/>
        </w:rPr>
        <w:t>策略变更后先进行模拟校验，避免影响大范围现场消费。</w:t>
      </w:r>
    </w:p>
    <w:p w14:paraId="01BC93C3">
      <w:pPr>
        <w:pStyle w:val="4"/>
        <w:rPr>
          <w:rFonts w:hint="eastAsia"/>
          <w:color w:val="000000"/>
        </w:rPr>
      </w:pPr>
      <w:bookmarkStart w:id="344" w:name="_Toc846368701"/>
      <w:bookmarkStart w:id="345" w:name="_Toc354105467"/>
      <w:bookmarkStart w:id="346" w:name="_Toc1419497709"/>
      <w:r>
        <w:rPr>
          <w:rFonts w:ascii="Songti SC" w:hAnsi="Songti SC" w:eastAsia="Songti SC" w:cs="Songti SC"/>
          <w:color w:val="000000"/>
        </w:rPr>
        <w:t>财务管理系统改造</w:t>
      </w:r>
      <w:bookmarkEnd w:id="344"/>
      <w:bookmarkEnd w:id="345"/>
      <w:bookmarkEnd w:id="346"/>
    </w:p>
    <w:p w14:paraId="3A7D49BA">
      <w:pPr>
        <w:pStyle w:val="5"/>
        <w:rPr>
          <w:rFonts w:hint="eastAsia"/>
          <w:color w:val="000000"/>
        </w:rPr>
      </w:pPr>
      <w:r>
        <w:rPr>
          <w:rFonts w:ascii="Songti SC" w:hAnsi="Songti SC" w:eastAsia="Songti SC" w:cs="Songti SC"/>
          <w:color w:val="000000"/>
        </w:rPr>
        <w:t>充值管理</w:t>
      </w:r>
    </w:p>
    <w:p w14:paraId="73822CA7">
      <w:pPr>
        <w:ind w:firstLine="480"/>
        <w:rPr>
          <w:rFonts w:hint="eastAsia"/>
          <w:color w:val="000000"/>
        </w:rPr>
      </w:pPr>
      <w:r>
        <w:rPr>
          <w:rFonts w:ascii="Songti SC" w:hAnsi="Songti SC" w:eastAsia="Songti SC" w:cs="Songti SC"/>
          <w:color w:val="000000"/>
        </w:rPr>
        <w:t>充值管理用于处理后台手动充值、线下收款入账、充值查询和充值冲正等业务。</w:t>
      </w:r>
    </w:p>
    <w:p w14:paraId="63F7E978">
      <w:pPr>
        <w:ind w:firstLine="482"/>
        <w:rPr>
          <w:rFonts w:hint="eastAsia"/>
          <w:color w:val="000000"/>
        </w:rPr>
      </w:pPr>
      <w:r>
        <w:rPr>
          <w:rFonts w:hint="eastAsia" w:ascii="Songti SC" w:hAnsi="Songti SC" w:eastAsia="Songti SC" w:cs="Songti SC"/>
          <w:b/>
          <w:color w:val="000000"/>
        </w:rPr>
        <w:t>1.改造</w:t>
      </w:r>
      <w:r>
        <w:rPr>
          <w:rFonts w:ascii="Songti SC" w:hAnsi="Songti SC" w:eastAsia="Songti SC" w:cs="Songti SC"/>
          <w:b/>
          <w:color w:val="000000"/>
        </w:rPr>
        <w:t>内容</w:t>
      </w:r>
    </w:p>
    <w:p w14:paraId="38C48287">
      <w:pPr>
        <w:ind w:firstLine="480"/>
        <w:rPr>
          <w:rFonts w:hint="eastAsia"/>
          <w:color w:val="000000"/>
        </w:rPr>
      </w:pPr>
      <w:r>
        <w:rPr>
          <w:rFonts w:ascii="Songti SC" w:hAnsi="Songti SC" w:eastAsia="Songti SC" w:cs="Songti SC"/>
          <w:color w:val="000000"/>
        </w:rPr>
        <w:t>支持按人员、账户、金额、支付方式、备注办理充值。</w:t>
      </w:r>
    </w:p>
    <w:p w14:paraId="65D03807">
      <w:pPr>
        <w:ind w:firstLine="480"/>
        <w:rPr>
          <w:rFonts w:hint="eastAsia"/>
          <w:color w:val="000000"/>
        </w:rPr>
      </w:pPr>
      <w:r>
        <w:rPr>
          <w:rFonts w:ascii="Songti SC" w:hAnsi="Songti SC" w:eastAsia="Songti SC" w:cs="Songti SC"/>
          <w:color w:val="000000"/>
        </w:rPr>
        <w:t>充值后生成账户流水，更新余额，并可在小程序端查询。</w:t>
      </w:r>
    </w:p>
    <w:p w14:paraId="00024D39">
      <w:pPr>
        <w:ind w:firstLine="480"/>
        <w:rPr>
          <w:rFonts w:hint="eastAsia"/>
          <w:color w:val="000000"/>
        </w:rPr>
      </w:pPr>
      <w:r>
        <w:rPr>
          <w:rFonts w:ascii="Songti SC" w:hAnsi="Songti SC" w:eastAsia="Songti SC" w:cs="Songti SC"/>
          <w:color w:val="000000"/>
        </w:rPr>
        <w:t>充值记录支持按日期、人员、部门、操作员和支付方式查询。</w:t>
      </w:r>
    </w:p>
    <w:p w14:paraId="73592DAA">
      <w:pPr>
        <w:ind w:firstLine="482"/>
        <w:rPr>
          <w:rFonts w:hint="eastAsia"/>
          <w:color w:val="000000"/>
        </w:rPr>
      </w:pPr>
      <w:r>
        <w:rPr>
          <w:rFonts w:hint="eastAsia" w:ascii="Songti SC" w:hAnsi="Songti SC" w:eastAsia="Songti SC" w:cs="Songti SC"/>
          <w:b/>
          <w:color w:val="000000"/>
        </w:rPr>
        <w:t>2.</w:t>
      </w:r>
      <w:r>
        <w:rPr>
          <w:rFonts w:ascii="Songti SC" w:hAnsi="Songti SC" w:eastAsia="Songti SC" w:cs="Songti SC"/>
          <w:b/>
          <w:color w:val="000000"/>
        </w:rPr>
        <w:t>适配做法</w:t>
      </w:r>
    </w:p>
    <w:p w14:paraId="3F39C82C">
      <w:pPr>
        <w:ind w:firstLine="480"/>
        <w:rPr>
          <w:rFonts w:hint="eastAsia"/>
          <w:color w:val="000000"/>
        </w:rPr>
      </w:pPr>
      <w:r>
        <w:rPr>
          <w:rFonts w:ascii="Songti SC" w:hAnsi="Songti SC" w:eastAsia="Songti SC" w:cs="Songti SC"/>
          <w:color w:val="000000"/>
        </w:rPr>
        <w:t>数据库下统一金额精度和事务处理，确保充值记录和余额更新同时成功或同时失败。</w:t>
      </w:r>
    </w:p>
    <w:p w14:paraId="26C11987">
      <w:pPr>
        <w:ind w:firstLine="480"/>
        <w:rPr>
          <w:rFonts w:hint="eastAsia"/>
          <w:color w:val="000000"/>
        </w:rPr>
      </w:pPr>
      <w:r>
        <w:rPr>
          <w:rFonts w:ascii="Songti SC" w:hAnsi="Songti SC" w:eastAsia="Songti SC" w:cs="Songti SC"/>
          <w:color w:val="000000"/>
        </w:rPr>
        <w:t>充值操作纳入审计日志，防止账务记录无法追溯。</w:t>
      </w:r>
    </w:p>
    <w:p w14:paraId="58FD05D7">
      <w:pPr>
        <w:pStyle w:val="5"/>
        <w:rPr>
          <w:rFonts w:hint="eastAsia"/>
          <w:color w:val="000000"/>
        </w:rPr>
      </w:pPr>
      <w:r>
        <w:rPr>
          <w:rFonts w:ascii="Songti SC" w:hAnsi="Songti SC" w:eastAsia="Songti SC" w:cs="Songti SC"/>
          <w:color w:val="000000"/>
        </w:rPr>
        <w:t>批量充值</w:t>
      </w:r>
    </w:p>
    <w:p w14:paraId="7DD5F2FA">
      <w:pPr>
        <w:ind w:firstLine="480"/>
        <w:rPr>
          <w:rFonts w:hint="eastAsia"/>
          <w:color w:val="000000"/>
        </w:rPr>
      </w:pPr>
      <w:r>
        <w:rPr>
          <w:rFonts w:ascii="Songti SC" w:hAnsi="Songti SC" w:eastAsia="Songti SC" w:cs="Songti SC"/>
          <w:color w:val="000000"/>
        </w:rPr>
        <w:t>批量充值用于处理集中充值、补录充值和批量账户调整。</w:t>
      </w:r>
    </w:p>
    <w:p w14:paraId="13D753EA">
      <w:pPr>
        <w:ind w:firstLine="482"/>
        <w:rPr>
          <w:rFonts w:hint="eastAsia"/>
          <w:color w:val="000000"/>
        </w:rPr>
      </w:pPr>
      <w:r>
        <w:rPr>
          <w:rFonts w:hint="eastAsia" w:ascii="Songti SC" w:hAnsi="Songti SC" w:eastAsia="Songti SC" w:cs="Songti SC"/>
          <w:b/>
          <w:color w:val="000000"/>
        </w:rPr>
        <w:t>1.改造</w:t>
      </w:r>
      <w:r>
        <w:rPr>
          <w:rFonts w:ascii="Songti SC" w:hAnsi="Songti SC" w:eastAsia="Songti SC" w:cs="Songti SC"/>
          <w:b/>
          <w:color w:val="000000"/>
        </w:rPr>
        <w:t>内容</w:t>
      </w:r>
    </w:p>
    <w:p w14:paraId="46BAEB7C">
      <w:pPr>
        <w:ind w:firstLine="480"/>
        <w:rPr>
          <w:rFonts w:hint="eastAsia"/>
          <w:color w:val="000000"/>
        </w:rPr>
      </w:pPr>
      <w:r>
        <w:rPr>
          <w:rFonts w:ascii="Songti SC" w:hAnsi="Songti SC" w:eastAsia="Songti SC" w:cs="Songti SC"/>
          <w:color w:val="000000"/>
        </w:rPr>
        <w:t>提供批量充值模板，明确人员编号、金额、业务说明和备注。</w:t>
      </w:r>
    </w:p>
    <w:p w14:paraId="0BE8C5B9">
      <w:pPr>
        <w:ind w:firstLine="480"/>
        <w:rPr>
          <w:rFonts w:hint="eastAsia"/>
          <w:color w:val="000000"/>
        </w:rPr>
      </w:pPr>
      <w:r>
        <w:rPr>
          <w:rFonts w:ascii="Songti SC" w:hAnsi="Songti SC" w:eastAsia="Songti SC" w:cs="Songti SC"/>
          <w:color w:val="000000"/>
        </w:rPr>
        <w:t>导入前校验人员存在、账户状态正常、金额格式正确、重复记录可识别。</w:t>
      </w:r>
    </w:p>
    <w:p w14:paraId="7BF5FD3B">
      <w:pPr>
        <w:ind w:firstLine="480"/>
        <w:rPr>
          <w:rFonts w:hint="eastAsia"/>
          <w:color w:val="000000"/>
        </w:rPr>
      </w:pPr>
      <w:r>
        <w:rPr>
          <w:rFonts w:ascii="Songti SC" w:hAnsi="Songti SC" w:eastAsia="Songti SC" w:cs="Songti SC"/>
          <w:color w:val="000000"/>
        </w:rPr>
        <w:t>处理后形成成功清单和失败清单。</w:t>
      </w:r>
    </w:p>
    <w:p w14:paraId="2700B506">
      <w:pPr>
        <w:ind w:firstLine="482"/>
        <w:rPr>
          <w:rFonts w:hint="eastAsia"/>
          <w:color w:val="000000"/>
        </w:rPr>
      </w:pPr>
      <w:r>
        <w:rPr>
          <w:rFonts w:hint="eastAsia" w:ascii="Songti SC" w:hAnsi="Songti SC" w:eastAsia="Songti SC" w:cs="Songti SC"/>
          <w:b/>
          <w:color w:val="000000"/>
        </w:rPr>
        <w:t>2.</w:t>
      </w:r>
      <w:r>
        <w:rPr>
          <w:rFonts w:ascii="Songti SC" w:hAnsi="Songti SC" w:eastAsia="Songti SC" w:cs="Songti SC"/>
          <w:b/>
          <w:color w:val="000000"/>
        </w:rPr>
        <w:t>适配做法</w:t>
      </w:r>
    </w:p>
    <w:p w14:paraId="612D72EE">
      <w:pPr>
        <w:ind w:firstLine="480"/>
        <w:rPr>
          <w:rFonts w:hint="eastAsia"/>
          <w:color w:val="000000"/>
        </w:rPr>
      </w:pPr>
      <w:r>
        <w:rPr>
          <w:rFonts w:ascii="Songti SC" w:hAnsi="Songti SC" w:eastAsia="Songti SC" w:cs="Songti SC"/>
          <w:color w:val="000000"/>
        </w:rPr>
        <w:t>批量任务后台分批执行，避免大文件一次性写入影响系统。</w:t>
      </w:r>
    </w:p>
    <w:p w14:paraId="279F06CE">
      <w:pPr>
        <w:ind w:firstLine="480"/>
        <w:rPr>
          <w:rFonts w:hint="eastAsia"/>
          <w:color w:val="000000"/>
        </w:rPr>
      </w:pPr>
      <w:r>
        <w:rPr>
          <w:rFonts w:ascii="Songti SC" w:hAnsi="Songti SC" w:eastAsia="Songti SC" w:cs="Songti SC"/>
          <w:color w:val="000000"/>
        </w:rPr>
        <w:t>批量充值每条记录独立生成流水，便于后续对账和查询。</w:t>
      </w:r>
    </w:p>
    <w:p w14:paraId="1AD4C75C">
      <w:pPr>
        <w:pStyle w:val="5"/>
        <w:rPr>
          <w:rFonts w:hint="eastAsia"/>
          <w:color w:val="000000"/>
        </w:rPr>
      </w:pPr>
      <w:r>
        <w:rPr>
          <w:rFonts w:ascii="Songti SC" w:hAnsi="Songti SC" w:eastAsia="Songti SC" w:cs="Songti SC"/>
          <w:color w:val="000000"/>
        </w:rPr>
        <w:t>自动充值</w:t>
      </w:r>
    </w:p>
    <w:p w14:paraId="6FF0C293">
      <w:pPr>
        <w:ind w:firstLine="480"/>
        <w:rPr>
          <w:rFonts w:hint="eastAsia"/>
          <w:color w:val="000000"/>
        </w:rPr>
      </w:pPr>
      <w:r>
        <w:rPr>
          <w:rFonts w:ascii="Songti SC" w:hAnsi="Songti SC" w:eastAsia="Songti SC" w:cs="Songti SC"/>
          <w:color w:val="000000"/>
        </w:rPr>
        <w:t>自动充值主要支撑小程序端线上充值与工商银行交互后的自动入账。</w:t>
      </w:r>
    </w:p>
    <w:p w14:paraId="02657D6A">
      <w:pPr>
        <w:ind w:firstLine="482"/>
        <w:rPr>
          <w:rFonts w:hint="eastAsia"/>
          <w:color w:val="000000"/>
        </w:rPr>
      </w:pPr>
      <w:r>
        <w:rPr>
          <w:rFonts w:hint="eastAsia" w:ascii="Songti SC" w:hAnsi="Songti SC" w:eastAsia="Songti SC" w:cs="Songti SC"/>
          <w:b/>
          <w:color w:val="000000"/>
        </w:rPr>
        <w:t>1.改造</w:t>
      </w:r>
      <w:r>
        <w:rPr>
          <w:rFonts w:ascii="Songti SC" w:hAnsi="Songti SC" w:eastAsia="Songti SC" w:cs="Songti SC"/>
          <w:b/>
          <w:color w:val="000000"/>
        </w:rPr>
        <w:t>内容</w:t>
      </w:r>
    </w:p>
    <w:p w14:paraId="0A88F04D">
      <w:pPr>
        <w:ind w:firstLine="480"/>
        <w:rPr>
          <w:rFonts w:hint="eastAsia"/>
          <w:color w:val="000000"/>
        </w:rPr>
      </w:pPr>
      <w:r>
        <w:rPr>
          <w:rFonts w:ascii="Songti SC" w:hAnsi="Songti SC" w:eastAsia="Songti SC" w:cs="Songti SC"/>
          <w:color w:val="000000"/>
        </w:rPr>
        <w:t>小程序端发起充值订单，平台生成订单号并提交交互链路。</w:t>
      </w:r>
    </w:p>
    <w:p w14:paraId="42777492">
      <w:pPr>
        <w:ind w:firstLine="480"/>
        <w:rPr>
          <w:rFonts w:hint="eastAsia"/>
          <w:color w:val="000000"/>
        </w:rPr>
      </w:pPr>
      <w:r>
        <w:rPr>
          <w:rFonts w:ascii="Songti SC" w:hAnsi="Songti SC" w:eastAsia="Songti SC" w:cs="Songti SC"/>
          <w:color w:val="000000"/>
        </w:rPr>
        <w:t>银行处理完成后通过回调或回查更新订单状态。</w:t>
      </w:r>
    </w:p>
    <w:p w14:paraId="7BBFD127">
      <w:pPr>
        <w:ind w:firstLine="480"/>
        <w:rPr>
          <w:rFonts w:hint="eastAsia"/>
          <w:color w:val="000000"/>
        </w:rPr>
      </w:pPr>
      <w:r>
        <w:rPr>
          <w:rFonts w:ascii="Songti SC" w:hAnsi="Songti SC" w:eastAsia="Songti SC" w:cs="Songti SC"/>
          <w:color w:val="000000"/>
        </w:rPr>
        <w:t>成功订单自动入账，失败或超时订单进入异常处理。</w:t>
      </w:r>
    </w:p>
    <w:p w14:paraId="08C7CB12">
      <w:pPr>
        <w:ind w:firstLine="482"/>
        <w:rPr>
          <w:rFonts w:hint="eastAsia"/>
          <w:color w:val="000000"/>
        </w:rPr>
      </w:pPr>
      <w:r>
        <w:rPr>
          <w:rFonts w:hint="eastAsia" w:ascii="Songti SC" w:hAnsi="Songti SC" w:eastAsia="Songti SC" w:cs="Songti SC"/>
          <w:b/>
          <w:color w:val="000000"/>
        </w:rPr>
        <w:t>2.</w:t>
      </w:r>
      <w:r>
        <w:rPr>
          <w:rFonts w:ascii="Songti SC" w:hAnsi="Songti SC" w:eastAsia="Songti SC" w:cs="Songti SC"/>
          <w:b/>
          <w:color w:val="000000"/>
        </w:rPr>
        <w:t>适配做法</w:t>
      </w:r>
    </w:p>
    <w:p w14:paraId="73C6156D">
      <w:pPr>
        <w:ind w:firstLine="480"/>
        <w:rPr>
          <w:rFonts w:hint="eastAsia"/>
          <w:color w:val="000000"/>
        </w:rPr>
      </w:pPr>
      <w:r>
        <w:rPr>
          <w:rFonts w:ascii="Songti SC" w:hAnsi="Songti SC" w:eastAsia="Songti SC" w:cs="Songti SC"/>
          <w:color w:val="000000"/>
        </w:rPr>
        <w:t>与大数据平台和前置库保持既有交互边界，重点适配新环境网络、证书、接口地址、日志和超时配置。</w:t>
      </w:r>
    </w:p>
    <w:p w14:paraId="1130F707">
      <w:pPr>
        <w:ind w:firstLine="480"/>
        <w:rPr>
          <w:rFonts w:hint="eastAsia"/>
          <w:color w:val="000000"/>
        </w:rPr>
      </w:pPr>
      <w:r>
        <w:rPr>
          <w:rFonts w:ascii="Songti SC" w:hAnsi="Songti SC" w:eastAsia="Songti SC" w:cs="Songti SC"/>
          <w:color w:val="000000"/>
        </w:rPr>
        <w:t>充值订单设置状态机，避免重复回调重复入账。</w:t>
      </w:r>
    </w:p>
    <w:p w14:paraId="1E8187E9">
      <w:pPr>
        <w:ind w:firstLine="480"/>
        <w:rPr>
          <w:rFonts w:hint="eastAsia"/>
          <w:color w:val="000000"/>
        </w:rPr>
      </w:pPr>
      <w:r>
        <w:rPr>
          <w:rFonts w:ascii="Songti SC" w:hAnsi="Songti SC" w:eastAsia="Songti SC" w:cs="Songti SC"/>
          <w:color w:val="000000"/>
        </w:rPr>
        <w:t>对未收到回调订单进行定时回查和对账。</w:t>
      </w:r>
    </w:p>
    <w:p w14:paraId="6A47AA3E">
      <w:pPr>
        <w:pStyle w:val="5"/>
        <w:rPr>
          <w:rFonts w:hint="eastAsia"/>
          <w:color w:val="000000"/>
        </w:rPr>
      </w:pPr>
      <w:r>
        <w:rPr>
          <w:rFonts w:ascii="Songti SC" w:hAnsi="Songti SC" w:eastAsia="Songti SC" w:cs="Songti SC"/>
          <w:color w:val="000000"/>
        </w:rPr>
        <w:t>现金退款管理</w:t>
      </w:r>
    </w:p>
    <w:p w14:paraId="5A5AF9FE">
      <w:pPr>
        <w:ind w:firstLine="480"/>
        <w:rPr>
          <w:rFonts w:hint="eastAsia"/>
          <w:color w:val="000000"/>
        </w:rPr>
      </w:pPr>
      <w:r>
        <w:rPr>
          <w:rFonts w:ascii="Songti SC" w:hAnsi="Songti SC" w:eastAsia="Songti SC" w:cs="Songti SC"/>
          <w:color w:val="000000"/>
        </w:rPr>
        <w:t>现金退款管理用于处理离职、误充值、异常消费等需要退回余额的场景。</w:t>
      </w:r>
    </w:p>
    <w:p w14:paraId="6F356D92">
      <w:pPr>
        <w:ind w:firstLine="482"/>
        <w:rPr>
          <w:rFonts w:hint="eastAsia"/>
          <w:color w:val="000000"/>
        </w:rPr>
      </w:pPr>
      <w:r>
        <w:rPr>
          <w:rFonts w:hint="eastAsia" w:ascii="Songti SC" w:hAnsi="Songti SC" w:eastAsia="Songti SC" w:cs="Songti SC"/>
          <w:b/>
          <w:color w:val="000000"/>
        </w:rPr>
        <w:t>1.改造</w:t>
      </w:r>
      <w:r>
        <w:rPr>
          <w:rFonts w:ascii="Songti SC" w:hAnsi="Songti SC" w:eastAsia="Songti SC" w:cs="Songti SC"/>
          <w:b/>
          <w:color w:val="000000"/>
        </w:rPr>
        <w:t>内容</w:t>
      </w:r>
    </w:p>
    <w:p w14:paraId="6FB9743F">
      <w:pPr>
        <w:ind w:firstLine="480"/>
        <w:rPr>
          <w:rFonts w:hint="eastAsia"/>
          <w:color w:val="000000"/>
        </w:rPr>
      </w:pPr>
      <w:r>
        <w:rPr>
          <w:rFonts w:ascii="Songti SC" w:hAnsi="Songti SC" w:eastAsia="Songti SC" w:cs="Songti SC"/>
          <w:color w:val="000000"/>
        </w:rPr>
        <w:t>支持提交退款申请、查询退款记录和更新处理状态。</w:t>
      </w:r>
    </w:p>
    <w:p w14:paraId="38AD789E">
      <w:pPr>
        <w:ind w:firstLine="480"/>
        <w:rPr>
          <w:rFonts w:hint="eastAsia"/>
          <w:color w:val="000000"/>
        </w:rPr>
      </w:pPr>
      <w:r>
        <w:rPr>
          <w:rFonts w:ascii="Songti SC" w:hAnsi="Songti SC" w:eastAsia="Songti SC" w:cs="Songti SC"/>
          <w:color w:val="000000"/>
        </w:rPr>
        <w:t>退款前校验账户余额、冻结状态和是否存在未完成订单。</w:t>
      </w:r>
    </w:p>
    <w:p w14:paraId="71F9163E">
      <w:pPr>
        <w:ind w:firstLine="480"/>
        <w:rPr>
          <w:rFonts w:hint="eastAsia"/>
          <w:color w:val="000000"/>
        </w:rPr>
      </w:pPr>
      <w:r>
        <w:rPr>
          <w:rFonts w:ascii="Songti SC" w:hAnsi="Songti SC" w:eastAsia="Songti SC" w:cs="Songti SC"/>
          <w:color w:val="000000"/>
        </w:rPr>
        <w:t>退款后生成账户流水，余额同步扣减。</w:t>
      </w:r>
    </w:p>
    <w:p w14:paraId="7BD74859">
      <w:pPr>
        <w:ind w:firstLine="482"/>
        <w:rPr>
          <w:rFonts w:hint="eastAsia"/>
          <w:color w:val="000000"/>
        </w:rPr>
      </w:pPr>
      <w:r>
        <w:rPr>
          <w:rFonts w:hint="eastAsia" w:ascii="Songti SC" w:hAnsi="Songti SC" w:eastAsia="Songti SC" w:cs="Songti SC"/>
          <w:b/>
          <w:color w:val="000000"/>
        </w:rPr>
        <w:t>2.</w:t>
      </w:r>
      <w:r>
        <w:rPr>
          <w:rFonts w:ascii="Songti SC" w:hAnsi="Songti SC" w:eastAsia="Songti SC" w:cs="Songti SC"/>
          <w:b/>
          <w:color w:val="000000"/>
        </w:rPr>
        <w:t>适配做法</w:t>
      </w:r>
    </w:p>
    <w:p w14:paraId="0CFF7A0B">
      <w:pPr>
        <w:ind w:firstLine="480"/>
        <w:rPr>
          <w:rFonts w:hint="eastAsia"/>
          <w:color w:val="000000"/>
        </w:rPr>
      </w:pPr>
      <w:r>
        <w:rPr>
          <w:rFonts w:ascii="Songti SC" w:hAnsi="Songti SC" w:eastAsia="Songti SC" w:cs="Songti SC"/>
          <w:color w:val="000000"/>
        </w:rPr>
        <w:t>退款与充值、消费共用账户流水口径，保证报表可核对。</w:t>
      </w:r>
    </w:p>
    <w:p w14:paraId="3FF9A747">
      <w:pPr>
        <w:ind w:firstLine="480"/>
        <w:rPr>
          <w:rFonts w:hint="eastAsia"/>
          <w:color w:val="000000"/>
        </w:rPr>
      </w:pPr>
      <w:r>
        <w:rPr>
          <w:rFonts w:ascii="Songti SC" w:hAnsi="Songti SC" w:eastAsia="Songti SC" w:cs="Songti SC"/>
          <w:color w:val="000000"/>
        </w:rPr>
        <w:t>退款过程记录申请人、处理人、金额、原因和处理结果。</w:t>
      </w:r>
    </w:p>
    <w:p w14:paraId="679319DE">
      <w:pPr>
        <w:pStyle w:val="5"/>
        <w:rPr>
          <w:rFonts w:hint="eastAsia"/>
          <w:color w:val="000000"/>
        </w:rPr>
      </w:pPr>
      <w:r>
        <w:rPr>
          <w:rFonts w:ascii="Songti SC" w:hAnsi="Songti SC" w:eastAsia="Songti SC" w:cs="Songti SC"/>
          <w:color w:val="000000"/>
        </w:rPr>
        <w:t>补贴规则管理</w:t>
      </w:r>
    </w:p>
    <w:p w14:paraId="11545A01">
      <w:pPr>
        <w:ind w:firstLine="480"/>
        <w:rPr>
          <w:rFonts w:hint="eastAsia"/>
          <w:color w:val="000000"/>
        </w:rPr>
      </w:pPr>
      <w:r>
        <w:rPr>
          <w:rFonts w:ascii="Songti SC" w:hAnsi="Songti SC" w:eastAsia="Songti SC" w:cs="Songti SC"/>
          <w:color w:val="000000"/>
        </w:rPr>
        <w:t>补贴规则管理用于按人员身份类别、部门、餐次或周期配置补贴发放规则。</w:t>
      </w:r>
    </w:p>
    <w:p w14:paraId="6C0D919B">
      <w:pPr>
        <w:ind w:firstLine="482"/>
        <w:rPr>
          <w:rFonts w:hint="eastAsia"/>
          <w:color w:val="000000"/>
        </w:rPr>
      </w:pPr>
      <w:r>
        <w:rPr>
          <w:rFonts w:hint="eastAsia" w:ascii="Songti SC" w:hAnsi="Songti SC" w:eastAsia="Songti SC" w:cs="Songti SC"/>
          <w:b/>
          <w:color w:val="000000"/>
        </w:rPr>
        <w:t>1.改造</w:t>
      </w:r>
      <w:r>
        <w:rPr>
          <w:rFonts w:ascii="Songti SC" w:hAnsi="Songti SC" w:eastAsia="Songti SC" w:cs="Songti SC"/>
          <w:b/>
          <w:color w:val="000000"/>
        </w:rPr>
        <w:t>内容</w:t>
      </w:r>
    </w:p>
    <w:p w14:paraId="5F97DED1">
      <w:pPr>
        <w:ind w:firstLine="480"/>
        <w:rPr>
          <w:rFonts w:hint="eastAsia"/>
          <w:color w:val="000000"/>
        </w:rPr>
      </w:pPr>
      <w:r>
        <w:rPr>
          <w:rFonts w:ascii="Songti SC" w:hAnsi="Songti SC" w:eastAsia="Songti SC" w:cs="Songti SC"/>
          <w:color w:val="000000"/>
        </w:rPr>
        <w:t>支持配置补贴对象、补贴金额、发放周期、生效日期和失效日期。</w:t>
      </w:r>
    </w:p>
    <w:p w14:paraId="604BED56">
      <w:pPr>
        <w:ind w:firstLine="480"/>
        <w:rPr>
          <w:rFonts w:hint="eastAsia"/>
          <w:color w:val="000000"/>
        </w:rPr>
      </w:pPr>
      <w:r>
        <w:rPr>
          <w:rFonts w:ascii="Songti SC" w:hAnsi="Songti SC" w:eastAsia="Songti SC" w:cs="Songti SC"/>
          <w:color w:val="000000"/>
        </w:rPr>
        <w:t>支持规则启停、试算和发放范围确认。</w:t>
      </w:r>
    </w:p>
    <w:p w14:paraId="5BDCEE48">
      <w:pPr>
        <w:ind w:firstLine="480"/>
        <w:rPr>
          <w:rFonts w:hint="eastAsia"/>
          <w:color w:val="000000"/>
        </w:rPr>
      </w:pPr>
      <w:r>
        <w:rPr>
          <w:rFonts w:ascii="Songti SC" w:hAnsi="Songti SC" w:eastAsia="Songti SC" w:cs="Songti SC"/>
          <w:color w:val="000000"/>
        </w:rPr>
        <w:t>补贴规则与消费策略关联，决定消费时优先使用余额或补贴。</w:t>
      </w:r>
    </w:p>
    <w:p w14:paraId="45AE2B87">
      <w:pPr>
        <w:ind w:firstLine="482"/>
        <w:rPr>
          <w:rFonts w:hint="eastAsia"/>
          <w:color w:val="000000"/>
        </w:rPr>
      </w:pPr>
      <w:r>
        <w:rPr>
          <w:rFonts w:hint="eastAsia" w:ascii="Songti SC" w:hAnsi="Songti SC" w:eastAsia="Songti SC" w:cs="Songti SC"/>
          <w:b/>
          <w:color w:val="000000"/>
        </w:rPr>
        <w:t>2.</w:t>
      </w:r>
      <w:r>
        <w:rPr>
          <w:rFonts w:ascii="Songti SC" w:hAnsi="Songti SC" w:eastAsia="Songti SC" w:cs="Songti SC"/>
          <w:b/>
          <w:color w:val="000000"/>
        </w:rPr>
        <w:t>适配做法</w:t>
      </w:r>
    </w:p>
    <w:p w14:paraId="45C8BF0C">
      <w:pPr>
        <w:ind w:firstLine="480"/>
        <w:rPr>
          <w:rFonts w:hint="eastAsia"/>
          <w:color w:val="000000"/>
        </w:rPr>
      </w:pPr>
      <w:r>
        <w:rPr>
          <w:rFonts w:ascii="Songti SC" w:hAnsi="Songti SC" w:eastAsia="Songti SC" w:cs="Songti SC"/>
          <w:color w:val="000000"/>
        </w:rPr>
        <w:t>数据库下保证补贴规则版本与发放流水关联，历史订单可还原当时规则。</w:t>
      </w:r>
    </w:p>
    <w:p w14:paraId="41560381">
      <w:pPr>
        <w:ind w:firstLine="480"/>
        <w:rPr>
          <w:rFonts w:hint="eastAsia"/>
          <w:color w:val="000000"/>
        </w:rPr>
      </w:pPr>
      <w:r>
        <w:rPr>
          <w:rFonts w:ascii="Songti SC" w:hAnsi="Songti SC" w:eastAsia="Songti SC" w:cs="Songti SC"/>
          <w:color w:val="000000"/>
        </w:rPr>
        <w:t>补贴规则调整后输出影响人员范围，降低误发或漏发风险。</w:t>
      </w:r>
    </w:p>
    <w:p w14:paraId="1BD14508">
      <w:pPr>
        <w:pStyle w:val="5"/>
        <w:rPr>
          <w:rFonts w:hint="eastAsia"/>
          <w:color w:val="000000"/>
        </w:rPr>
      </w:pPr>
      <w:r>
        <w:rPr>
          <w:rFonts w:ascii="Songti SC" w:hAnsi="Songti SC" w:eastAsia="Songti SC" w:cs="Songti SC"/>
          <w:color w:val="000000"/>
        </w:rPr>
        <w:t>补贴发放管理</w:t>
      </w:r>
    </w:p>
    <w:p w14:paraId="4651FD3A">
      <w:pPr>
        <w:ind w:firstLine="480"/>
        <w:rPr>
          <w:rFonts w:hint="eastAsia"/>
          <w:color w:val="000000"/>
        </w:rPr>
      </w:pPr>
      <w:r>
        <w:rPr>
          <w:rFonts w:ascii="Songti SC" w:hAnsi="Songti SC" w:eastAsia="Songti SC" w:cs="Songti SC"/>
          <w:color w:val="000000"/>
        </w:rPr>
        <w:t>补贴发放管理用于按规则或人工方式向符合条件人员发放补贴。</w:t>
      </w:r>
    </w:p>
    <w:p w14:paraId="526C722F">
      <w:pPr>
        <w:ind w:firstLine="482"/>
        <w:rPr>
          <w:rFonts w:hint="eastAsia"/>
          <w:color w:val="000000"/>
        </w:rPr>
      </w:pPr>
      <w:r>
        <w:rPr>
          <w:rFonts w:hint="eastAsia" w:ascii="Songti SC" w:hAnsi="Songti SC" w:eastAsia="Songti SC" w:cs="Songti SC"/>
          <w:b/>
          <w:color w:val="000000"/>
        </w:rPr>
        <w:t>1.改造</w:t>
      </w:r>
      <w:r>
        <w:rPr>
          <w:rFonts w:ascii="Songti SC" w:hAnsi="Songti SC" w:eastAsia="Songti SC" w:cs="Songti SC"/>
          <w:b/>
          <w:color w:val="000000"/>
        </w:rPr>
        <w:t>内容</w:t>
      </w:r>
    </w:p>
    <w:p w14:paraId="2565664B">
      <w:pPr>
        <w:ind w:firstLine="480"/>
        <w:rPr>
          <w:rFonts w:hint="eastAsia"/>
          <w:color w:val="000000"/>
        </w:rPr>
      </w:pPr>
      <w:r>
        <w:rPr>
          <w:rFonts w:ascii="Songti SC" w:hAnsi="Songti SC" w:eastAsia="Songti SC" w:cs="Songti SC"/>
          <w:color w:val="000000"/>
        </w:rPr>
        <w:t>支持按规则自动生成发放批次。</w:t>
      </w:r>
    </w:p>
    <w:p w14:paraId="3E121055">
      <w:pPr>
        <w:ind w:firstLine="480"/>
        <w:rPr>
          <w:rFonts w:hint="eastAsia"/>
          <w:color w:val="000000"/>
        </w:rPr>
      </w:pPr>
      <w:r>
        <w:rPr>
          <w:rFonts w:ascii="Songti SC" w:hAnsi="Songti SC" w:eastAsia="Songti SC" w:cs="Songti SC"/>
          <w:color w:val="000000"/>
        </w:rPr>
        <w:t>支持查询批次、人员明细、发放金额、成功失败原因。</w:t>
      </w:r>
    </w:p>
    <w:p w14:paraId="5609527C">
      <w:pPr>
        <w:ind w:firstLine="480"/>
        <w:rPr>
          <w:rFonts w:hint="eastAsia"/>
          <w:color w:val="000000"/>
        </w:rPr>
      </w:pPr>
      <w:r>
        <w:rPr>
          <w:rFonts w:ascii="Songti SC" w:hAnsi="Songti SC" w:eastAsia="Songti SC" w:cs="Songti SC"/>
          <w:color w:val="000000"/>
        </w:rPr>
        <w:t>补贴失效、补贴使用和补贴余额可追踪。</w:t>
      </w:r>
    </w:p>
    <w:p w14:paraId="3EAE556F">
      <w:pPr>
        <w:ind w:firstLine="482"/>
        <w:rPr>
          <w:rFonts w:hint="eastAsia"/>
          <w:color w:val="000000"/>
        </w:rPr>
      </w:pPr>
      <w:r>
        <w:rPr>
          <w:rFonts w:hint="eastAsia" w:ascii="Songti SC" w:hAnsi="Songti SC" w:eastAsia="Songti SC" w:cs="Songti SC"/>
          <w:b/>
          <w:color w:val="000000"/>
        </w:rPr>
        <w:t>2.</w:t>
      </w:r>
      <w:r>
        <w:rPr>
          <w:rFonts w:ascii="Songti SC" w:hAnsi="Songti SC" w:eastAsia="Songti SC" w:cs="Songti SC"/>
          <w:b/>
          <w:color w:val="000000"/>
        </w:rPr>
        <w:t>适配做法</w:t>
      </w:r>
    </w:p>
    <w:p w14:paraId="41105CDD">
      <w:pPr>
        <w:ind w:firstLine="480"/>
        <w:rPr>
          <w:rFonts w:hint="eastAsia"/>
          <w:color w:val="000000"/>
        </w:rPr>
      </w:pPr>
      <w:r>
        <w:rPr>
          <w:rFonts w:ascii="Songti SC" w:hAnsi="Songti SC" w:eastAsia="Songti SC" w:cs="Songti SC"/>
          <w:color w:val="000000"/>
        </w:rPr>
        <w:t>补贴发放采用批次化处理，失败记录可重试且不影响已成功人员。</w:t>
      </w:r>
    </w:p>
    <w:p w14:paraId="2BC76673">
      <w:pPr>
        <w:ind w:firstLine="480"/>
        <w:rPr>
          <w:rFonts w:hint="eastAsia"/>
          <w:color w:val="000000"/>
        </w:rPr>
      </w:pPr>
      <w:r>
        <w:rPr>
          <w:rFonts w:ascii="Songti SC" w:hAnsi="Songti SC" w:eastAsia="Songti SC" w:cs="Songti SC"/>
          <w:color w:val="000000"/>
        </w:rPr>
        <w:t>补贴余额与现金余额分账记录，报表展示口径清晰。</w:t>
      </w:r>
    </w:p>
    <w:p w14:paraId="1BB20D4A">
      <w:pPr>
        <w:pStyle w:val="4"/>
        <w:rPr>
          <w:rFonts w:hint="eastAsia"/>
          <w:color w:val="000000"/>
          <w:lang w:eastAsia="zh-CN"/>
        </w:rPr>
      </w:pPr>
      <w:bookmarkStart w:id="347" w:name="_Toc2134563626"/>
      <w:bookmarkStart w:id="348" w:name="_Toc773398032"/>
      <w:bookmarkStart w:id="349" w:name="_Toc1102160640"/>
      <w:r>
        <w:rPr>
          <w:rFonts w:ascii="Songti SC" w:hAnsi="Songti SC" w:eastAsia="Songti SC" w:cs="Songti SC"/>
          <w:color w:val="000000"/>
          <w:lang w:eastAsia="zh-CN"/>
        </w:rPr>
        <w:t>订单与售后管理系统改造</w:t>
      </w:r>
      <w:bookmarkEnd w:id="347"/>
      <w:bookmarkEnd w:id="348"/>
      <w:bookmarkEnd w:id="349"/>
    </w:p>
    <w:p w14:paraId="18B49C9D">
      <w:pPr>
        <w:pStyle w:val="5"/>
        <w:rPr>
          <w:rFonts w:hint="eastAsia"/>
          <w:color w:val="000000"/>
        </w:rPr>
      </w:pPr>
      <w:r>
        <w:rPr>
          <w:rFonts w:ascii="Songti SC" w:hAnsi="Songti SC" w:eastAsia="Songti SC" w:cs="Songti SC"/>
          <w:color w:val="000000"/>
        </w:rPr>
        <w:t>消费订单查询</w:t>
      </w:r>
    </w:p>
    <w:p w14:paraId="63E8E682">
      <w:pPr>
        <w:ind w:firstLine="480"/>
        <w:rPr>
          <w:rFonts w:hint="eastAsia"/>
          <w:color w:val="000000"/>
        </w:rPr>
      </w:pPr>
      <w:r>
        <w:rPr>
          <w:rFonts w:ascii="Songti SC" w:hAnsi="Songti SC" w:eastAsia="Songti SC" w:cs="Songti SC"/>
          <w:color w:val="000000"/>
        </w:rPr>
        <w:t>消费订单查询用于查询现场消费、菜品消费、扫码消费、人脸消费和离线补传订单。</w:t>
      </w:r>
    </w:p>
    <w:p w14:paraId="78E00142">
      <w:pPr>
        <w:ind w:firstLine="482"/>
        <w:rPr>
          <w:rFonts w:hint="eastAsia"/>
          <w:color w:val="000000"/>
        </w:rPr>
      </w:pPr>
      <w:r>
        <w:rPr>
          <w:rFonts w:hint="eastAsia" w:ascii="Songti SC" w:hAnsi="Songti SC" w:eastAsia="Songti SC" w:cs="Songti SC"/>
          <w:b/>
          <w:color w:val="000000"/>
        </w:rPr>
        <w:t>1.改造</w:t>
      </w:r>
      <w:r>
        <w:rPr>
          <w:rFonts w:ascii="Songti SC" w:hAnsi="Songti SC" w:eastAsia="Songti SC" w:cs="Songti SC"/>
          <w:b/>
          <w:color w:val="000000"/>
        </w:rPr>
        <w:t>内容</w:t>
      </w:r>
    </w:p>
    <w:p w14:paraId="449D40BB">
      <w:pPr>
        <w:ind w:firstLine="480"/>
        <w:rPr>
          <w:rFonts w:hint="eastAsia"/>
          <w:color w:val="000000"/>
        </w:rPr>
      </w:pPr>
      <w:r>
        <w:rPr>
          <w:rFonts w:ascii="Songti SC" w:hAnsi="Songti SC" w:eastAsia="Songti SC" w:cs="Songti SC"/>
          <w:color w:val="000000"/>
        </w:rPr>
        <w:t>支持按日期、人员、部门、餐厅、消费机、支付方式、订单状态查询。</w:t>
      </w:r>
    </w:p>
    <w:p w14:paraId="5FC9143B">
      <w:pPr>
        <w:ind w:firstLine="480"/>
        <w:rPr>
          <w:rFonts w:hint="eastAsia"/>
          <w:color w:val="000000"/>
        </w:rPr>
      </w:pPr>
      <w:r>
        <w:rPr>
          <w:rFonts w:ascii="Songti SC" w:hAnsi="Songti SC" w:eastAsia="Songti SC" w:cs="Songti SC"/>
          <w:color w:val="000000"/>
        </w:rPr>
        <w:t>订单详情展示金额、余额前后值、消费策略、消费方式、设备号和交易时间。</w:t>
      </w:r>
    </w:p>
    <w:p w14:paraId="401A1485">
      <w:pPr>
        <w:ind w:firstLine="480"/>
        <w:rPr>
          <w:rFonts w:hint="eastAsia"/>
          <w:color w:val="000000"/>
        </w:rPr>
      </w:pPr>
      <w:r>
        <w:rPr>
          <w:rFonts w:ascii="Songti SC" w:hAnsi="Songti SC" w:eastAsia="Songti SC" w:cs="Songti SC"/>
          <w:color w:val="000000"/>
        </w:rPr>
        <w:t>支持异常订单筛选和导出。</w:t>
      </w:r>
    </w:p>
    <w:p w14:paraId="4391FA2C">
      <w:pPr>
        <w:ind w:firstLine="482"/>
        <w:rPr>
          <w:rFonts w:hint="eastAsia"/>
          <w:color w:val="000000"/>
        </w:rPr>
      </w:pPr>
      <w:r>
        <w:rPr>
          <w:rFonts w:hint="eastAsia" w:ascii="Songti SC" w:hAnsi="Songti SC" w:eastAsia="Songti SC" w:cs="Songti SC"/>
          <w:b/>
          <w:color w:val="000000"/>
        </w:rPr>
        <w:t>2.</w:t>
      </w:r>
      <w:r>
        <w:rPr>
          <w:rFonts w:ascii="Songti SC" w:hAnsi="Songti SC" w:eastAsia="Songti SC" w:cs="Songti SC"/>
          <w:b/>
          <w:color w:val="000000"/>
        </w:rPr>
        <w:t>适配做法</w:t>
      </w:r>
    </w:p>
    <w:p w14:paraId="52374B3E">
      <w:pPr>
        <w:ind w:firstLine="480"/>
        <w:rPr>
          <w:rFonts w:hint="eastAsia"/>
          <w:color w:val="000000"/>
        </w:rPr>
      </w:pPr>
      <w:r>
        <w:rPr>
          <w:rFonts w:ascii="Songti SC" w:hAnsi="Songti SC" w:eastAsia="Songti SC" w:cs="Songti SC"/>
          <w:color w:val="000000"/>
        </w:rPr>
        <w:t>数据库下优化订单大表查询，按时间、人员、设备和状态建立查询支撑。</w:t>
      </w:r>
    </w:p>
    <w:p w14:paraId="2E4E5A86">
      <w:pPr>
        <w:ind w:firstLine="480"/>
        <w:rPr>
          <w:rFonts w:hint="eastAsia"/>
          <w:color w:val="000000"/>
        </w:rPr>
      </w:pPr>
      <w:r>
        <w:rPr>
          <w:rFonts w:ascii="Songti SC" w:hAnsi="Songti SC" w:eastAsia="Songti SC" w:cs="Songti SC"/>
          <w:color w:val="000000"/>
        </w:rPr>
        <w:t>离线补传订单同时展示原交易时间和入库时间。</w:t>
      </w:r>
    </w:p>
    <w:p w14:paraId="0EF387B9">
      <w:pPr>
        <w:pStyle w:val="5"/>
        <w:rPr>
          <w:rFonts w:hint="eastAsia"/>
          <w:color w:val="000000"/>
        </w:rPr>
      </w:pPr>
      <w:r>
        <w:rPr>
          <w:rFonts w:ascii="Songti SC" w:hAnsi="Songti SC" w:eastAsia="Songti SC" w:cs="Songti SC"/>
          <w:color w:val="000000"/>
        </w:rPr>
        <w:t>订单明细管理</w:t>
      </w:r>
    </w:p>
    <w:p w14:paraId="2FAA6ACC">
      <w:pPr>
        <w:ind w:firstLine="480"/>
        <w:rPr>
          <w:rFonts w:hint="eastAsia"/>
          <w:color w:val="000000"/>
        </w:rPr>
      </w:pPr>
      <w:r>
        <w:rPr>
          <w:rFonts w:ascii="Songti SC" w:hAnsi="Songti SC" w:eastAsia="Songti SC" w:cs="Songti SC"/>
          <w:color w:val="000000"/>
        </w:rPr>
        <w:t>订单明细管理用于查看菜品、重量、单价、补贴抵扣、现金余额抵扣和交易照片等细节。</w:t>
      </w:r>
    </w:p>
    <w:p w14:paraId="37CFDC7E">
      <w:pPr>
        <w:ind w:firstLine="482"/>
        <w:rPr>
          <w:rFonts w:hint="eastAsia"/>
          <w:color w:val="000000"/>
        </w:rPr>
      </w:pPr>
      <w:r>
        <w:rPr>
          <w:rFonts w:hint="eastAsia" w:ascii="Songti SC" w:hAnsi="Songti SC" w:eastAsia="Songti SC" w:cs="Songti SC"/>
          <w:b/>
          <w:color w:val="000000"/>
        </w:rPr>
        <w:t>1.改造</w:t>
      </w:r>
      <w:r>
        <w:rPr>
          <w:rFonts w:ascii="Songti SC" w:hAnsi="Songti SC" w:eastAsia="Songti SC" w:cs="Songti SC"/>
          <w:b/>
          <w:color w:val="000000"/>
        </w:rPr>
        <w:t>内容</w:t>
      </w:r>
    </w:p>
    <w:p w14:paraId="3C4A9315">
      <w:pPr>
        <w:ind w:firstLine="480"/>
        <w:rPr>
          <w:rFonts w:hint="eastAsia"/>
          <w:color w:val="000000"/>
        </w:rPr>
      </w:pPr>
      <w:r>
        <w:rPr>
          <w:rFonts w:ascii="Songti SC" w:hAnsi="Songti SC" w:eastAsia="Songti SC" w:cs="Songti SC"/>
          <w:color w:val="000000"/>
        </w:rPr>
        <w:t>菜品订单展示菜品名称、数量、单价和合计金额。</w:t>
      </w:r>
    </w:p>
    <w:p w14:paraId="13F96725">
      <w:pPr>
        <w:ind w:firstLine="480"/>
        <w:rPr>
          <w:rFonts w:hint="eastAsia"/>
          <w:color w:val="000000"/>
        </w:rPr>
      </w:pPr>
      <w:r>
        <w:rPr>
          <w:rFonts w:ascii="Songti SC" w:hAnsi="Songti SC" w:eastAsia="Songti SC" w:cs="Songti SC"/>
          <w:color w:val="000000"/>
        </w:rPr>
        <w:t>称重类订单展示重量、单价和服务端复核金额。</w:t>
      </w:r>
    </w:p>
    <w:p w14:paraId="61F6BA1A">
      <w:pPr>
        <w:ind w:firstLine="480"/>
        <w:rPr>
          <w:rFonts w:hint="eastAsia"/>
          <w:color w:val="000000"/>
        </w:rPr>
      </w:pPr>
      <w:r>
        <w:rPr>
          <w:rFonts w:ascii="Songti SC" w:hAnsi="Songti SC" w:eastAsia="Songti SC" w:cs="Songti SC"/>
          <w:color w:val="000000"/>
        </w:rPr>
        <w:t>人脸或双屏确认类订单保留必要的交易确认信息。</w:t>
      </w:r>
    </w:p>
    <w:p w14:paraId="514E521C">
      <w:pPr>
        <w:ind w:firstLine="482"/>
        <w:rPr>
          <w:rFonts w:hint="eastAsia"/>
          <w:color w:val="000000"/>
        </w:rPr>
      </w:pPr>
      <w:r>
        <w:rPr>
          <w:rFonts w:hint="eastAsia" w:ascii="Songti SC" w:hAnsi="Songti SC" w:eastAsia="Songti SC" w:cs="Songti SC"/>
          <w:b/>
          <w:color w:val="000000"/>
        </w:rPr>
        <w:t>2.</w:t>
      </w:r>
      <w:r>
        <w:rPr>
          <w:rFonts w:ascii="Songti SC" w:hAnsi="Songti SC" w:eastAsia="Songti SC" w:cs="Songti SC"/>
          <w:b/>
          <w:color w:val="000000"/>
        </w:rPr>
        <w:t>适配做法</w:t>
      </w:r>
    </w:p>
    <w:p w14:paraId="44B0CDC5">
      <w:pPr>
        <w:ind w:firstLine="480"/>
        <w:rPr>
          <w:rFonts w:hint="eastAsia"/>
          <w:color w:val="000000"/>
        </w:rPr>
      </w:pPr>
      <w:r>
        <w:rPr>
          <w:rFonts w:ascii="Songti SC" w:hAnsi="Songti SC" w:eastAsia="Songti SC" w:cs="Songti SC"/>
          <w:color w:val="000000"/>
        </w:rPr>
        <w:t>金额计算在服务端复核，前端展示不作为最终扣款依据。</w:t>
      </w:r>
    </w:p>
    <w:p w14:paraId="4DD2D0FD">
      <w:pPr>
        <w:ind w:firstLine="480"/>
        <w:rPr>
          <w:rFonts w:hint="eastAsia"/>
          <w:color w:val="000000"/>
        </w:rPr>
      </w:pPr>
      <w:r>
        <w:rPr>
          <w:rFonts w:ascii="Songti SC" w:hAnsi="Songti SC" w:eastAsia="Songti SC" w:cs="Songti SC"/>
          <w:color w:val="000000"/>
        </w:rPr>
        <w:t>涉及人员照片或交易照片的展示按权限控制和脱敏策略处理。</w:t>
      </w:r>
    </w:p>
    <w:p w14:paraId="2BA84C42">
      <w:pPr>
        <w:pStyle w:val="5"/>
        <w:rPr>
          <w:rFonts w:hint="eastAsia"/>
          <w:color w:val="000000"/>
        </w:rPr>
      </w:pPr>
      <w:r>
        <w:rPr>
          <w:rFonts w:ascii="Songti SC" w:hAnsi="Songti SC" w:eastAsia="Songti SC" w:cs="Songti SC"/>
          <w:color w:val="000000"/>
        </w:rPr>
        <w:t>订单售后处理</w:t>
      </w:r>
    </w:p>
    <w:p w14:paraId="72824B5A">
      <w:pPr>
        <w:ind w:firstLine="480"/>
        <w:rPr>
          <w:rFonts w:hint="eastAsia"/>
          <w:color w:val="000000"/>
        </w:rPr>
      </w:pPr>
      <w:r>
        <w:rPr>
          <w:rFonts w:ascii="Songti SC" w:hAnsi="Songti SC" w:eastAsia="Songti SC" w:cs="Songti SC"/>
          <w:color w:val="000000"/>
        </w:rPr>
        <w:t>订单售后处理用于处理重复扣款、金额异常、补传失败、现场误操作等问题。</w:t>
      </w:r>
    </w:p>
    <w:p w14:paraId="0B91B190">
      <w:pPr>
        <w:ind w:firstLine="482"/>
        <w:rPr>
          <w:rFonts w:hint="eastAsia"/>
          <w:color w:val="000000"/>
        </w:rPr>
      </w:pPr>
      <w:r>
        <w:rPr>
          <w:rFonts w:hint="eastAsia" w:ascii="Songti SC" w:hAnsi="Songti SC" w:eastAsia="Songti SC" w:cs="Songti SC"/>
          <w:b/>
          <w:color w:val="000000"/>
        </w:rPr>
        <w:t>1.改造</w:t>
      </w:r>
      <w:r>
        <w:rPr>
          <w:rFonts w:ascii="Songti SC" w:hAnsi="Songti SC" w:eastAsia="Songti SC" w:cs="Songti SC"/>
          <w:b/>
          <w:color w:val="000000"/>
        </w:rPr>
        <w:t>内容</w:t>
      </w:r>
    </w:p>
    <w:p w14:paraId="6F558A25">
      <w:pPr>
        <w:ind w:firstLine="480"/>
        <w:rPr>
          <w:rFonts w:hint="eastAsia"/>
          <w:color w:val="000000"/>
        </w:rPr>
      </w:pPr>
      <w:r>
        <w:rPr>
          <w:rFonts w:ascii="Songti SC" w:hAnsi="Songti SC" w:eastAsia="Songti SC" w:cs="Songti SC"/>
          <w:color w:val="000000"/>
        </w:rPr>
        <w:t>支持按订单发起问题记录，说明异常类型和处理意见。</w:t>
      </w:r>
    </w:p>
    <w:p w14:paraId="3FA1AD6B">
      <w:pPr>
        <w:ind w:firstLine="480"/>
        <w:rPr>
          <w:rFonts w:hint="eastAsia"/>
          <w:color w:val="000000"/>
        </w:rPr>
      </w:pPr>
      <w:r>
        <w:rPr>
          <w:rFonts w:ascii="Songti SC" w:hAnsi="Songti SC" w:eastAsia="Songti SC" w:cs="Songti SC"/>
          <w:color w:val="000000"/>
        </w:rPr>
        <w:t>支持冲正、退款、补记、重传等处理方式。</w:t>
      </w:r>
    </w:p>
    <w:p w14:paraId="3886C501">
      <w:pPr>
        <w:ind w:firstLine="480"/>
        <w:rPr>
          <w:rFonts w:hint="eastAsia"/>
          <w:color w:val="000000"/>
        </w:rPr>
      </w:pPr>
      <w:r>
        <w:rPr>
          <w:rFonts w:ascii="Songti SC" w:hAnsi="Songti SC" w:eastAsia="Songti SC" w:cs="Songti SC"/>
          <w:color w:val="000000"/>
        </w:rPr>
        <w:t>处理结果回写订单状态和账户流水。</w:t>
      </w:r>
    </w:p>
    <w:p w14:paraId="254076C1">
      <w:pPr>
        <w:ind w:firstLine="482"/>
        <w:rPr>
          <w:rFonts w:hint="eastAsia"/>
          <w:color w:val="000000"/>
        </w:rPr>
      </w:pPr>
      <w:r>
        <w:rPr>
          <w:rFonts w:hint="eastAsia" w:ascii="Songti SC" w:hAnsi="Songti SC" w:eastAsia="Songti SC" w:cs="Songti SC"/>
          <w:b/>
          <w:color w:val="000000"/>
        </w:rPr>
        <w:t>2.</w:t>
      </w:r>
      <w:r>
        <w:rPr>
          <w:rFonts w:ascii="Songti SC" w:hAnsi="Songti SC" w:eastAsia="Songti SC" w:cs="Songti SC"/>
          <w:b/>
          <w:color w:val="000000"/>
        </w:rPr>
        <w:t>适配做法</w:t>
      </w:r>
    </w:p>
    <w:p w14:paraId="35189737">
      <w:pPr>
        <w:ind w:firstLine="480"/>
        <w:rPr>
          <w:rFonts w:hint="eastAsia"/>
          <w:color w:val="000000"/>
        </w:rPr>
      </w:pPr>
      <w:r>
        <w:rPr>
          <w:rFonts w:ascii="Songti SC" w:hAnsi="Songti SC" w:eastAsia="Songti SC" w:cs="Songti SC"/>
          <w:color w:val="000000"/>
        </w:rPr>
        <w:t>售后处理必须保证账户流水闭环，不允许只修改订单状态不处理余额。</w:t>
      </w:r>
    </w:p>
    <w:p w14:paraId="0B6DEF4D">
      <w:pPr>
        <w:ind w:firstLine="480"/>
        <w:rPr>
          <w:rFonts w:hint="eastAsia"/>
          <w:color w:val="000000"/>
        </w:rPr>
      </w:pPr>
      <w:r>
        <w:rPr>
          <w:rFonts w:ascii="Songti SC" w:hAnsi="Songti SC" w:eastAsia="Songti SC" w:cs="Songti SC"/>
          <w:color w:val="000000"/>
        </w:rPr>
        <w:t>异常处理全过程记录人员、时间、原因和结果。</w:t>
      </w:r>
    </w:p>
    <w:p w14:paraId="13821A0B">
      <w:pPr>
        <w:pStyle w:val="5"/>
        <w:rPr>
          <w:rFonts w:hint="eastAsia"/>
          <w:color w:val="000000"/>
        </w:rPr>
      </w:pPr>
      <w:r>
        <w:rPr>
          <w:rFonts w:ascii="Songti SC" w:hAnsi="Songti SC" w:eastAsia="Songti SC" w:cs="Songti SC"/>
          <w:color w:val="000000"/>
        </w:rPr>
        <w:t>消息通知</w:t>
      </w:r>
    </w:p>
    <w:p w14:paraId="012DCCE6">
      <w:pPr>
        <w:ind w:firstLine="480"/>
        <w:rPr>
          <w:rFonts w:hint="eastAsia"/>
          <w:color w:val="000000"/>
        </w:rPr>
      </w:pPr>
      <w:r>
        <w:rPr>
          <w:rFonts w:ascii="Songti SC" w:hAnsi="Songti SC" w:eastAsia="Songti SC" w:cs="Songti SC"/>
          <w:color w:val="000000"/>
        </w:rPr>
        <w:t>消息通知用于向用户或管理人员推送充值成功、订单完成、支付失败、异常提醒等信息。</w:t>
      </w:r>
    </w:p>
    <w:p w14:paraId="551A502C">
      <w:pPr>
        <w:ind w:firstLine="482"/>
        <w:rPr>
          <w:rFonts w:hint="eastAsia"/>
          <w:color w:val="000000"/>
        </w:rPr>
      </w:pPr>
      <w:r>
        <w:rPr>
          <w:rFonts w:hint="eastAsia" w:ascii="Songti SC" w:hAnsi="Songti SC" w:eastAsia="Songti SC" w:cs="Songti SC"/>
          <w:b/>
          <w:color w:val="000000"/>
        </w:rPr>
        <w:t>1.改造</w:t>
      </w:r>
      <w:r>
        <w:rPr>
          <w:rFonts w:ascii="Songti SC" w:hAnsi="Songti SC" w:eastAsia="Songti SC" w:cs="Songti SC"/>
          <w:b/>
          <w:color w:val="000000"/>
        </w:rPr>
        <w:t>内容</w:t>
      </w:r>
    </w:p>
    <w:p w14:paraId="6D827FCD">
      <w:pPr>
        <w:ind w:firstLine="480"/>
        <w:rPr>
          <w:rFonts w:hint="eastAsia"/>
          <w:color w:val="000000"/>
        </w:rPr>
      </w:pPr>
      <w:r>
        <w:rPr>
          <w:rFonts w:ascii="Songti SC" w:hAnsi="Songti SC" w:eastAsia="Songti SC" w:cs="Songti SC"/>
          <w:color w:val="000000"/>
        </w:rPr>
        <w:t>支持充值成功通知、订单完成通知、订单支付失败通知。</w:t>
      </w:r>
    </w:p>
    <w:p w14:paraId="426DBC48">
      <w:pPr>
        <w:ind w:firstLine="480"/>
        <w:rPr>
          <w:rFonts w:hint="eastAsia"/>
          <w:color w:val="000000"/>
        </w:rPr>
      </w:pPr>
      <w:r>
        <w:rPr>
          <w:rFonts w:ascii="Songti SC" w:hAnsi="Songti SC" w:eastAsia="Songti SC" w:cs="Songti SC"/>
          <w:color w:val="000000"/>
        </w:rPr>
        <w:t>管理端可查询通知发送状态和失败原因。</w:t>
      </w:r>
    </w:p>
    <w:p w14:paraId="06DCE3B6">
      <w:pPr>
        <w:ind w:firstLine="480"/>
        <w:rPr>
          <w:rFonts w:hint="eastAsia"/>
          <w:color w:val="000000"/>
        </w:rPr>
      </w:pPr>
      <w:r>
        <w:rPr>
          <w:rFonts w:ascii="Songti SC" w:hAnsi="Songti SC" w:eastAsia="Songti SC" w:cs="Songti SC"/>
          <w:color w:val="000000"/>
        </w:rPr>
        <w:t>通知内容避免展示过多敏感信息。</w:t>
      </w:r>
    </w:p>
    <w:p w14:paraId="63187084">
      <w:pPr>
        <w:ind w:firstLine="482"/>
        <w:rPr>
          <w:rFonts w:hint="eastAsia"/>
          <w:color w:val="000000"/>
        </w:rPr>
      </w:pPr>
      <w:r>
        <w:rPr>
          <w:rFonts w:hint="eastAsia" w:ascii="Songti SC" w:hAnsi="Songti SC" w:eastAsia="Songti SC" w:cs="Songti SC"/>
          <w:b/>
          <w:color w:val="000000"/>
        </w:rPr>
        <w:t>2.</w:t>
      </w:r>
      <w:r>
        <w:rPr>
          <w:rFonts w:ascii="Songti SC" w:hAnsi="Songti SC" w:eastAsia="Songti SC" w:cs="Songti SC"/>
          <w:b/>
          <w:color w:val="000000"/>
        </w:rPr>
        <w:t>适配做法</w:t>
      </w:r>
    </w:p>
    <w:p w14:paraId="3BA16905">
      <w:pPr>
        <w:ind w:firstLine="480"/>
        <w:rPr>
          <w:rFonts w:hint="eastAsia"/>
          <w:color w:val="000000"/>
        </w:rPr>
      </w:pPr>
      <w:r>
        <w:rPr>
          <w:rFonts w:ascii="Songti SC" w:hAnsi="Songti SC" w:eastAsia="Songti SC" w:cs="Songti SC"/>
          <w:color w:val="000000"/>
        </w:rPr>
        <w:t>现有运行环境下适配消息发送任务、失败重试和日志留存。</w:t>
      </w:r>
    </w:p>
    <w:p w14:paraId="3A46C254">
      <w:pPr>
        <w:ind w:firstLine="480"/>
        <w:rPr>
          <w:rFonts w:hint="eastAsia"/>
          <w:color w:val="000000"/>
        </w:rPr>
      </w:pPr>
      <w:r>
        <w:rPr>
          <w:rFonts w:ascii="Songti SC" w:hAnsi="Songti SC" w:eastAsia="Songti SC" w:cs="Songti SC"/>
          <w:color w:val="000000"/>
        </w:rPr>
        <w:t>消息发送不影响主交易流程，交易成功以账户和订单状态为准。</w:t>
      </w:r>
    </w:p>
    <w:p w14:paraId="4799DE5E">
      <w:pPr>
        <w:pStyle w:val="4"/>
        <w:rPr>
          <w:rFonts w:hint="eastAsia"/>
          <w:color w:val="000000"/>
        </w:rPr>
      </w:pPr>
      <w:bookmarkStart w:id="350" w:name="_Toc1967421105"/>
      <w:bookmarkStart w:id="351" w:name="_Toc1896539047"/>
      <w:bookmarkStart w:id="352" w:name="_Toc1929692180"/>
      <w:r>
        <w:rPr>
          <w:rFonts w:ascii="Songti SC" w:hAnsi="Songti SC" w:eastAsia="Songti SC" w:cs="Songti SC"/>
          <w:color w:val="000000"/>
        </w:rPr>
        <w:t>报表管理系统改造</w:t>
      </w:r>
      <w:bookmarkEnd w:id="350"/>
      <w:bookmarkEnd w:id="351"/>
      <w:bookmarkEnd w:id="352"/>
    </w:p>
    <w:p w14:paraId="74F48B6B">
      <w:pPr>
        <w:pStyle w:val="5"/>
        <w:rPr>
          <w:rFonts w:hint="eastAsia"/>
          <w:color w:val="000000"/>
        </w:rPr>
      </w:pPr>
      <w:r>
        <w:rPr>
          <w:rFonts w:ascii="Songti SC" w:hAnsi="Songti SC" w:eastAsia="Songti SC" w:cs="Songti SC"/>
          <w:color w:val="000000"/>
        </w:rPr>
        <w:t>按日期组查询</w:t>
      </w:r>
    </w:p>
    <w:p w14:paraId="64958ED1">
      <w:pPr>
        <w:ind w:firstLine="480"/>
        <w:rPr>
          <w:rFonts w:hint="eastAsia"/>
          <w:color w:val="000000"/>
        </w:rPr>
      </w:pPr>
      <w:r>
        <w:rPr>
          <w:rFonts w:ascii="Songti SC" w:hAnsi="Songti SC" w:eastAsia="Songti SC" w:cs="Songti SC"/>
          <w:color w:val="000000"/>
        </w:rPr>
        <w:t>按日期组查询用于按日、周、月或自定义周期查看充值、消费、退款、补贴和余额变化。</w:t>
      </w:r>
    </w:p>
    <w:p w14:paraId="5894C702">
      <w:pPr>
        <w:ind w:firstLine="482"/>
        <w:rPr>
          <w:rFonts w:hint="eastAsia"/>
          <w:color w:val="000000"/>
        </w:rPr>
      </w:pPr>
      <w:r>
        <w:rPr>
          <w:rFonts w:hint="eastAsia" w:ascii="Songti SC" w:hAnsi="Songti SC" w:eastAsia="Songti SC" w:cs="Songti SC"/>
          <w:b/>
          <w:color w:val="000000"/>
        </w:rPr>
        <w:t>1.改造</w:t>
      </w:r>
      <w:r>
        <w:rPr>
          <w:rFonts w:ascii="Songti SC" w:hAnsi="Songti SC" w:eastAsia="Songti SC" w:cs="Songti SC"/>
          <w:b/>
          <w:color w:val="000000"/>
        </w:rPr>
        <w:t>内容</w:t>
      </w:r>
    </w:p>
    <w:p w14:paraId="5EA384D2">
      <w:pPr>
        <w:ind w:firstLine="480"/>
        <w:rPr>
          <w:rFonts w:hint="eastAsia"/>
          <w:color w:val="000000"/>
        </w:rPr>
      </w:pPr>
      <w:r>
        <w:rPr>
          <w:rFonts w:ascii="Songti SC" w:hAnsi="Songti SC" w:eastAsia="Songti SC" w:cs="Songti SC"/>
          <w:color w:val="000000"/>
        </w:rPr>
        <w:t>支持按交易日期、入账日期、补传日期进行统计。</w:t>
      </w:r>
    </w:p>
    <w:p w14:paraId="422B581C">
      <w:pPr>
        <w:ind w:firstLine="480"/>
        <w:rPr>
          <w:rFonts w:hint="eastAsia"/>
          <w:color w:val="000000"/>
        </w:rPr>
      </w:pPr>
      <w:r>
        <w:rPr>
          <w:rFonts w:ascii="Songti SC" w:hAnsi="Songti SC" w:eastAsia="Songti SC" w:cs="Songti SC"/>
          <w:color w:val="000000"/>
        </w:rPr>
        <w:t>支持按办公区、部门、餐厅、身份类别下钻。</w:t>
      </w:r>
    </w:p>
    <w:p w14:paraId="13E012A0">
      <w:pPr>
        <w:ind w:firstLine="480"/>
        <w:rPr>
          <w:rFonts w:hint="eastAsia"/>
          <w:color w:val="000000"/>
        </w:rPr>
      </w:pPr>
      <w:r>
        <w:rPr>
          <w:rFonts w:ascii="Songti SC" w:hAnsi="Songti SC" w:eastAsia="Songti SC" w:cs="Songti SC"/>
          <w:color w:val="000000"/>
        </w:rPr>
        <w:t>查询结果展示笔数、金额、人数和异常数。</w:t>
      </w:r>
    </w:p>
    <w:p w14:paraId="16373F8C">
      <w:pPr>
        <w:ind w:firstLine="482"/>
        <w:rPr>
          <w:rFonts w:hint="eastAsia"/>
          <w:color w:val="000000"/>
        </w:rPr>
      </w:pPr>
      <w:r>
        <w:rPr>
          <w:rFonts w:hint="eastAsia" w:ascii="Songti SC" w:hAnsi="Songti SC" w:eastAsia="Songti SC" w:cs="Songti SC"/>
          <w:b/>
          <w:color w:val="000000"/>
        </w:rPr>
        <w:t>2.</w:t>
      </w:r>
      <w:r>
        <w:rPr>
          <w:rFonts w:ascii="Songti SC" w:hAnsi="Songti SC" w:eastAsia="Songti SC" w:cs="Songti SC"/>
          <w:b/>
          <w:color w:val="000000"/>
        </w:rPr>
        <w:t>适配做法</w:t>
      </w:r>
    </w:p>
    <w:p w14:paraId="608D92E8">
      <w:pPr>
        <w:ind w:firstLine="480"/>
        <w:rPr>
          <w:rFonts w:hint="eastAsia"/>
          <w:color w:val="000000"/>
        </w:rPr>
      </w:pPr>
      <w:r>
        <w:rPr>
          <w:rFonts w:ascii="Songti SC" w:hAnsi="Songti SC" w:eastAsia="Songti SC" w:cs="Songti SC"/>
          <w:color w:val="000000"/>
        </w:rPr>
        <w:t>统一日期口径，避免补传订单造成当日统计和历史交易口径混淆。</w:t>
      </w:r>
    </w:p>
    <w:p w14:paraId="3249BF33">
      <w:pPr>
        <w:ind w:firstLine="480"/>
        <w:rPr>
          <w:rFonts w:hint="eastAsia"/>
          <w:color w:val="000000"/>
        </w:rPr>
      </w:pPr>
      <w:r>
        <w:rPr>
          <w:rFonts w:ascii="Songti SC" w:hAnsi="Songti SC" w:eastAsia="Songti SC" w:cs="Songti SC"/>
          <w:color w:val="000000"/>
        </w:rPr>
        <w:t>高频统计可预汇总，减少对交易主库压力。</w:t>
      </w:r>
    </w:p>
    <w:p w14:paraId="5238D71A">
      <w:pPr>
        <w:pStyle w:val="5"/>
        <w:rPr>
          <w:rFonts w:hint="eastAsia"/>
          <w:color w:val="000000"/>
        </w:rPr>
      </w:pPr>
      <w:r>
        <w:rPr>
          <w:rFonts w:ascii="Songti SC" w:hAnsi="Songti SC" w:eastAsia="Songti SC" w:cs="Songti SC"/>
          <w:color w:val="000000"/>
        </w:rPr>
        <w:t>交易照片查询</w:t>
      </w:r>
    </w:p>
    <w:p w14:paraId="69A0D689">
      <w:pPr>
        <w:ind w:firstLine="480"/>
        <w:rPr>
          <w:rFonts w:hint="eastAsia"/>
          <w:color w:val="000000"/>
        </w:rPr>
      </w:pPr>
      <w:r>
        <w:rPr>
          <w:rFonts w:ascii="Songti SC" w:hAnsi="Songti SC" w:eastAsia="Songti SC" w:cs="Songti SC"/>
          <w:color w:val="000000"/>
        </w:rPr>
        <w:t>交易照片查询用于按权限查看消费机交易相关确认信息，支撑问题核查。</w:t>
      </w:r>
    </w:p>
    <w:p w14:paraId="5A533AA8">
      <w:pPr>
        <w:ind w:firstLine="482"/>
        <w:rPr>
          <w:rFonts w:hint="eastAsia"/>
          <w:color w:val="000000"/>
        </w:rPr>
      </w:pPr>
      <w:r>
        <w:rPr>
          <w:rFonts w:hint="eastAsia" w:ascii="Songti SC" w:hAnsi="Songti SC" w:eastAsia="Songti SC" w:cs="Songti SC"/>
          <w:b/>
          <w:color w:val="000000"/>
        </w:rPr>
        <w:t>1.改造</w:t>
      </w:r>
      <w:r>
        <w:rPr>
          <w:rFonts w:ascii="Songti SC" w:hAnsi="Songti SC" w:eastAsia="Songti SC" w:cs="Songti SC"/>
          <w:b/>
          <w:color w:val="000000"/>
        </w:rPr>
        <w:t>内容</w:t>
      </w:r>
    </w:p>
    <w:p w14:paraId="45FE26A8">
      <w:pPr>
        <w:ind w:firstLine="480"/>
        <w:rPr>
          <w:rFonts w:hint="eastAsia"/>
          <w:color w:val="000000"/>
        </w:rPr>
      </w:pPr>
      <w:r>
        <w:rPr>
          <w:rFonts w:ascii="Songti SC" w:hAnsi="Songti SC" w:eastAsia="Songti SC" w:cs="Songti SC"/>
          <w:color w:val="000000"/>
        </w:rPr>
        <w:t>支持按订单号、人员、消费机、时间查询。</w:t>
      </w:r>
    </w:p>
    <w:p w14:paraId="421DDCE3">
      <w:pPr>
        <w:ind w:firstLine="480"/>
        <w:rPr>
          <w:rFonts w:hint="eastAsia"/>
          <w:color w:val="000000"/>
        </w:rPr>
      </w:pPr>
      <w:r>
        <w:rPr>
          <w:rFonts w:ascii="Songti SC" w:hAnsi="Songti SC" w:eastAsia="Songti SC" w:cs="Songti SC"/>
          <w:color w:val="000000"/>
        </w:rPr>
        <w:t>展示与交易关联的必要图片或确认记录。</w:t>
      </w:r>
    </w:p>
    <w:p w14:paraId="0EAFD2D9">
      <w:pPr>
        <w:ind w:firstLine="480"/>
        <w:rPr>
          <w:rFonts w:hint="eastAsia"/>
          <w:color w:val="000000"/>
        </w:rPr>
      </w:pPr>
      <w:r>
        <w:rPr>
          <w:rFonts w:ascii="Songti SC" w:hAnsi="Songti SC" w:eastAsia="Songti SC" w:cs="Songti SC"/>
          <w:color w:val="000000"/>
        </w:rPr>
        <w:t>支持异常交易核查但限制批量导出。</w:t>
      </w:r>
    </w:p>
    <w:p w14:paraId="0A389545">
      <w:pPr>
        <w:ind w:firstLine="482"/>
        <w:rPr>
          <w:rFonts w:hint="eastAsia"/>
          <w:color w:val="000000"/>
        </w:rPr>
      </w:pPr>
      <w:r>
        <w:rPr>
          <w:rFonts w:hint="eastAsia" w:ascii="Songti SC" w:hAnsi="Songti SC" w:eastAsia="Songti SC" w:cs="Songti SC"/>
          <w:b/>
          <w:color w:val="000000"/>
        </w:rPr>
        <w:t>2.</w:t>
      </w:r>
      <w:r>
        <w:rPr>
          <w:rFonts w:ascii="Songti SC" w:hAnsi="Songti SC" w:eastAsia="Songti SC" w:cs="Songti SC"/>
          <w:b/>
          <w:color w:val="000000"/>
        </w:rPr>
        <w:t>适配做法</w:t>
      </w:r>
    </w:p>
    <w:p w14:paraId="37C321A7">
      <w:pPr>
        <w:ind w:firstLine="480"/>
        <w:rPr>
          <w:rFonts w:hint="eastAsia"/>
          <w:color w:val="000000"/>
        </w:rPr>
      </w:pPr>
      <w:r>
        <w:rPr>
          <w:rFonts w:ascii="Songti SC" w:hAnsi="Songti SC" w:eastAsia="Songti SC" w:cs="Songti SC"/>
          <w:color w:val="000000"/>
        </w:rPr>
        <w:t>照片文件在服务器操作系统中按日期和设备分目录存储。</w:t>
      </w:r>
    </w:p>
    <w:p w14:paraId="53EED63D">
      <w:pPr>
        <w:ind w:firstLine="480"/>
        <w:rPr>
          <w:rFonts w:hint="eastAsia"/>
          <w:color w:val="000000"/>
        </w:rPr>
      </w:pPr>
      <w:r>
        <w:rPr>
          <w:rFonts w:ascii="Songti SC" w:hAnsi="Songti SC" w:eastAsia="Songti SC" w:cs="Songti SC"/>
          <w:color w:val="000000"/>
        </w:rPr>
        <w:t>访问记录纳入日志，敏感图片按权限展示。</w:t>
      </w:r>
    </w:p>
    <w:p w14:paraId="0C9DC272">
      <w:pPr>
        <w:pStyle w:val="5"/>
        <w:rPr>
          <w:rFonts w:hint="eastAsia"/>
          <w:color w:val="000000"/>
        </w:rPr>
      </w:pPr>
      <w:r>
        <w:rPr>
          <w:rFonts w:ascii="Songti SC" w:hAnsi="Songti SC" w:eastAsia="Songti SC" w:cs="Songti SC"/>
          <w:color w:val="000000"/>
        </w:rPr>
        <w:t>操作明细查询</w:t>
      </w:r>
    </w:p>
    <w:p w14:paraId="1B39528D">
      <w:pPr>
        <w:ind w:firstLine="480"/>
        <w:rPr>
          <w:rFonts w:hint="eastAsia"/>
          <w:color w:val="000000"/>
        </w:rPr>
      </w:pPr>
      <w:r>
        <w:rPr>
          <w:rFonts w:ascii="Songti SC" w:hAnsi="Songti SC" w:eastAsia="Songti SC" w:cs="Songti SC"/>
          <w:color w:val="000000"/>
        </w:rPr>
        <w:t>操作明细查询用于查看管理端关键操作记录。</w:t>
      </w:r>
    </w:p>
    <w:p w14:paraId="0120BB7A">
      <w:pPr>
        <w:ind w:firstLine="482"/>
        <w:rPr>
          <w:rFonts w:hint="eastAsia"/>
          <w:color w:val="000000"/>
        </w:rPr>
      </w:pPr>
      <w:r>
        <w:rPr>
          <w:rFonts w:hint="eastAsia" w:ascii="Songti SC" w:hAnsi="Songti SC" w:eastAsia="Songti SC" w:cs="Songti SC"/>
          <w:b/>
          <w:color w:val="000000"/>
        </w:rPr>
        <w:t>1.改造</w:t>
      </w:r>
      <w:r>
        <w:rPr>
          <w:rFonts w:ascii="Songti SC" w:hAnsi="Songti SC" w:eastAsia="Songti SC" w:cs="Songti SC"/>
          <w:b/>
          <w:color w:val="000000"/>
        </w:rPr>
        <w:t>内容</w:t>
      </w:r>
    </w:p>
    <w:p w14:paraId="5FC4D909">
      <w:pPr>
        <w:ind w:firstLine="480"/>
        <w:rPr>
          <w:rFonts w:hint="eastAsia"/>
          <w:color w:val="000000"/>
        </w:rPr>
      </w:pPr>
      <w:r>
        <w:rPr>
          <w:rFonts w:ascii="Songti SC" w:hAnsi="Songti SC" w:eastAsia="Songti SC" w:cs="Songti SC"/>
          <w:color w:val="000000"/>
        </w:rPr>
        <w:t>查询登录、导入、修改、充值、退款、补贴、策略变更、消费机参数调整等操作。</w:t>
      </w:r>
    </w:p>
    <w:p w14:paraId="1DC7246F">
      <w:pPr>
        <w:ind w:firstLine="480"/>
        <w:rPr>
          <w:rFonts w:hint="eastAsia"/>
          <w:color w:val="000000"/>
        </w:rPr>
      </w:pPr>
      <w:r>
        <w:rPr>
          <w:rFonts w:ascii="Songti SC" w:hAnsi="Songti SC" w:eastAsia="Songti SC" w:cs="Songti SC"/>
          <w:color w:val="000000"/>
        </w:rPr>
        <w:t>展示操作人、时间、对象、结果和失败原因。</w:t>
      </w:r>
    </w:p>
    <w:p w14:paraId="7BCD866B">
      <w:pPr>
        <w:ind w:firstLine="480"/>
        <w:rPr>
          <w:rFonts w:hint="eastAsia"/>
          <w:color w:val="000000"/>
        </w:rPr>
      </w:pPr>
      <w:r>
        <w:rPr>
          <w:rFonts w:ascii="Songti SC" w:hAnsi="Songti SC" w:eastAsia="Songti SC" w:cs="Songti SC"/>
          <w:color w:val="000000"/>
        </w:rPr>
        <w:t>支持按人员、功能、时间和结果筛选。</w:t>
      </w:r>
    </w:p>
    <w:p w14:paraId="16AABDBF">
      <w:pPr>
        <w:ind w:firstLine="482"/>
        <w:rPr>
          <w:rFonts w:hint="eastAsia"/>
          <w:color w:val="000000"/>
        </w:rPr>
      </w:pPr>
      <w:r>
        <w:rPr>
          <w:rFonts w:hint="eastAsia" w:ascii="Songti SC" w:hAnsi="Songti SC" w:eastAsia="Songti SC" w:cs="Songti SC"/>
          <w:b/>
          <w:color w:val="000000"/>
        </w:rPr>
        <w:t>2.</w:t>
      </w:r>
      <w:r>
        <w:rPr>
          <w:rFonts w:ascii="Songti SC" w:hAnsi="Songti SC" w:eastAsia="Songti SC" w:cs="Songti SC"/>
          <w:b/>
          <w:color w:val="000000"/>
        </w:rPr>
        <w:t>适配做法</w:t>
      </w:r>
    </w:p>
    <w:p w14:paraId="2F3DFA11">
      <w:pPr>
        <w:ind w:firstLine="480"/>
        <w:rPr>
          <w:rFonts w:hint="eastAsia"/>
          <w:color w:val="000000"/>
        </w:rPr>
      </w:pPr>
      <w:r>
        <w:rPr>
          <w:rFonts w:ascii="Songti SC" w:hAnsi="Songti SC" w:eastAsia="Songti SC" w:cs="Songti SC"/>
          <w:color w:val="000000"/>
        </w:rPr>
        <w:t>操作日志独立留存，避免业务数据清理时误删审计记录。</w:t>
      </w:r>
    </w:p>
    <w:p w14:paraId="77AF220F">
      <w:pPr>
        <w:ind w:firstLine="480"/>
        <w:rPr>
          <w:rFonts w:hint="eastAsia"/>
          <w:color w:val="000000"/>
        </w:rPr>
      </w:pPr>
      <w:r>
        <w:rPr>
          <w:rFonts w:ascii="Songti SC" w:hAnsi="Songti SC" w:eastAsia="Songti SC" w:cs="Songti SC"/>
          <w:color w:val="000000"/>
        </w:rPr>
        <w:t>日志写入失败时记录系统告警，防止关键操作无痕。</w:t>
      </w:r>
    </w:p>
    <w:p w14:paraId="14BA8905">
      <w:pPr>
        <w:pStyle w:val="5"/>
        <w:rPr>
          <w:rFonts w:hint="eastAsia"/>
          <w:color w:val="000000"/>
        </w:rPr>
      </w:pPr>
      <w:r>
        <w:rPr>
          <w:rFonts w:ascii="Songti SC" w:hAnsi="Songti SC" w:eastAsia="Songti SC" w:cs="Songti SC"/>
          <w:color w:val="000000"/>
        </w:rPr>
        <w:t>用户余额查询</w:t>
      </w:r>
    </w:p>
    <w:p w14:paraId="53274A20">
      <w:pPr>
        <w:ind w:firstLine="480"/>
        <w:rPr>
          <w:rFonts w:hint="eastAsia"/>
          <w:color w:val="000000"/>
        </w:rPr>
      </w:pPr>
      <w:r>
        <w:rPr>
          <w:rFonts w:ascii="Songti SC" w:hAnsi="Songti SC" w:eastAsia="Songti SC" w:cs="Songti SC"/>
          <w:color w:val="000000"/>
        </w:rPr>
        <w:t>用户余额查询用于查询人员现金余额、补贴余额、冻结金额和余额变动流水。</w:t>
      </w:r>
    </w:p>
    <w:p w14:paraId="25538824">
      <w:pPr>
        <w:ind w:firstLine="482"/>
        <w:rPr>
          <w:rFonts w:hint="eastAsia"/>
          <w:color w:val="000000"/>
        </w:rPr>
      </w:pPr>
      <w:r>
        <w:rPr>
          <w:rFonts w:hint="eastAsia" w:ascii="Songti SC" w:hAnsi="Songti SC" w:eastAsia="Songti SC" w:cs="Songti SC"/>
          <w:b/>
          <w:color w:val="000000"/>
        </w:rPr>
        <w:t>1.改造</w:t>
      </w:r>
      <w:r>
        <w:rPr>
          <w:rFonts w:ascii="Songti SC" w:hAnsi="Songti SC" w:eastAsia="Songti SC" w:cs="Songti SC"/>
          <w:b/>
          <w:color w:val="000000"/>
        </w:rPr>
        <w:t>内容</w:t>
      </w:r>
    </w:p>
    <w:p w14:paraId="109A90BE">
      <w:pPr>
        <w:ind w:firstLine="480"/>
        <w:rPr>
          <w:rFonts w:hint="eastAsia"/>
          <w:color w:val="000000"/>
        </w:rPr>
      </w:pPr>
      <w:r>
        <w:rPr>
          <w:rFonts w:ascii="Songti SC" w:hAnsi="Songti SC" w:eastAsia="Songti SC" w:cs="Songti SC"/>
          <w:color w:val="000000"/>
        </w:rPr>
        <w:t>支持按人员、部门、身份类别、账户状态查询。</w:t>
      </w:r>
    </w:p>
    <w:p w14:paraId="14AF7D54">
      <w:pPr>
        <w:ind w:firstLine="480"/>
        <w:rPr>
          <w:rFonts w:hint="eastAsia"/>
          <w:color w:val="000000"/>
        </w:rPr>
      </w:pPr>
      <w:r>
        <w:rPr>
          <w:rFonts w:ascii="Songti SC" w:hAnsi="Songti SC" w:eastAsia="Songti SC" w:cs="Songti SC"/>
          <w:color w:val="000000"/>
        </w:rPr>
        <w:t>展示余额构成和最近充值、消费、退款、补贴记录。</w:t>
      </w:r>
    </w:p>
    <w:p w14:paraId="2B67AAC0">
      <w:pPr>
        <w:ind w:firstLine="480"/>
        <w:rPr>
          <w:rFonts w:hint="eastAsia"/>
          <w:color w:val="000000"/>
        </w:rPr>
      </w:pPr>
      <w:r>
        <w:rPr>
          <w:rFonts w:ascii="Songti SC" w:hAnsi="Songti SC" w:eastAsia="Songti SC" w:cs="Songti SC"/>
          <w:color w:val="000000"/>
        </w:rPr>
        <w:t>支持财务核对导出。</w:t>
      </w:r>
    </w:p>
    <w:p w14:paraId="430E5A2C">
      <w:pPr>
        <w:ind w:firstLine="482"/>
        <w:rPr>
          <w:rFonts w:hint="eastAsia"/>
          <w:color w:val="000000"/>
        </w:rPr>
      </w:pPr>
      <w:r>
        <w:rPr>
          <w:rFonts w:hint="eastAsia" w:ascii="Songti SC" w:hAnsi="Songti SC" w:eastAsia="Songti SC" w:cs="Songti SC"/>
          <w:b/>
          <w:color w:val="000000"/>
        </w:rPr>
        <w:t>2.</w:t>
      </w:r>
      <w:r>
        <w:rPr>
          <w:rFonts w:ascii="Songti SC" w:hAnsi="Songti SC" w:eastAsia="Songti SC" w:cs="Songti SC"/>
          <w:b/>
          <w:color w:val="000000"/>
        </w:rPr>
        <w:t>适配做法</w:t>
      </w:r>
    </w:p>
    <w:p w14:paraId="18A61C55">
      <w:pPr>
        <w:ind w:firstLine="480"/>
        <w:rPr>
          <w:rFonts w:hint="eastAsia"/>
          <w:color w:val="000000"/>
        </w:rPr>
      </w:pPr>
      <w:r>
        <w:rPr>
          <w:rFonts w:ascii="Songti SC" w:hAnsi="Songti SC" w:eastAsia="Songti SC" w:cs="Songti SC"/>
          <w:color w:val="000000"/>
        </w:rPr>
        <w:t>余额查询与账户流水联动校验，发现余额和流水不一致时进入异常清单。</w:t>
      </w:r>
    </w:p>
    <w:p w14:paraId="3799B442">
      <w:pPr>
        <w:ind w:firstLine="480"/>
        <w:rPr>
          <w:rFonts w:hint="eastAsia"/>
          <w:color w:val="000000"/>
        </w:rPr>
      </w:pPr>
      <w:r>
        <w:rPr>
          <w:rFonts w:ascii="Songti SC" w:hAnsi="Songti SC" w:eastAsia="Songti SC" w:cs="Songti SC"/>
          <w:color w:val="000000"/>
        </w:rPr>
        <w:t>导出余额报表按权限控制，导出记录留痕。</w:t>
      </w:r>
    </w:p>
    <w:p w14:paraId="1EA5177A">
      <w:pPr>
        <w:pStyle w:val="5"/>
        <w:rPr>
          <w:rFonts w:hint="eastAsia"/>
          <w:color w:val="000000"/>
        </w:rPr>
      </w:pPr>
      <w:r>
        <w:rPr>
          <w:rFonts w:ascii="Songti SC" w:hAnsi="Songti SC" w:eastAsia="Songti SC" w:cs="Songti SC"/>
          <w:color w:val="000000"/>
        </w:rPr>
        <w:t>收银统计表</w:t>
      </w:r>
    </w:p>
    <w:p w14:paraId="3E827272">
      <w:pPr>
        <w:ind w:firstLine="480"/>
        <w:rPr>
          <w:rFonts w:hint="eastAsia"/>
          <w:color w:val="000000"/>
        </w:rPr>
      </w:pPr>
      <w:r>
        <w:rPr>
          <w:rFonts w:ascii="Songti SC" w:hAnsi="Songti SC" w:eastAsia="Songti SC" w:cs="Songti SC"/>
          <w:color w:val="000000"/>
        </w:rPr>
        <w:t>收银统计表用于统计不同支付方式、不同窗口和不同操作员的收款情况。</w:t>
      </w:r>
    </w:p>
    <w:p w14:paraId="2D6D5210">
      <w:pPr>
        <w:ind w:firstLine="482"/>
        <w:rPr>
          <w:rFonts w:hint="eastAsia"/>
          <w:color w:val="000000"/>
        </w:rPr>
      </w:pPr>
      <w:r>
        <w:rPr>
          <w:rFonts w:hint="eastAsia" w:ascii="Songti SC" w:hAnsi="Songti SC" w:eastAsia="Songti SC" w:cs="Songti SC"/>
          <w:b/>
          <w:color w:val="000000"/>
        </w:rPr>
        <w:t>1.改造</w:t>
      </w:r>
      <w:r>
        <w:rPr>
          <w:rFonts w:ascii="Songti SC" w:hAnsi="Songti SC" w:eastAsia="Songti SC" w:cs="Songti SC"/>
          <w:b/>
          <w:color w:val="000000"/>
        </w:rPr>
        <w:t>内容</w:t>
      </w:r>
    </w:p>
    <w:p w14:paraId="55F1F0B3">
      <w:pPr>
        <w:ind w:firstLine="480"/>
        <w:rPr>
          <w:rFonts w:hint="eastAsia"/>
          <w:color w:val="000000"/>
        </w:rPr>
      </w:pPr>
      <w:r>
        <w:rPr>
          <w:rFonts w:ascii="Songti SC" w:hAnsi="Songti SC" w:eastAsia="Songti SC" w:cs="Songti SC"/>
          <w:color w:val="000000"/>
        </w:rPr>
        <w:t>统计线下充值、现金退款、消费扣款等收银类数据。</w:t>
      </w:r>
    </w:p>
    <w:p w14:paraId="3DABE868">
      <w:pPr>
        <w:ind w:firstLine="480"/>
        <w:rPr>
          <w:rFonts w:hint="eastAsia"/>
          <w:color w:val="000000"/>
        </w:rPr>
      </w:pPr>
      <w:r>
        <w:rPr>
          <w:rFonts w:ascii="Songti SC" w:hAnsi="Songti SC" w:eastAsia="Songti SC" w:cs="Songti SC"/>
          <w:color w:val="000000"/>
        </w:rPr>
        <w:t>支持按日期、操作员、餐厅、支付方式汇总。</w:t>
      </w:r>
    </w:p>
    <w:p w14:paraId="06FFAE68">
      <w:pPr>
        <w:ind w:firstLine="480"/>
        <w:rPr>
          <w:rFonts w:hint="eastAsia"/>
          <w:color w:val="000000"/>
        </w:rPr>
      </w:pPr>
      <w:r>
        <w:rPr>
          <w:rFonts w:ascii="Songti SC" w:hAnsi="Songti SC" w:eastAsia="Songti SC" w:cs="Songti SC"/>
          <w:color w:val="000000"/>
        </w:rPr>
        <w:t>展示合计金额、笔数和异常状态。</w:t>
      </w:r>
    </w:p>
    <w:p w14:paraId="19D29058">
      <w:pPr>
        <w:ind w:firstLine="482"/>
        <w:rPr>
          <w:rFonts w:hint="eastAsia"/>
          <w:color w:val="000000"/>
        </w:rPr>
      </w:pPr>
      <w:r>
        <w:rPr>
          <w:rFonts w:hint="eastAsia" w:ascii="Songti SC" w:hAnsi="Songti SC" w:eastAsia="Songti SC" w:cs="Songti SC"/>
          <w:b/>
          <w:color w:val="000000"/>
        </w:rPr>
        <w:t>2.</w:t>
      </w:r>
      <w:r>
        <w:rPr>
          <w:rFonts w:ascii="Songti SC" w:hAnsi="Songti SC" w:eastAsia="Songti SC" w:cs="Songti SC"/>
          <w:b/>
          <w:color w:val="000000"/>
        </w:rPr>
        <w:t>适配做法</w:t>
      </w:r>
    </w:p>
    <w:p w14:paraId="3DF83B2A">
      <w:pPr>
        <w:ind w:firstLine="480"/>
        <w:rPr>
          <w:rFonts w:hint="eastAsia"/>
          <w:color w:val="000000"/>
        </w:rPr>
      </w:pPr>
      <w:r>
        <w:rPr>
          <w:rFonts w:ascii="Songti SC" w:hAnsi="Songti SC" w:eastAsia="Songti SC" w:cs="Songti SC"/>
          <w:color w:val="000000"/>
        </w:rPr>
        <w:t>金额字段统一精度，导出结果与页面结果保持一致。</w:t>
      </w:r>
    </w:p>
    <w:p w14:paraId="770280C3">
      <w:pPr>
        <w:ind w:firstLine="480"/>
        <w:rPr>
          <w:rFonts w:hint="eastAsia"/>
          <w:color w:val="000000"/>
        </w:rPr>
      </w:pPr>
      <w:r>
        <w:rPr>
          <w:rFonts w:ascii="Songti SC" w:hAnsi="Songti SC" w:eastAsia="Songti SC" w:cs="Songti SC"/>
          <w:color w:val="000000"/>
        </w:rPr>
        <w:t>收银统计与账户流水、充值记录交叉核对。</w:t>
      </w:r>
    </w:p>
    <w:p w14:paraId="3612B61F">
      <w:pPr>
        <w:pStyle w:val="5"/>
        <w:rPr>
          <w:rFonts w:hint="eastAsia"/>
          <w:color w:val="000000"/>
        </w:rPr>
      </w:pPr>
      <w:r>
        <w:rPr>
          <w:rFonts w:ascii="Songti SC" w:hAnsi="Songti SC" w:eastAsia="Songti SC" w:cs="Songti SC"/>
          <w:color w:val="000000"/>
        </w:rPr>
        <w:t>综合汇总表</w:t>
      </w:r>
    </w:p>
    <w:p w14:paraId="06E191B7">
      <w:pPr>
        <w:ind w:firstLine="480"/>
        <w:rPr>
          <w:rFonts w:hint="eastAsia"/>
          <w:color w:val="000000"/>
        </w:rPr>
      </w:pPr>
      <w:r>
        <w:rPr>
          <w:rFonts w:ascii="Songti SC" w:hAnsi="Songti SC" w:eastAsia="Songti SC" w:cs="Songti SC"/>
          <w:color w:val="000000"/>
        </w:rPr>
        <w:t>综合汇总表用于给管理单位查看一定周期内食堂消费系统整体运行情况。</w:t>
      </w:r>
    </w:p>
    <w:p w14:paraId="169FD3C7">
      <w:pPr>
        <w:ind w:firstLine="482"/>
        <w:rPr>
          <w:rFonts w:hint="eastAsia"/>
          <w:color w:val="000000"/>
        </w:rPr>
      </w:pPr>
      <w:r>
        <w:rPr>
          <w:rFonts w:hint="eastAsia" w:ascii="Songti SC" w:hAnsi="Songti SC" w:eastAsia="Songti SC" w:cs="Songti SC"/>
          <w:b/>
          <w:color w:val="000000"/>
        </w:rPr>
        <w:t>1.改造</w:t>
      </w:r>
      <w:r>
        <w:rPr>
          <w:rFonts w:ascii="Songti SC" w:hAnsi="Songti SC" w:eastAsia="Songti SC" w:cs="Songti SC"/>
          <w:b/>
          <w:color w:val="000000"/>
        </w:rPr>
        <w:t>内容</w:t>
      </w:r>
    </w:p>
    <w:p w14:paraId="0C8C38E9">
      <w:pPr>
        <w:ind w:firstLine="480"/>
        <w:rPr>
          <w:rFonts w:hint="eastAsia"/>
          <w:color w:val="000000"/>
        </w:rPr>
      </w:pPr>
      <w:r>
        <w:rPr>
          <w:rFonts w:ascii="Songti SC" w:hAnsi="Songti SC" w:eastAsia="Songti SC" w:cs="Songti SC"/>
          <w:color w:val="000000"/>
        </w:rPr>
        <w:t>汇总充值金额、消费金额、补贴金额、退款金额、订单数量、服务人数和异常数量。</w:t>
      </w:r>
    </w:p>
    <w:p w14:paraId="7A6FFE49">
      <w:pPr>
        <w:ind w:firstLine="480"/>
        <w:rPr>
          <w:rFonts w:hint="eastAsia"/>
          <w:color w:val="000000"/>
        </w:rPr>
      </w:pPr>
      <w:r>
        <w:rPr>
          <w:rFonts w:ascii="Songti SC" w:hAnsi="Songti SC" w:eastAsia="Songti SC" w:cs="Songti SC"/>
          <w:color w:val="000000"/>
        </w:rPr>
        <w:t>支持按办公区、部门、餐厅和分组。</w:t>
      </w:r>
    </w:p>
    <w:p w14:paraId="357B26D7">
      <w:pPr>
        <w:ind w:firstLine="480"/>
        <w:rPr>
          <w:rFonts w:hint="eastAsia"/>
          <w:color w:val="000000"/>
        </w:rPr>
      </w:pPr>
      <w:r>
        <w:rPr>
          <w:rFonts w:ascii="Songti SC" w:hAnsi="Songti SC" w:eastAsia="Songti SC" w:cs="Songti SC"/>
          <w:color w:val="000000"/>
        </w:rPr>
        <w:t>展示同比或环比时应保留统计周期口径。</w:t>
      </w:r>
    </w:p>
    <w:p w14:paraId="508DC45F">
      <w:pPr>
        <w:ind w:firstLine="482"/>
        <w:rPr>
          <w:rFonts w:hint="eastAsia"/>
          <w:color w:val="000000"/>
        </w:rPr>
      </w:pPr>
      <w:r>
        <w:rPr>
          <w:rFonts w:hint="eastAsia" w:ascii="Songti SC" w:hAnsi="Songti SC" w:eastAsia="Songti SC" w:cs="Songti SC"/>
          <w:b/>
          <w:color w:val="000000"/>
        </w:rPr>
        <w:t>2.</w:t>
      </w:r>
      <w:r>
        <w:rPr>
          <w:rFonts w:ascii="Songti SC" w:hAnsi="Songti SC" w:eastAsia="Songti SC" w:cs="Songti SC"/>
          <w:b/>
          <w:color w:val="000000"/>
        </w:rPr>
        <w:t>适配做法</w:t>
      </w:r>
    </w:p>
    <w:p w14:paraId="69B3482D">
      <w:pPr>
        <w:ind w:firstLine="480"/>
        <w:rPr>
          <w:rFonts w:hint="eastAsia"/>
          <w:color w:val="000000"/>
        </w:rPr>
      </w:pPr>
      <w:r>
        <w:rPr>
          <w:rFonts w:ascii="Songti SC" w:hAnsi="Songti SC" w:eastAsia="Songti SC" w:cs="Songti SC"/>
          <w:color w:val="000000"/>
        </w:rPr>
        <w:t>汇总数据从明细数据生成，支持下钻到明细。</w:t>
      </w:r>
    </w:p>
    <w:p w14:paraId="1DE4D41F">
      <w:pPr>
        <w:ind w:firstLine="480"/>
        <w:rPr>
          <w:rFonts w:hint="eastAsia"/>
          <w:color w:val="000000"/>
        </w:rPr>
      </w:pPr>
      <w:r>
        <w:rPr>
          <w:rFonts w:ascii="Songti SC" w:hAnsi="Songti SC" w:eastAsia="Songti SC" w:cs="Songti SC"/>
          <w:color w:val="000000"/>
        </w:rPr>
        <w:t>大范围查询采用异步生成，避免影响交易。</w:t>
      </w:r>
    </w:p>
    <w:p w14:paraId="6EAA60B5">
      <w:pPr>
        <w:pStyle w:val="5"/>
        <w:rPr>
          <w:rFonts w:hint="eastAsia"/>
          <w:color w:val="000000"/>
        </w:rPr>
      </w:pPr>
      <w:r>
        <w:rPr>
          <w:rFonts w:ascii="Songti SC" w:hAnsi="Songti SC" w:eastAsia="Songti SC" w:cs="Songti SC"/>
          <w:color w:val="000000"/>
        </w:rPr>
        <w:t>消费设备汇总</w:t>
      </w:r>
    </w:p>
    <w:p w14:paraId="194CE97B">
      <w:pPr>
        <w:ind w:firstLine="480"/>
        <w:rPr>
          <w:rFonts w:hint="eastAsia"/>
          <w:color w:val="000000"/>
        </w:rPr>
      </w:pPr>
      <w:r>
        <w:rPr>
          <w:rFonts w:ascii="Songti SC" w:hAnsi="Songti SC" w:eastAsia="Songti SC" w:cs="Songti SC"/>
          <w:color w:val="000000"/>
        </w:rPr>
        <w:t>消费设备汇总用于统计消费机运行和交易情况。</w:t>
      </w:r>
    </w:p>
    <w:p w14:paraId="36A5D28D">
      <w:pPr>
        <w:ind w:firstLine="482"/>
        <w:rPr>
          <w:rFonts w:hint="eastAsia"/>
          <w:color w:val="000000"/>
        </w:rPr>
      </w:pPr>
      <w:r>
        <w:rPr>
          <w:rFonts w:hint="eastAsia" w:ascii="Songti SC" w:hAnsi="Songti SC" w:eastAsia="Songti SC" w:cs="Songti SC"/>
          <w:b/>
          <w:color w:val="000000"/>
        </w:rPr>
        <w:t>1.改造</w:t>
      </w:r>
      <w:r>
        <w:rPr>
          <w:rFonts w:ascii="Songti SC" w:hAnsi="Songti SC" w:eastAsia="Songti SC" w:cs="Songti SC"/>
          <w:b/>
          <w:color w:val="000000"/>
        </w:rPr>
        <w:t>内容</w:t>
      </w:r>
    </w:p>
    <w:p w14:paraId="128B2DE9">
      <w:pPr>
        <w:ind w:firstLine="480"/>
        <w:rPr>
          <w:rFonts w:hint="eastAsia"/>
          <w:color w:val="000000"/>
        </w:rPr>
      </w:pPr>
      <w:r>
        <w:rPr>
          <w:rFonts w:ascii="Songti SC" w:hAnsi="Songti SC" w:eastAsia="Songti SC" w:cs="Songti SC"/>
          <w:color w:val="000000"/>
        </w:rPr>
        <w:t>按消费机展示在线时长、交易笔数、成功笔数、失败笔数、离线补传数量和最近心跳。</w:t>
      </w:r>
    </w:p>
    <w:p w14:paraId="006D1073">
      <w:pPr>
        <w:ind w:firstLine="480"/>
        <w:rPr>
          <w:rFonts w:hint="eastAsia"/>
          <w:color w:val="000000"/>
        </w:rPr>
      </w:pPr>
      <w:r>
        <w:rPr>
          <w:rFonts w:ascii="Songti SC" w:hAnsi="Songti SC" w:eastAsia="Songti SC" w:cs="Songti SC"/>
          <w:color w:val="000000"/>
        </w:rPr>
        <w:t>支持按办公区、餐厅、查询设备状态。</w:t>
      </w:r>
    </w:p>
    <w:p w14:paraId="731CC638">
      <w:pPr>
        <w:ind w:firstLine="480"/>
        <w:rPr>
          <w:rFonts w:hint="eastAsia"/>
          <w:color w:val="000000"/>
        </w:rPr>
      </w:pPr>
      <w:r>
        <w:rPr>
          <w:rFonts w:ascii="Songti SC" w:hAnsi="Songti SC" w:eastAsia="Songti SC" w:cs="Songti SC"/>
          <w:color w:val="000000"/>
        </w:rPr>
        <w:t>异常消费机可进入问题跟踪。</w:t>
      </w:r>
    </w:p>
    <w:p w14:paraId="31ED4643">
      <w:pPr>
        <w:ind w:firstLine="482"/>
        <w:rPr>
          <w:rFonts w:hint="eastAsia"/>
          <w:color w:val="000000"/>
        </w:rPr>
      </w:pPr>
      <w:r>
        <w:rPr>
          <w:rFonts w:hint="eastAsia" w:ascii="Songti SC" w:hAnsi="Songti SC" w:eastAsia="Songti SC" w:cs="Songti SC"/>
          <w:b/>
          <w:color w:val="000000"/>
        </w:rPr>
        <w:t>2.</w:t>
      </w:r>
      <w:r>
        <w:rPr>
          <w:rFonts w:ascii="Songti SC" w:hAnsi="Songti SC" w:eastAsia="Songti SC" w:cs="Songti SC"/>
          <w:b/>
          <w:color w:val="000000"/>
        </w:rPr>
        <w:t>适配做法</w:t>
      </w:r>
    </w:p>
    <w:p w14:paraId="76AD375A">
      <w:pPr>
        <w:ind w:firstLine="480"/>
        <w:rPr>
          <w:rFonts w:hint="eastAsia"/>
          <w:color w:val="000000"/>
        </w:rPr>
      </w:pPr>
      <w:r>
        <w:rPr>
          <w:rFonts w:ascii="Songti SC" w:hAnsi="Songti SC" w:eastAsia="Songti SC" w:cs="Songti SC"/>
          <w:color w:val="000000"/>
        </w:rPr>
        <w:t>消费机统一命名，不展示各类硬件差异名称。</w:t>
      </w:r>
    </w:p>
    <w:p w14:paraId="6E316EAE">
      <w:pPr>
        <w:ind w:firstLine="480"/>
        <w:rPr>
          <w:rFonts w:hint="eastAsia"/>
          <w:color w:val="000000"/>
        </w:rPr>
      </w:pPr>
      <w:r>
        <w:rPr>
          <w:rFonts w:ascii="Songti SC" w:hAnsi="Songti SC" w:eastAsia="Songti SC" w:cs="Songti SC"/>
          <w:color w:val="000000"/>
        </w:rPr>
        <w:t>设备统计用于反映消费终端接入、交易和运行状态。</w:t>
      </w:r>
    </w:p>
    <w:p w14:paraId="796FF421">
      <w:pPr>
        <w:pStyle w:val="5"/>
        <w:rPr>
          <w:rFonts w:hint="eastAsia"/>
          <w:color w:val="000000"/>
        </w:rPr>
      </w:pPr>
      <w:r>
        <w:rPr>
          <w:rFonts w:ascii="Songti SC" w:hAnsi="Songti SC" w:eastAsia="Songti SC" w:cs="Songti SC"/>
          <w:color w:val="000000"/>
        </w:rPr>
        <w:t>部门消费统计</w:t>
      </w:r>
    </w:p>
    <w:p w14:paraId="56F59DFB">
      <w:pPr>
        <w:ind w:firstLine="480"/>
        <w:rPr>
          <w:rFonts w:hint="eastAsia"/>
          <w:color w:val="000000"/>
        </w:rPr>
      </w:pPr>
      <w:r>
        <w:rPr>
          <w:rFonts w:ascii="Songti SC" w:hAnsi="Songti SC" w:eastAsia="Songti SC" w:cs="Songti SC"/>
          <w:color w:val="000000"/>
        </w:rPr>
        <w:t>部门消费统计用于按部门查看人员消费情况。</w:t>
      </w:r>
    </w:p>
    <w:p w14:paraId="27BA9A19">
      <w:pPr>
        <w:ind w:firstLine="482"/>
        <w:rPr>
          <w:rFonts w:hint="eastAsia"/>
          <w:color w:val="000000"/>
        </w:rPr>
      </w:pPr>
      <w:r>
        <w:rPr>
          <w:rFonts w:hint="eastAsia" w:ascii="Songti SC" w:hAnsi="Songti SC" w:eastAsia="Songti SC" w:cs="Songti SC"/>
          <w:b/>
          <w:color w:val="000000"/>
        </w:rPr>
        <w:t>1.改造</w:t>
      </w:r>
      <w:r>
        <w:rPr>
          <w:rFonts w:ascii="Songti SC" w:hAnsi="Songti SC" w:eastAsia="Songti SC" w:cs="Songti SC"/>
          <w:b/>
          <w:color w:val="000000"/>
        </w:rPr>
        <w:t>内容</w:t>
      </w:r>
    </w:p>
    <w:p w14:paraId="3CB68AD9">
      <w:pPr>
        <w:ind w:firstLine="480"/>
        <w:rPr>
          <w:rFonts w:hint="eastAsia"/>
          <w:color w:val="000000"/>
        </w:rPr>
      </w:pPr>
      <w:r>
        <w:rPr>
          <w:rFonts w:ascii="Songti SC" w:hAnsi="Songti SC" w:eastAsia="Songti SC" w:cs="Songti SC"/>
          <w:color w:val="000000"/>
        </w:rPr>
        <w:t>统计部门消费人数、消费笔数、消费金额、补贴使用和人均消费。</w:t>
      </w:r>
    </w:p>
    <w:p w14:paraId="41F97189">
      <w:pPr>
        <w:ind w:firstLine="480"/>
        <w:rPr>
          <w:rFonts w:hint="eastAsia"/>
          <w:color w:val="000000"/>
        </w:rPr>
      </w:pPr>
      <w:r>
        <w:rPr>
          <w:rFonts w:ascii="Songti SC" w:hAnsi="Songti SC" w:eastAsia="Songti SC" w:cs="Songti SC"/>
          <w:color w:val="000000"/>
        </w:rPr>
        <w:t>支持按餐次、餐厅、身份类别筛选。</w:t>
      </w:r>
    </w:p>
    <w:p w14:paraId="19857248">
      <w:pPr>
        <w:ind w:firstLine="480"/>
        <w:rPr>
          <w:rFonts w:hint="eastAsia"/>
          <w:color w:val="000000"/>
        </w:rPr>
      </w:pPr>
      <w:r>
        <w:rPr>
          <w:rFonts w:ascii="Songti SC" w:hAnsi="Songti SC" w:eastAsia="Songti SC" w:cs="Songti SC"/>
          <w:color w:val="000000"/>
        </w:rPr>
        <w:t>可下钻到人员明细。</w:t>
      </w:r>
    </w:p>
    <w:p w14:paraId="2F7E0202">
      <w:pPr>
        <w:ind w:firstLine="482"/>
        <w:rPr>
          <w:rFonts w:hint="eastAsia"/>
          <w:color w:val="000000"/>
        </w:rPr>
      </w:pPr>
      <w:r>
        <w:rPr>
          <w:rFonts w:hint="eastAsia" w:ascii="Songti SC" w:hAnsi="Songti SC" w:eastAsia="Songti SC" w:cs="Songti SC"/>
          <w:b/>
          <w:color w:val="000000"/>
        </w:rPr>
        <w:t>2.</w:t>
      </w:r>
      <w:r>
        <w:rPr>
          <w:rFonts w:ascii="Songti SC" w:hAnsi="Songti SC" w:eastAsia="Songti SC" w:cs="Songti SC"/>
          <w:b/>
          <w:color w:val="000000"/>
        </w:rPr>
        <w:t>适配做法</w:t>
      </w:r>
    </w:p>
    <w:p w14:paraId="101FD601">
      <w:pPr>
        <w:ind w:firstLine="480"/>
        <w:rPr>
          <w:rFonts w:hint="eastAsia"/>
          <w:color w:val="000000"/>
        </w:rPr>
      </w:pPr>
      <w:r>
        <w:rPr>
          <w:rFonts w:ascii="Songti SC" w:hAnsi="Songti SC" w:eastAsia="Songti SC" w:cs="Songti SC"/>
          <w:color w:val="000000"/>
        </w:rPr>
        <w:t>部门变更保留历史口径，历史订单仍归属交易发生时部门。</w:t>
      </w:r>
    </w:p>
    <w:p w14:paraId="30619E95">
      <w:pPr>
        <w:ind w:firstLine="480"/>
        <w:rPr>
          <w:rFonts w:hint="eastAsia"/>
          <w:color w:val="000000"/>
        </w:rPr>
      </w:pPr>
      <w:r>
        <w:rPr>
          <w:rFonts w:ascii="Songti SC" w:hAnsi="Songti SC" w:eastAsia="Songti SC" w:cs="Songti SC"/>
          <w:color w:val="000000"/>
        </w:rPr>
        <w:t>导出时按数据权限过滤。</w:t>
      </w:r>
    </w:p>
    <w:p w14:paraId="2C0D9924">
      <w:pPr>
        <w:pStyle w:val="5"/>
        <w:rPr>
          <w:rFonts w:hint="eastAsia"/>
          <w:color w:val="000000"/>
        </w:rPr>
      </w:pPr>
      <w:r>
        <w:rPr>
          <w:rFonts w:ascii="Songti SC" w:hAnsi="Songti SC" w:eastAsia="Songti SC" w:cs="Songti SC"/>
          <w:color w:val="000000"/>
        </w:rPr>
        <w:t>餐厅消费汇总</w:t>
      </w:r>
    </w:p>
    <w:p w14:paraId="20B8B9D8">
      <w:pPr>
        <w:ind w:firstLine="480"/>
        <w:rPr>
          <w:rFonts w:hint="eastAsia"/>
          <w:color w:val="000000"/>
        </w:rPr>
      </w:pPr>
      <w:r>
        <w:rPr>
          <w:rFonts w:ascii="Songti SC" w:hAnsi="Songti SC" w:eastAsia="Songti SC" w:cs="Songti SC"/>
          <w:color w:val="000000"/>
        </w:rPr>
        <w:t>餐厅消费汇总用于按餐厅和查看经营情况。</w:t>
      </w:r>
    </w:p>
    <w:p w14:paraId="69BE5D0C">
      <w:pPr>
        <w:ind w:firstLine="482"/>
        <w:rPr>
          <w:rFonts w:hint="eastAsia"/>
          <w:color w:val="000000"/>
        </w:rPr>
      </w:pPr>
      <w:r>
        <w:rPr>
          <w:rFonts w:hint="eastAsia" w:ascii="Songti SC" w:hAnsi="Songti SC" w:eastAsia="Songti SC" w:cs="Songti SC"/>
          <w:b/>
          <w:color w:val="000000"/>
        </w:rPr>
        <w:t>1.改造</w:t>
      </w:r>
      <w:r>
        <w:rPr>
          <w:rFonts w:ascii="Songti SC" w:hAnsi="Songti SC" w:eastAsia="Songti SC" w:cs="Songti SC"/>
          <w:b/>
          <w:color w:val="000000"/>
        </w:rPr>
        <w:t>内容</w:t>
      </w:r>
    </w:p>
    <w:p w14:paraId="47047D6F">
      <w:pPr>
        <w:ind w:firstLine="480"/>
        <w:rPr>
          <w:rFonts w:hint="eastAsia"/>
          <w:color w:val="000000"/>
        </w:rPr>
      </w:pPr>
      <w:r>
        <w:rPr>
          <w:rFonts w:ascii="Songti SC" w:hAnsi="Songti SC" w:eastAsia="Songti SC" w:cs="Songti SC"/>
          <w:color w:val="000000"/>
        </w:rPr>
        <w:t>统计餐厅、菜品、餐次的订单数和消费金额。</w:t>
      </w:r>
    </w:p>
    <w:p w14:paraId="124CF0A1">
      <w:pPr>
        <w:ind w:firstLine="480"/>
        <w:rPr>
          <w:rFonts w:hint="eastAsia"/>
          <w:color w:val="000000"/>
        </w:rPr>
      </w:pPr>
      <w:r>
        <w:rPr>
          <w:rFonts w:ascii="Songti SC" w:hAnsi="Songti SC" w:eastAsia="Songti SC" w:cs="Songti SC"/>
          <w:color w:val="000000"/>
        </w:rPr>
        <w:t>支持菜品销售报表、菜品销量明细、营收结算表。</w:t>
      </w:r>
    </w:p>
    <w:p w14:paraId="2CB81A25">
      <w:pPr>
        <w:ind w:firstLine="480"/>
        <w:rPr>
          <w:rFonts w:hint="eastAsia"/>
          <w:color w:val="000000"/>
        </w:rPr>
      </w:pPr>
      <w:r>
        <w:rPr>
          <w:rFonts w:ascii="Songti SC" w:hAnsi="Songti SC" w:eastAsia="Songti SC" w:cs="Songti SC"/>
          <w:color w:val="000000"/>
        </w:rPr>
        <w:t>支持餐厅经营汇报。</w:t>
      </w:r>
    </w:p>
    <w:p w14:paraId="2DCFC620">
      <w:pPr>
        <w:ind w:firstLine="482"/>
        <w:rPr>
          <w:rFonts w:hint="eastAsia"/>
          <w:color w:val="000000"/>
        </w:rPr>
      </w:pPr>
      <w:r>
        <w:rPr>
          <w:rFonts w:hint="eastAsia" w:ascii="Songti SC" w:hAnsi="Songti SC" w:eastAsia="Songti SC" w:cs="Songti SC"/>
          <w:b/>
          <w:color w:val="000000"/>
        </w:rPr>
        <w:t>2.</w:t>
      </w:r>
      <w:r>
        <w:rPr>
          <w:rFonts w:ascii="Songti SC" w:hAnsi="Songti SC" w:eastAsia="Songti SC" w:cs="Songti SC"/>
          <w:b/>
          <w:color w:val="000000"/>
        </w:rPr>
        <w:t>适配做法</w:t>
      </w:r>
    </w:p>
    <w:p w14:paraId="16F07472">
      <w:pPr>
        <w:ind w:firstLine="480"/>
        <w:rPr>
          <w:rFonts w:hint="eastAsia"/>
          <w:color w:val="000000"/>
        </w:rPr>
      </w:pPr>
      <w:r>
        <w:rPr>
          <w:rFonts w:ascii="Songti SC" w:hAnsi="Songti SC" w:eastAsia="Songti SC" w:cs="Songti SC"/>
          <w:color w:val="000000"/>
        </w:rPr>
        <w:t>菜品销售与订单明细关联，保证经营报表可追溯。</w:t>
      </w:r>
    </w:p>
    <w:p w14:paraId="21B00372">
      <w:pPr>
        <w:pStyle w:val="4"/>
        <w:rPr>
          <w:rFonts w:hint="eastAsia"/>
          <w:color w:val="000000"/>
          <w:lang w:eastAsia="zh-CN"/>
        </w:rPr>
      </w:pPr>
      <w:bookmarkStart w:id="353" w:name="_Toc1038432266"/>
      <w:r>
        <w:rPr>
          <w:rFonts w:ascii="Songti SC" w:hAnsi="Songti SC" w:eastAsia="Songti SC" w:cs="Songti SC"/>
          <w:color w:val="000000"/>
          <w:lang w:eastAsia="zh-CN"/>
        </w:rPr>
        <w:t>消费机支持软件兼容适配</w:t>
      </w:r>
      <w:bookmarkEnd w:id="353"/>
    </w:p>
    <w:p w14:paraId="7880F192">
      <w:pPr>
        <w:ind w:firstLine="480"/>
        <w:rPr>
          <w:rFonts w:hint="eastAsia"/>
          <w:color w:val="000000"/>
        </w:rPr>
      </w:pPr>
      <w:r>
        <w:rPr>
          <w:rFonts w:ascii="Songti SC" w:hAnsi="Songti SC" w:eastAsia="Songti SC" w:cs="Songti SC"/>
          <w:color w:val="000000"/>
        </w:rPr>
        <w:t>消费终端是现场就餐服务的关键入口。本项目对55台消费终端进行必要更新，并完成新环境接入、参数配置、人员同步、刷卡消费、扫码消费、人脸消费、菜品消费、离线补传、状态监测和异常回传。</w:t>
      </w:r>
    </w:p>
    <w:p w14:paraId="05C060FC">
      <w:pPr>
        <w:pStyle w:val="5"/>
        <w:rPr>
          <w:rFonts w:hint="eastAsia"/>
          <w:color w:val="000000"/>
        </w:rPr>
      </w:pPr>
      <w:r>
        <w:rPr>
          <w:rFonts w:ascii="Songti SC" w:hAnsi="Songti SC" w:eastAsia="Songti SC" w:cs="Songti SC"/>
          <w:color w:val="000000"/>
        </w:rPr>
        <w:t>兼容适配改造</w:t>
      </w:r>
    </w:p>
    <w:p w14:paraId="4055493C">
      <w:pPr>
        <w:ind w:firstLine="480"/>
        <w:rPr>
          <w:rFonts w:hint="eastAsia"/>
          <w:color w:val="000000"/>
        </w:rPr>
      </w:pPr>
      <w:r>
        <w:rPr>
          <w:rFonts w:ascii="Songti SC" w:hAnsi="Songti SC" w:eastAsia="Songti SC" w:cs="Songti SC"/>
          <w:color w:val="000000"/>
        </w:rPr>
        <w:t>终端更新及接入适配用于保证现场消费设备能够访问建设单位统筹确定的政务云运行环境中的新服务地址。</w:t>
      </w:r>
    </w:p>
    <w:p w14:paraId="22E76AA6">
      <w:pPr>
        <w:ind w:firstLine="482"/>
        <w:rPr>
          <w:rFonts w:hint="eastAsia"/>
          <w:color w:val="000000"/>
        </w:rPr>
      </w:pPr>
      <w:r>
        <w:rPr>
          <w:rFonts w:hint="eastAsia" w:ascii="Songti SC" w:hAnsi="Songti SC" w:eastAsia="Songti SC" w:cs="Songti SC"/>
          <w:b/>
          <w:color w:val="000000"/>
        </w:rPr>
        <w:t>1.改造</w:t>
      </w:r>
      <w:r>
        <w:rPr>
          <w:rFonts w:ascii="Songti SC" w:hAnsi="Songti SC" w:eastAsia="Songti SC" w:cs="Songti SC"/>
          <w:b/>
          <w:color w:val="000000"/>
        </w:rPr>
        <w:t>内容</w:t>
      </w:r>
    </w:p>
    <w:p w14:paraId="22F332B4">
      <w:pPr>
        <w:ind w:firstLine="480"/>
        <w:rPr>
          <w:rFonts w:hint="eastAsia"/>
          <w:color w:val="000000"/>
        </w:rPr>
      </w:pPr>
      <w:r>
        <w:rPr>
          <w:rFonts w:ascii="Songti SC" w:hAnsi="Songti SC" w:eastAsia="Songti SC" w:cs="Songti SC"/>
          <w:color w:val="000000"/>
        </w:rPr>
        <w:t>配置新环境服务地址、端口、证书、设备编号、配对码和所属点位。</w:t>
      </w:r>
    </w:p>
    <w:p w14:paraId="66ECF968">
      <w:pPr>
        <w:ind w:firstLine="480"/>
        <w:rPr>
          <w:rFonts w:hint="eastAsia"/>
          <w:color w:val="000000"/>
        </w:rPr>
      </w:pPr>
      <w:r>
        <w:rPr>
          <w:rFonts w:ascii="Songti SC" w:hAnsi="Songti SC" w:eastAsia="Songti SC" w:cs="Songti SC"/>
          <w:color w:val="000000"/>
        </w:rPr>
        <w:t>验证消费机启动、登录、心跳、参数获取和时间同步。</w:t>
      </w:r>
    </w:p>
    <w:p w14:paraId="2C28F8B4">
      <w:pPr>
        <w:ind w:firstLine="480"/>
        <w:rPr>
          <w:rFonts w:hint="eastAsia"/>
          <w:color w:val="000000"/>
        </w:rPr>
      </w:pPr>
      <w:r>
        <w:rPr>
          <w:rFonts w:ascii="Songti SC" w:hAnsi="Songti SC" w:eastAsia="Songti SC" w:cs="Songti SC"/>
          <w:color w:val="000000"/>
        </w:rPr>
        <w:t>保留原有消费终端点位和业务归属，根据更新后的终端形态完成现场安装和配置。</w:t>
      </w:r>
    </w:p>
    <w:p w14:paraId="3AD9D6C6">
      <w:pPr>
        <w:ind w:firstLine="482"/>
        <w:rPr>
          <w:rFonts w:hint="eastAsia"/>
          <w:color w:val="000000"/>
        </w:rPr>
      </w:pPr>
      <w:r>
        <w:rPr>
          <w:rFonts w:hint="eastAsia" w:ascii="Songti SC" w:hAnsi="Songti SC" w:eastAsia="Songti SC" w:cs="Songti SC"/>
          <w:b/>
          <w:color w:val="000000"/>
        </w:rPr>
        <w:t>2.</w:t>
      </w:r>
      <w:r>
        <w:rPr>
          <w:rFonts w:ascii="Songti SC" w:hAnsi="Songti SC" w:eastAsia="Songti SC" w:cs="Songti SC"/>
          <w:b/>
          <w:color w:val="000000"/>
        </w:rPr>
        <w:t>适配做法</w:t>
      </w:r>
    </w:p>
    <w:p w14:paraId="52114B69">
      <w:pPr>
        <w:ind w:firstLine="480"/>
        <w:rPr>
          <w:rFonts w:hint="eastAsia"/>
          <w:color w:val="000000"/>
        </w:rPr>
      </w:pPr>
      <w:r>
        <w:rPr>
          <w:rFonts w:ascii="Songti SC" w:hAnsi="Songti SC" w:eastAsia="Songti SC" w:cs="Songti SC"/>
          <w:color w:val="000000"/>
        </w:rPr>
        <w:t>消费机通过服务地址切换接入新平台，失败时可回退至原配置。</w:t>
      </w:r>
    </w:p>
    <w:p w14:paraId="7C86E10B">
      <w:pPr>
        <w:ind w:firstLine="480"/>
        <w:rPr>
          <w:rFonts w:hint="eastAsia"/>
          <w:color w:val="000000"/>
        </w:rPr>
      </w:pPr>
      <w:r>
        <w:rPr>
          <w:rFonts w:ascii="Songti SC" w:hAnsi="Songti SC" w:eastAsia="Songti SC" w:cs="Songti SC"/>
          <w:color w:val="000000"/>
        </w:rPr>
        <w:t>对不同消费机软件版本建立适配台账，记录已验证功能和问题。</w:t>
      </w:r>
    </w:p>
    <w:p w14:paraId="5D746465">
      <w:pPr>
        <w:pStyle w:val="5"/>
        <w:rPr>
          <w:rFonts w:hint="eastAsia"/>
          <w:color w:val="000000"/>
        </w:rPr>
      </w:pPr>
      <w:r>
        <w:rPr>
          <w:rFonts w:ascii="Songti SC" w:hAnsi="Songti SC" w:eastAsia="Songti SC" w:cs="Songti SC"/>
          <w:color w:val="000000"/>
        </w:rPr>
        <w:t>业务逻辑适配改造</w:t>
      </w:r>
    </w:p>
    <w:p w14:paraId="553C6B34">
      <w:pPr>
        <w:ind w:firstLine="480"/>
        <w:rPr>
          <w:rFonts w:hint="eastAsia"/>
          <w:color w:val="000000"/>
        </w:rPr>
      </w:pPr>
      <w:r>
        <w:rPr>
          <w:rFonts w:ascii="Songti SC" w:hAnsi="Songti SC" w:eastAsia="Songti SC" w:cs="Songti SC"/>
          <w:color w:val="000000"/>
        </w:rPr>
        <w:t>业务逻辑适配用于保证消费机发起的每笔交易都按统一后台规则处理。</w:t>
      </w:r>
    </w:p>
    <w:p w14:paraId="09E9950B">
      <w:pPr>
        <w:ind w:firstLine="482"/>
        <w:rPr>
          <w:rFonts w:hint="eastAsia"/>
          <w:color w:val="000000"/>
        </w:rPr>
      </w:pPr>
      <w:r>
        <w:rPr>
          <w:rFonts w:hint="eastAsia" w:ascii="Songti SC" w:hAnsi="Songti SC" w:eastAsia="Songti SC" w:cs="Songti SC"/>
          <w:b/>
          <w:color w:val="000000"/>
        </w:rPr>
        <w:t>1.改造</w:t>
      </w:r>
      <w:r>
        <w:rPr>
          <w:rFonts w:ascii="Songti SC" w:hAnsi="Songti SC" w:eastAsia="Songti SC" w:cs="Songti SC"/>
          <w:b/>
          <w:color w:val="000000"/>
        </w:rPr>
        <w:t>内容</w:t>
      </w:r>
    </w:p>
    <w:p w14:paraId="610770BB">
      <w:pPr>
        <w:ind w:firstLine="480"/>
        <w:rPr>
          <w:rFonts w:hint="eastAsia"/>
          <w:color w:val="000000"/>
        </w:rPr>
      </w:pPr>
      <w:r>
        <w:rPr>
          <w:rFonts w:ascii="Songti SC" w:hAnsi="Songti SC" w:eastAsia="Songti SC" w:cs="Songti SC"/>
          <w:color w:val="000000"/>
        </w:rPr>
        <w:t>消费机提交人员标识、消费方式、金额、设备号、餐次和本地订单号。</w:t>
      </w:r>
    </w:p>
    <w:p w14:paraId="757C9670">
      <w:pPr>
        <w:ind w:firstLine="480"/>
        <w:rPr>
          <w:rFonts w:hint="eastAsia"/>
          <w:color w:val="000000"/>
        </w:rPr>
      </w:pPr>
      <w:r>
        <w:rPr>
          <w:rFonts w:ascii="Songti SC" w:hAnsi="Songti SC" w:eastAsia="Songti SC" w:cs="Songti SC"/>
          <w:color w:val="000000"/>
        </w:rPr>
        <w:t>后台统一校验人员状态、卡状态、账户余额、身份类别、消费策略和餐次规则。</w:t>
      </w:r>
    </w:p>
    <w:p w14:paraId="47A44517">
      <w:pPr>
        <w:ind w:firstLine="480"/>
        <w:rPr>
          <w:rFonts w:hint="eastAsia"/>
          <w:color w:val="000000"/>
        </w:rPr>
      </w:pPr>
      <w:r>
        <w:rPr>
          <w:rFonts w:ascii="Songti SC" w:hAnsi="Songti SC" w:eastAsia="Songti SC" w:cs="Songti SC"/>
          <w:color w:val="000000"/>
        </w:rPr>
        <w:t>扣款成功后返回结果，消费机展示成功或失败原因。</w:t>
      </w:r>
    </w:p>
    <w:p w14:paraId="03FB6DAF">
      <w:pPr>
        <w:ind w:firstLine="482"/>
        <w:rPr>
          <w:rFonts w:hint="eastAsia"/>
          <w:color w:val="000000"/>
        </w:rPr>
      </w:pPr>
      <w:r>
        <w:rPr>
          <w:rFonts w:hint="eastAsia" w:ascii="Songti SC" w:hAnsi="Songti SC" w:eastAsia="Songti SC" w:cs="Songti SC"/>
          <w:b/>
          <w:color w:val="000000"/>
        </w:rPr>
        <w:t>2.</w:t>
      </w:r>
      <w:r>
        <w:rPr>
          <w:rFonts w:ascii="Songti SC" w:hAnsi="Songti SC" w:eastAsia="Songti SC" w:cs="Songti SC"/>
          <w:b/>
          <w:color w:val="000000"/>
        </w:rPr>
        <w:t>适配做法</w:t>
      </w:r>
    </w:p>
    <w:p w14:paraId="5FAB7C62">
      <w:pPr>
        <w:ind w:firstLine="480"/>
        <w:rPr>
          <w:rFonts w:hint="eastAsia"/>
          <w:color w:val="000000"/>
        </w:rPr>
      </w:pPr>
      <w:r>
        <w:rPr>
          <w:rFonts w:ascii="Songti SC" w:hAnsi="Songti SC" w:eastAsia="Songti SC" w:cs="Songti SC"/>
          <w:color w:val="000000"/>
        </w:rPr>
        <w:t>消费机不直接决定最终扣款结果，最终结果以后台账户流水为准。</w:t>
      </w:r>
    </w:p>
    <w:p w14:paraId="50CFA314">
      <w:pPr>
        <w:ind w:firstLine="480"/>
        <w:rPr>
          <w:rFonts w:hint="eastAsia"/>
          <w:color w:val="000000"/>
        </w:rPr>
      </w:pPr>
      <w:r>
        <w:rPr>
          <w:rFonts w:ascii="Songti SC" w:hAnsi="Songti SC" w:eastAsia="Songti SC" w:cs="Songti SC"/>
          <w:color w:val="000000"/>
        </w:rPr>
        <w:t>交易失败时返回明确失败原因，如余额不足、人员无效、卡已挂失、超出餐次等。</w:t>
      </w:r>
    </w:p>
    <w:p w14:paraId="48B00A2F">
      <w:pPr>
        <w:pStyle w:val="5"/>
        <w:rPr>
          <w:rFonts w:hint="eastAsia"/>
          <w:color w:val="000000"/>
        </w:rPr>
      </w:pPr>
      <w:r>
        <w:rPr>
          <w:rFonts w:ascii="Songti SC" w:hAnsi="Songti SC" w:eastAsia="Songti SC" w:cs="Songti SC"/>
          <w:color w:val="000000"/>
        </w:rPr>
        <w:t>数据访问与处理适配</w:t>
      </w:r>
    </w:p>
    <w:p w14:paraId="248397B3">
      <w:pPr>
        <w:ind w:firstLine="480"/>
        <w:rPr>
          <w:rFonts w:hint="eastAsia"/>
          <w:color w:val="000000"/>
        </w:rPr>
      </w:pPr>
      <w:r>
        <w:rPr>
          <w:rFonts w:ascii="Songti SC" w:hAnsi="Songti SC" w:eastAsia="Songti SC" w:cs="Songti SC"/>
          <w:color w:val="000000"/>
        </w:rPr>
        <w:t>数据访问与处理适配用于保障消费机人员底库、卡号、人脸数据、订单数据和补传数据正确处理。</w:t>
      </w:r>
    </w:p>
    <w:p w14:paraId="675F73B5">
      <w:pPr>
        <w:ind w:firstLine="482"/>
        <w:rPr>
          <w:rFonts w:hint="eastAsia"/>
          <w:color w:val="000000"/>
        </w:rPr>
      </w:pPr>
      <w:r>
        <w:rPr>
          <w:rFonts w:hint="eastAsia" w:ascii="Songti SC" w:hAnsi="Songti SC" w:eastAsia="Songti SC" w:cs="Songti SC"/>
          <w:b/>
          <w:color w:val="000000"/>
        </w:rPr>
        <w:t>1.改造</w:t>
      </w:r>
      <w:r>
        <w:rPr>
          <w:rFonts w:ascii="Songti SC" w:hAnsi="Songti SC" w:eastAsia="Songti SC" w:cs="Songti SC"/>
          <w:b/>
          <w:color w:val="000000"/>
        </w:rPr>
        <w:t>内容</w:t>
      </w:r>
    </w:p>
    <w:p w14:paraId="53E6E41C">
      <w:pPr>
        <w:ind w:firstLine="480"/>
        <w:rPr>
          <w:rFonts w:hint="eastAsia"/>
          <w:color w:val="000000"/>
        </w:rPr>
      </w:pPr>
      <w:r>
        <w:rPr>
          <w:rFonts w:ascii="Songti SC" w:hAnsi="Songti SC" w:eastAsia="Songti SC" w:cs="Songti SC"/>
          <w:color w:val="000000"/>
        </w:rPr>
        <w:t>支持全量人员初始化和增量人员同步。</w:t>
      </w:r>
    </w:p>
    <w:p w14:paraId="5BC9DB97">
      <w:pPr>
        <w:ind w:firstLine="480"/>
        <w:rPr>
          <w:rFonts w:hint="eastAsia"/>
          <w:color w:val="000000"/>
        </w:rPr>
      </w:pPr>
      <w:r>
        <w:rPr>
          <w:rFonts w:ascii="Songti SC" w:hAnsi="Songti SC" w:eastAsia="Songti SC" w:cs="Songti SC"/>
          <w:color w:val="000000"/>
        </w:rPr>
        <w:t>支持人员新增、修改、注销、挂失、恢复等状态变化同步。</w:t>
      </w:r>
    </w:p>
    <w:p w14:paraId="69FA0C64">
      <w:pPr>
        <w:ind w:firstLine="480"/>
        <w:rPr>
          <w:rFonts w:hint="eastAsia"/>
          <w:color w:val="000000"/>
        </w:rPr>
      </w:pPr>
      <w:r>
        <w:rPr>
          <w:rFonts w:ascii="Songti SC" w:hAnsi="Songti SC" w:eastAsia="Songti SC" w:cs="Songti SC"/>
          <w:color w:val="000000"/>
        </w:rPr>
        <w:t>支持消费机本地订单按队列上传和结果回写。</w:t>
      </w:r>
    </w:p>
    <w:p w14:paraId="38BA3EAE">
      <w:pPr>
        <w:ind w:firstLine="482"/>
        <w:rPr>
          <w:rFonts w:hint="eastAsia"/>
          <w:color w:val="000000"/>
        </w:rPr>
      </w:pPr>
      <w:r>
        <w:rPr>
          <w:rFonts w:hint="eastAsia" w:ascii="Songti SC" w:hAnsi="Songti SC" w:eastAsia="Songti SC" w:cs="Songti SC"/>
          <w:b/>
          <w:color w:val="000000"/>
        </w:rPr>
        <w:t>2.</w:t>
      </w:r>
      <w:r>
        <w:rPr>
          <w:rFonts w:ascii="Songti SC" w:hAnsi="Songti SC" w:eastAsia="Songti SC" w:cs="Songti SC"/>
          <w:b/>
          <w:color w:val="000000"/>
        </w:rPr>
        <w:t>适配做法</w:t>
      </w:r>
    </w:p>
    <w:p w14:paraId="5C0377B2">
      <w:pPr>
        <w:ind w:firstLine="480"/>
        <w:rPr>
          <w:rFonts w:hint="eastAsia"/>
          <w:color w:val="000000"/>
        </w:rPr>
      </w:pPr>
      <w:r>
        <w:rPr>
          <w:rFonts w:ascii="Songti SC" w:hAnsi="Songti SC" w:eastAsia="Songti SC" w:cs="Songti SC"/>
          <w:color w:val="000000"/>
        </w:rPr>
        <w:t>人脸和人员数据同步失败时记录失败原因，可按批次重发。</w:t>
      </w:r>
    </w:p>
    <w:p w14:paraId="0C13C361">
      <w:pPr>
        <w:ind w:firstLine="480"/>
        <w:rPr>
          <w:rFonts w:hint="eastAsia"/>
          <w:color w:val="000000"/>
        </w:rPr>
      </w:pPr>
      <w:r>
        <w:rPr>
          <w:rFonts w:ascii="Songti SC" w:hAnsi="Songti SC" w:eastAsia="Songti SC" w:cs="Songti SC"/>
          <w:color w:val="000000"/>
        </w:rPr>
        <w:t>订单上传采用幂等处理，避免重复订单重复扣款。</w:t>
      </w:r>
    </w:p>
    <w:p w14:paraId="6D3B204D">
      <w:pPr>
        <w:pStyle w:val="5"/>
        <w:rPr>
          <w:rFonts w:hint="eastAsia"/>
          <w:color w:val="000000"/>
        </w:rPr>
      </w:pPr>
      <w:r>
        <w:rPr>
          <w:rFonts w:ascii="Songti SC" w:hAnsi="Songti SC" w:eastAsia="Songti SC" w:cs="Songti SC"/>
          <w:color w:val="000000"/>
        </w:rPr>
        <w:t>数据传输与安全适配</w:t>
      </w:r>
    </w:p>
    <w:p w14:paraId="10530F6E">
      <w:pPr>
        <w:ind w:firstLine="480"/>
        <w:rPr>
          <w:rFonts w:hint="eastAsia"/>
          <w:color w:val="000000"/>
        </w:rPr>
      </w:pPr>
      <w:r>
        <w:rPr>
          <w:rFonts w:ascii="Songti SC" w:hAnsi="Songti SC" w:eastAsia="Songti SC" w:cs="Songti SC"/>
          <w:color w:val="000000"/>
        </w:rPr>
        <w:t>数据传输与安全适配用于保障消费机与后台之间的数据交换可控、可信、可追溯。</w:t>
      </w:r>
    </w:p>
    <w:p w14:paraId="5D83A056">
      <w:pPr>
        <w:ind w:firstLine="482"/>
        <w:rPr>
          <w:rFonts w:hint="eastAsia"/>
          <w:color w:val="000000"/>
        </w:rPr>
      </w:pPr>
      <w:r>
        <w:rPr>
          <w:rFonts w:hint="eastAsia" w:ascii="Songti SC" w:hAnsi="Songti SC" w:eastAsia="Songti SC" w:cs="Songti SC"/>
          <w:b/>
          <w:color w:val="000000"/>
        </w:rPr>
        <w:t>1.改造</w:t>
      </w:r>
      <w:r>
        <w:rPr>
          <w:rFonts w:ascii="Songti SC" w:hAnsi="Songti SC" w:eastAsia="Songti SC" w:cs="Songti SC"/>
          <w:b/>
          <w:color w:val="000000"/>
        </w:rPr>
        <w:t>内容</w:t>
      </w:r>
    </w:p>
    <w:p w14:paraId="1DAAF7FC">
      <w:pPr>
        <w:ind w:firstLine="480"/>
        <w:rPr>
          <w:rFonts w:hint="eastAsia"/>
          <w:color w:val="000000"/>
        </w:rPr>
      </w:pPr>
      <w:r>
        <w:rPr>
          <w:rFonts w:ascii="Songti SC" w:hAnsi="Songti SC" w:eastAsia="Songti SC" w:cs="Songti SC"/>
          <w:color w:val="000000"/>
        </w:rPr>
        <w:t>消费机访问后台时携带设备身份信息。</w:t>
      </w:r>
    </w:p>
    <w:p w14:paraId="42F831DF">
      <w:pPr>
        <w:ind w:firstLine="480"/>
        <w:rPr>
          <w:rFonts w:hint="eastAsia"/>
          <w:color w:val="000000"/>
        </w:rPr>
      </w:pPr>
      <w:r>
        <w:rPr>
          <w:rFonts w:ascii="Songti SC" w:hAnsi="Songti SC" w:eastAsia="Songti SC" w:cs="Songti SC"/>
          <w:color w:val="000000"/>
        </w:rPr>
        <w:t>接口请求记录时间戳、流水号和签名校验结果。</w:t>
      </w:r>
    </w:p>
    <w:p w14:paraId="469E221C">
      <w:pPr>
        <w:ind w:firstLine="480"/>
        <w:rPr>
          <w:rFonts w:hint="eastAsia"/>
          <w:color w:val="000000"/>
        </w:rPr>
      </w:pPr>
      <w:r>
        <w:rPr>
          <w:rFonts w:ascii="Songti SC" w:hAnsi="Songti SC" w:eastAsia="Songti SC" w:cs="Songti SC"/>
          <w:color w:val="000000"/>
        </w:rPr>
        <w:t>交易、同步、补传和状态上报均记录日志。</w:t>
      </w:r>
    </w:p>
    <w:p w14:paraId="3B8F6DCE">
      <w:pPr>
        <w:ind w:firstLine="482"/>
        <w:rPr>
          <w:rFonts w:hint="eastAsia"/>
          <w:color w:val="000000"/>
        </w:rPr>
      </w:pPr>
      <w:r>
        <w:rPr>
          <w:rFonts w:hint="eastAsia" w:ascii="Songti SC" w:hAnsi="Songti SC" w:eastAsia="Songti SC" w:cs="Songti SC"/>
          <w:b/>
          <w:color w:val="000000"/>
        </w:rPr>
        <w:t>2.</w:t>
      </w:r>
      <w:r>
        <w:rPr>
          <w:rFonts w:ascii="Songti SC" w:hAnsi="Songti SC" w:eastAsia="Songti SC" w:cs="Songti SC"/>
          <w:b/>
          <w:color w:val="000000"/>
        </w:rPr>
        <w:t>适配做法</w:t>
      </w:r>
    </w:p>
    <w:p w14:paraId="08744551">
      <w:pPr>
        <w:ind w:firstLine="480"/>
        <w:rPr>
          <w:rFonts w:hint="eastAsia"/>
          <w:color w:val="000000"/>
        </w:rPr>
      </w:pPr>
      <w:r>
        <w:rPr>
          <w:rFonts w:ascii="Songti SC" w:hAnsi="Songti SC" w:eastAsia="Songti SC" w:cs="Songti SC"/>
          <w:color w:val="000000"/>
        </w:rPr>
        <w:t>对重复请求、过期请求和非法设备请求进行拦截。</w:t>
      </w:r>
    </w:p>
    <w:p w14:paraId="6F93E0DB">
      <w:pPr>
        <w:ind w:firstLine="480"/>
        <w:rPr>
          <w:rFonts w:hint="eastAsia"/>
          <w:color w:val="000000"/>
        </w:rPr>
      </w:pPr>
      <w:r>
        <w:rPr>
          <w:rFonts w:ascii="Songti SC" w:hAnsi="Songti SC" w:eastAsia="Songti SC" w:cs="Songti SC"/>
          <w:color w:val="000000"/>
        </w:rPr>
        <w:t>日志中敏感字段按规则脱敏，避免人员信息过度暴露。</w:t>
      </w:r>
    </w:p>
    <w:p w14:paraId="172626C0">
      <w:pPr>
        <w:pStyle w:val="5"/>
        <w:rPr>
          <w:rFonts w:hint="eastAsia"/>
          <w:color w:val="000000"/>
        </w:rPr>
      </w:pPr>
      <w:r>
        <w:rPr>
          <w:rFonts w:ascii="Songti SC" w:hAnsi="Songti SC" w:eastAsia="Songti SC" w:cs="Songti SC"/>
          <w:color w:val="000000"/>
        </w:rPr>
        <w:t>人脸识别特征存储适配</w:t>
      </w:r>
    </w:p>
    <w:p w14:paraId="2DA94A86">
      <w:pPr>
        <w:ind w:firstLine="480"/>
        <w:rPr>
          <w:rFonts w:hint="eastAsia"/>
          <w:color w:val="000000"/>
        </w:rPr>
      </w:pPr>
      <w:r>
        <w:rPr>
          <w:rFonts w:ascii="Songti SC" w:hAnsi="Songti SC" w:eastAsia="Songti SC" w:cs="Songti SC"/>
          <w:color w:val="000000"/>
        </w:rPr>
        <w:t>人脸识别特征存储适配用于保障人脸消费在新环境下可同步、可更新、可删除。</w:t>
      </w:r>
    </w:p>
    <w:p w14:paraId="529CC80D">
      <w:pPr>
        <w:ind w:firstLine="482"/>
        <w:rPr>
          <w:rFonts w:hint="eastAsia"/>
          <w:color w:val="000000"/>
        </w:rPr>
      </w:pPr>
      <w:r>
        <w:rPr>
          <w:rFonts w:hint="eastAsia" w:ascii="Songti SC" w:hAnsi="Songti SC" w:eastAsia="Songti SC" w:cs="Songti SC"/>
          <w:b/>
          <w:color w:val="000000"/>
        </w:rPr>
        <w:t>1.改造</w:t>
      </w:r>
      <w:r>
        <w:rPr>
          <w:rFonts w:ascii="Songti SC" w:hAnsi="Songti SC" w:eastAsia="Songti SC" w:cs="Songti SC"/>
          <w:b/>
          <w:color w:val="000000"/>
        </w:rPr>
        <w:t>内容</w:t>
      </w:r>
    </w:p>
    <w:p w14:paraId="63B37E9A">
      <w:pPr>
        <w:ind w:firstLine="480"/>
        <w:rPr>
          <w:rFonts w:hint="eastAsia"/>
          <w:color w:val="000000"/>
        </w:rPr>
      </w:pPr>
      <w:r>
        <w:rPr>
          <w:rFonts w:ascii="Songti SC" w:hAnsi="Songti SC" w:eastAsia="Songti SC" w:cs="Songti SC"/>
          <w:color w:val="000000"/>
        </w:rPr>
        <w:t>后台维护人员人脸照片或识别所需数据。</w:t>
      </w:r>
    </w:p>
    <w:p w14:paraId="780CB8A7">
      <w:pPr>
        <w:ind w:firstLine="480"/>
        <w:rPr>
          <w:rFonts w:hint="eastAsia"/>
          <w:color w:val="000000"/>
        </w:rPr>
      </w:pPr>
      <w:r>
        <w:rPr>
          <w:rFonts w:ascii="Songti SC" w:hAnsi="Songti SC" w:eastAsia="Songti SC" w:cs="Songti SC"/>
          <w:color w:val="000000"/>
        </w:rPr>
        <w:t>消费机按批次接收人脸数据，记录成功数量和失败数量。</w:t>
      </w:r>
    </w:p>
    <w:p w14:paraId="1B14CF4A">
      <w:pPr>
        <w:ind w:firstLine="480"/>
        <w:rPr>
          <w:rFonts w:hint="eastAsia"/>
          <w:color w:val="000000"/>
        </w:rPr>
      </w:pPr>
      <w:r>
        <w:rPr>
          <w:rFonts w:ascii="Songti SC" w:hAnsi="Songti SC" w:eastAsia="Songti SC" w:cs="Songti SC"/>
          <w:color w:val="000000"/>
        </w:rPr>
        <w:t>人员注销或人脸更新后同步删除或更新本地数据。</w:t>
      </w:r>
    </w:p>
    <w:p w14:paraId="0860FDA9">
      <w:pPr>
        <w:ind w:firstLine="482"/>
        <w:rPr>
          <w:rFonts w:hint="eastAsia"/>
          <w:color w:val="000000"/>
        </w:rPr>
      </w:pPr>
      <w:r>
        <w:rPr>
          <w:rFonts w:hint="eastAsia" w:ascii="Songti SC" w:hAnsi="Songti SC" w:eastAsia="Songti SC" w:cs="Songti SC"/>
          <w:b/>
          <w:color w:val="000000"/>
        </w:rPr>
        <w:t>2.</w:t>
      </w:r>
      <w:r>
        <w:rPr>
          <w:rFonts w:ascii="Songti SC" w:hAnsi="Songti SC" w:eastAsia="Songti SC" w:cs="Songti SC"/>
          <w:b/>
          <w:color w:val="000000"/>
        </w:rPr>
        <w:t>适配做法</w:t>
      </w:r>
    </w:p>
    <w:p w14:paraId="0BF00394">
      <w:pPr>
        <w:ind w:firstLine="480"/>
        <w:rPr>
          <w:rFonts w:hint="eastAsia"/>
          <w:color w:val="000000"/>
        </w:rPr>
      </w:pPr>
      <w:r>
        <w:rPr>
          <w:rFonts w:ascii="Songti SC" w:hAnsi="Songti SC" w:eastAsia="Songti SC" w:cs="Songti SC"/>
          <w:color w:val="000000"/>
        </w:rPr>
        <w:t>人脸数据存储目录、文件权限和同步记录适配服务器操作系统。</w:t>
      </w:r>
    </w:p>
    <w:p w14:paraId="11C60DAD">
      <w:pPr>
        <w:ind w:firstLine="480"/>
        <w:rPr>
          <w:rFonts w:hint="eastAsia"/>
          <w:color w:val="000000"/>
        </w:rPr>
      </w:pPr>
      <w:r>
        <w:rPr>
          <w:rFonts w:ascii="Songti SC" w:hAnsi="Songti SC" w:eastAsia="Songti SC" w:cs="Songti SC"/>
          <w:color w:val="000000"/>
        </w:rPr>
        <w:t>陌生人、照片攻击、多人入镜等异常场景不产生扣款。</w:t>
      </w:r>
    </w:p>
    <w:p w14:paraId="76074F35">
      <w:pPr>
        <w:pStyle w:val="5"/>
        <w:rPr>
          <w:rFonts w:hint="eastAsia"/>
          <w:color w:val="000000"/>
        </w:rPr>
      </w:pPr>
      <w:r>
        <w:rPr>
          <w:rFonts w:ascii="Songti SC" w:hAnsi="Songti SC" w:eastAsia="Songti SC" w:cs="Songti SC"/>
          <w:color w:val="000000"/>
        </w:rPr>
        <w:t>业务功能承接与适配</w:t>
      </w:r>
    </w:p>
    <w:p w14:paraId="11768849">
      <w:pPr>
        <w:ind w:firstLine="480"/>
        <w:rPr>
          <w:rFonts w:hint="eastAsia"/>
          <w:color w:val="000000"/>
        </w:rPr>
      </w:pPr>
      <w:r>
        <w:rPr>
          <w:rFonts w:ascii="Songti SC" w:hAnsi="Songti SC" w:eastAsia="Songti SC" w:cs="Songti SC"/>
          <w:color w:val="000000"/>
        </w:rPr>
        <w:t>业务功能承接与适配用于保障消费机现场常用消费方式继续可用。</w:t>
      </w:r>
    </w:p>
    <w:p w14:paraId="0B571EE1">
      <w:pPr>
        <w:ind w:firstLine="482"/>
        <w:rPr>
          <w:rFonts w:hint="eastAsia"/>
          <w:color w:val="000000"/>
        </w:rPr>
      </w:pPr>
      <w:r>
        <w:rPr>
          <w:rFonts w:hint="eastAsia" w:ascii="Songti SC" w:hAnsi="Songti SC" w:eastAsia="Songti SC" w:cs="Songti SC"/>
          <w:b/>
          <w:color w:val="000000"/>
        </w:rPr>
        <w:t>1.改造</w:t>
      </w:r>
      <w:r>
        <w:rPr>
          <w:rFonts w:ascii="Songti SC" w:hAnsi="Songti SC" w:eastAsia="Songti SC" w:cs="Songti SC"/>
          <w:b/>
          <w:color w:val="000000"/>
        </w:rPr>
        <w:t>内容</w:t>
      </w:r>
    </w:p>
    <w:p w14:paraId="284866B8">
      <w:pPr>
        <w:ind w:firstLine="480"/>
        <w:rPr>
          <w:rFonts w:hint="eastAsia"/>
          <w:color w:val="000000"/>
        </w:rPr>
      </w:pPr>
      <w:r>
        <w:rPr>
          <w:rFonts w:ascii="Songti SC" w:hAnsi="Songti SC" w:eastAsia="Songti SC" w:cs="Songti SC"/>
          <w:color w:val="000000"/>
        </w:rPr>
        <w:t>支持普通消费、菜品消费、定额消费、自由金额消费和按餐次消费。</w:t>
      </w:r>
    </w:p>
    <w:p w14:paraId="7C997788">
      <w:pPr>
        <w:ind w:firstLine="480"/>
        <w:rPr>
          <w:rFonts w:hint="eastAsia"/>
          <w:color w:val="000000"/>
        </w:rPr>
      </w:pPr>
      <w:r>
        <w:rPr>
          <w:rFonts w:ascii="Songti SC" w:hAnsi="Songti SC" w:eastAsia="Songti SC" w:cs="Songti SC"/>
          <w:color w:val="000000"/>
        </w:rPr>
        <w:t>支持刷卡、扫码、人脸等消费方式。</w:t>
      </w:r>
    </w:p>
    <w:p w14:paraId="268BA2AE">
      <w:pPr>
        <w:ind w:firstLine="480"/>
        <w:rPr>
          <w:rFonts w:hint="eastAsia"/>
          <w:color w:val="000000"/>
        </w:rPr>
      </w:pPr>
      <w:r>
        <w:rPr>
          <w:rFonts w:ascii="Songti SC" w:hAnsi="Songti SC" w:eastAsia="Songti SC" w:cs="Songti SC"/>
          <w:color w:val="000000"/>
        </w:rPr>
        <w:t>支持双屏确认、语音提示、交易小票或交易提示等已有软件能力。</w:t>
      </w:r>
    </w:p>
    <w:p w14:paraId="55ECB3DE">
      <w:pPr>
        <w:ind w:firstLine="482"/>
        <w:rPr>
          <w:rFonts w:hint="eastAsia"/>
          <w:color w:val="000000"/>
        </w:rPr>
      </w:pPr>
      <w:r>
        <w:rPr>
          <w:rFonts w:hint="eastAsia" w:ascii="Songti SC" w:hAnsi="Songti SC" w:eastAsia="Songti SC" w:cs="Songti SC"/>
          <w:b/>
          <w:color w:val="000000"/>
        </w:rPr>
        <w:t>2.</w:t>
      </w:r>
      <w:r>
        <w:rPr>
          <w:rFonts w:ascii="Songti SC" w:hAnsi="Songti SC" w:eastAsia="Songti SC" w:cs="Songti SC"/>
          <w:b/>
          <w:color w:val="000000"/>
        </w:rPr>
        <w:t>适配做法</w:t>
      </w:r>
    </w:p>
    <w:p w14:paraId="74BD3080">
      <w:pPr>
        <w:ind w:firstLine="480"/>
        <w:rPr>
          <w:rFonts w:hint="eastAsia"/>
          <w:color w:val="000000"/>
        </w:rPr>
      </w:pPr>
      <w:r>
        <w:rPr>
          <w:rFonts w:ascii="Songti SC" w:hAnsi="Songti SC" w:eastAsia="Songti SC" w:cs="Songti SC"/>
          <w:color w:val="000000"/>
        </w:rPr>
        <w:t>双屏确认启用时，确认前不扣款，取消和超时不扣款。</w:t>
      </w:r>
    </w:p>
    <w:p w14:paraId="18FA8B13">
      <w:pPr>
        <w:ind w:firstLine="480"/>
        <w:rPr>
          <w:rFonts w:hint="eastAsia"/>
          <w:color w:val="000000"/>
        </w:rPr>
      </w:pPr>
      <w:r>
        <w:rPr>
          <w:rFonts w:ascii="Songti SC" w:hAnsi="Songti SC" w:eastAsia="Songti SC" w:cs="Songti SC"/>
          <w:color w:val="000000"/>
        </w:rPr>
        <w:t>菜品和称重类交易由后台复核金额，金额异常进入异常订单。</w:t>
      </w:r>
    </w:p>
    <w:p w14:paraId="5EB61305">
      <w:pPr>
        <w:pStyle w:val="5"/>
        <w:rPr>
          <w:rFonts w:hint="eastAsia"/>
          <w:color w:val="000000"/>
        </w:rPr>
      </w:pPr>
      <w:r>
        <w:rPr>
          <w:rFonts w:ascii="Songti SC" w:hAnsi="Songti SC" w:eastAsia="Songti SC" w:cs="Songti SC"/>
          <w:color w:val="000000"/>
        </w:rPr>
        <w:t>消费机基础参数配置</w:t>
      </w:r>
    </w:p>
    <w:p w14:paraId="0A048CB9">
      <w:pPr>
        <w:ind w:firstLine="480"/>
        <w:rPr>
          <w:rFonts w:hint="eastAsia"/>
          <w:color w:val="000000"/>
        </w:rPr>
      </w:pPr>
      <w:r>
        <w:rPr>
          <w:rFonts w:ascii="Songti SC" w:hAnsi="Songti SC" w:eastAsia="Songti SC" w:cs="Songti SC"/>
          <w:color w:val="000000"/>
        </w:rPr>
        <w:t>消费机基础参数配置用于统一管理消费机点位、服务地址、支付开关、菜单模式、订单保留和语音提示等参数。</w:t>
      </w:r>
    </w:p>
    <w:p w14:paraId="6B9749E1">
      <w:pPr>
        <w:ind w:firstLine="482"/>
        <w:rPr>
          <w:rFonts w:hint="eastAsia"/>
          <w:color w:val="000000"/>
        </w:rPr>
      </w:pPr>
      <w:r>
        <w:rPr>
          <w:rFonts w:hint="eastAsia" w:ascii="Songti SC" w:hAnsi="Songti SC" w:eastAsia="Songti SC" w:cs="Songti SC"/>
          <w:b/>
          <w:color w:val="000000"/>
        </w:rPr>
        <w:t>1.改造</w:t>
      </w:r>
      <w:r>
        <w:rPr>
          <w:rFonts w:ascii="Songti SC" w:hAnsi="Songti SC" w:eastAsia="Songti SC" w:cs="Songti SC"/>
          <w:b/>
          <w:color w:val="000000"/>
        </w:rPr>
        <w:t>内容</w:t>
      </w:r>
    </w:p>
    <w:p w14:paraId="25FA312E">
      <w:pPr>
        <w:ind w:firstLine="480"/>
        <w:rPr>
          <w:rFonts w:hint="eastAsia"/>
          <w:color w:val="000000"/>
        </w:rPr>
      </w:pPr>
      <w:r>
        <w:rPr>
          <w:rFonts w:ascii="Songti SC" w:hAnsi="Songti SC" w:eastAsia="Songti SC" w:cs="Songti SC"/>
          <w:color w:val="000000"/>
        </w:rPr>
        <w:t>建立消费机台账，记录设备编号、办公区、餐厅、点位、软件版本和责任人。</w:t>
      </w:r>
    </w:p>
    <w:p w14:paraId="0A3D6FAE">
      <w:pPr>
        <w:ind w:firstLine="480"/>
        <w:rPr>
          <w:rFonts w:hint="eastAsia"/>
          <w:color w:val="000000"/>
        </w:rPr>
      </w:pPr>
      <w:r>
        <w:rPr>
          <w:rFonts w:ascii="Songti SC" w:hAnsi="Songti SC" w:eastAsia="Songti SC" w:cs="Songti SC"/>
          <w:color w:val="000000"/>
        </w:rPr>
        <w:t>配置服务地址、设备配对、支付方式开关、餐次、订单保留时间和补传策略。</w:t>
      </w:r>
    </w:p>
    <w:p w14:paraId="71F22200">
      <w:pPr>
        <w:ind w:firstLine="480"/>
        <w:rPr>
          <w:rFonts w:hint="eastAsia"/>
          <w:color w:val="000000"/>
        </w:rPr>
      </w:pPr>
      <w:r>
        <w:rPr>
          <w:rFonts w:ascii="Songti SC" w:hAnsi="Songti SC" w:eastAsia="Songti SC" w:cs="Songti SC"/>
          <w:color w:val="000000"/>
        </w:rPr>
        <w:t>参数下发后消费机回传生效状态。</w:t>
      </w:r>
    </w:p>
    <w:p w14:paraId="710F5840">
      <w:pPr>
        <w:ind w:firstLine="482"/>
        <w:rPr>
          <w:rFonts w:hint="eastAsia"/>
          <w:color w:val="000000"/>
        </w:rPr>
      </w:pPr>
      <w:r>
        <w:rPr>
          <w:rFonts w:hint="eastAsia" w:ascii="Songti SC" w:hAnsi="Songti SC" w:eastAsia="Songti SC" w:cs="Songti SC"/>
          <w:b/>
          <w:color w:val="000000"/>
        </w:rPr>
        <w:t>2.</w:t>
      </w:r>
      <w:r>
        <w:rPr>
          <w:rFonts w:ascii="Songti SC" w:hAnsi="Songti SC" w:eastAsia="Songti SC" w:cs="Songti SC"/>
          <w:b/>
          <w:color w:val="000000"/>
        </w:rPr>
        <w:t>适配做法</w:t>
      </w:r>
    </w:p>
    <w:p w14:paraId="74B991FF">
      <w:pPr>
        <w:ind w:firstLine="480"/>
        <w:rPr>
          <w:rFonts w:hint="eastAsia"/>
          <w:color w:val="000000"/>
        </w:rPr>
      </w:pPr>
      <w:r>
        <w:rPr>
          <w:rFonts w:ascii="Songti SC" w:hAnsi="Songti SC" w:eastAsia="Songti SC" w:cs="Songti SC"/>
          <w:color w:val="000000"/>
        </w:rPr>
        <w:t>参数采用版本管理，避免新旧参数混乱。</w:t>
      </w:r>
    </w:p>
    <w:p w14:paraId="0E22E27E">
      <w:pPr>
        <w:ind w:firstLine="480"/>
        <w:rPr>
          <w:rFonts w:hint="eastAsia"/>
          <w:color w:val="000000"/>
        </w:rPr>
      </w:pPr>
      <w:r>
        <w:rPr>
          <w:rFonts w:ascii="Songti SC" w:hAnsi="Songti SC" w:eastAsia="Songti SC" w:cs="Songti SC"/>
          <w:color w:val="000000"/>
        </w:rPr>
        <w:t>参数变更先在试点消费机验证，再按办公区逐步推广。</w:t>
      </w:r>
    </w:p>
    <w:p w14:paraId="6B57C32E">
      <w:pPr>
        <w:pStyle w:val="5"/>
        <w:rPr>
          <w:rFonts w:hint="eastAsia"/>
          <w:color w:val="000000"/>
        </w:rPr>
      </w:pPr>
      <w:r>
        <w:rPr>
          <w:rFonts w:ascii="Songti SC" w:hAnsi="Songti SC" w:eastAsia="Songti SC" w:cs="Songti SC"/>
          <w:color w:val="000000"/>
        </w:rPr>
        <w:t>离线补传与异常处理</w:t>
      </w:r>
    </w:p>
    <w:p w14:paraId="20E79986">
      <w:pPr>
        <w:ind w:firstLine="480"/>
        <w:rPr>
          <w:rFonts w:hint="eastAsia"/>
          <w:color w:val="000000"/>
        </w:rPr>
      </w:pPr>
      <w:r>
        <w:rPr>
          <w:rFonts w:ascii="Songti SC" w:hAnsi="Songti SC" w:eastAsia="Songti SC" w:cs="Songti SC"/>
          <w:color w:val="000000"/>
        </w:rPr>
        <w:t>离线补传与异常处理用于保障网络波动期间现场服务不完全中断。</w:t>
      </w:r>
    </w:p>
    <w:p w14:paraId="6FF96D0A">
      <w:pPr>
        <w:ind w:firstLine="482"/>
        <w:rPr>
          <w:rFonts w:hint="eastAsia"/>
          <w:color w:val="000000"/>
        </w:rPr>
      </w:pPr>
      <w:r>
        <w:rPr>
          <w:rFonts w:hint="eastAsia" w:ascii="Songti SC" w:hAnsi="Songti SC" w:eastAsia="Songti SC" w:cs="Songti SC"/>
          <w:b/>
          <w:color w:val="000000"/>
        </w:rPr>
        <w:t>1.改造</w:t>
      </w:r>
      <w:r>
        <w:rPr>
          <w:rFonts w:ascii="Songti SC" w:hAnsi="Songti SC" w:eastAsia="Songti SC" w:cs="Songti SC"/>
          <w:b/>
          <w:color w:val="000000"/>
        </w:rPr>
        <w:t>内容</w:t>
      </w:r>
    </w:p>
    <w:p w14:paraId="4ED8FDC9">
      <w:pPr>
        <w:ind w:firstLine="480"/>
        <w:rPr>
          <w:rFonts w:hint="eastAsia"/>
          <w:color w:val="000000"/>
        </w:rPr>
      </w:pPr>
      <w:r>
        <w:rPr>
          <w:rFonts w:ascii="Songti SC" w:hAnsi="Songti SC" w:eastAsia="Songti SC" w:cs="Songti SC"/>
          <w:color w:val="000000"/>
        </w:rPr>
        <w:t>断网时消费机保存本地订单和必要人员识别信息。</w:t>
      </w:r>
    </w:p>
    <w:p w14:paraId="758CEA3F">
      <w:pPr>
        <w:ind w:firstLine="480"/>
        <w:rPr>
          <w:rFonts w:hint="eastAsia"/>
          <w:color w:val="000000"/>
        </w:rPr>
      </w:pPr>
      <w:r>
        <w:rPr>
          <w:rFonts w:ascii="Songti SC" w:hAnsi="Songti SC" w:eastAsia="Songti SC" w:cs="Songti SC"/>
          <w:color w:val="000000"/>
        </w:rPr>
        <w:t>恢复网络后按时间顺序上传，后台返回每笔处理结果。</w:t>
      </w:r>
    </w:p>
    <w:p w14:paraId="3A03781C">
      <w:pPr>
        <w:ind w:firstLine="480"/>
        <w:rPr>
          <w:rFonts w:hint="eastAsia"/>
          <w:color w:val="000000"/>
        </w:rPr>
      </w:pPr>
      <w:r>
        <w:rPr>
          <w:rFonts w:ascii="Songti SC" w:hAnsi="Songti SC" w:eastAsia="Songti SC" w:cs="Songti SC"/>
          <w:color w:val="000000"/>
        </w:rPr>
        <w:t>补传失败订单进入异常清单，支持按设备、日期和失败原因查询。</w:t>
      </w:r>
    </w:p>
    <w:p w14:paraId="3223A283">
      <w:pPr>
        <w:ind w:firstLine="482"/>
        <w:rPr>
          <w:rFonts w:hint="eastAsia"/>
          <w:color w:val="000000"/>
        </w:rPr>
      </w:pPr>
      <w:r>
        <w:rPr>
          <w:rFonts w:hint="eastAsia" w:ascii="Songti SC" w:hAnsi="Songti SC" w:eastAsia="Songti SC" w:cs="Songti SC"/>
          <w:b/>
          <w:color w:val="000000"/>
        </w:rPr>
        <w:t>2.</w:t>
      </w:r>
      <w:r>
        <w:rPr>
          <w:rFonts w:ascii="Songti SC" w:hAnsi="Songti SC" w:eastAsia="Songti SC" w:cs="Songti SC"/>
          <w:b/>
          <w:color w:val="000000"/>
        </w:rPr>
        <w:t>适配做法</w:t>
      </w:r>
    </w:p>
    <w:p w14:paraId="1C1E5B5A">
      <w:pPr>
        <w:ind w:firstLine="480"/>
        <w:rPr>
          <w:rFonts w:hint="eastAsia"/>
          <w:color w:val="000000"/>
        </w:rPr>
      </w:pPr>
      <w:r>
        <w:rPr>
          <w:rFonts w:ascii="Songti SC" w:hAnsi="Songti SC" w:eastAsia="Songti SC" w:cs="Songti SC"/>
          <w:color w:val="000000"/>
        </w:rPr>
        <w:t>后台按设备号、本地订单号和交易时间识别重复订单。</w:t>
      </w:r>
    </w:p>
    <w:p w14:paraId="53A3446A">
      <w:pPr>
        <w:ind w:firstLine="480"/>
        <w:rPr>
          <w:rFonts w:hint="eastAsia"/>
          <w:color w:val="000000"/>
        </w:rPr>
      </w:pPr>
      <w:r>
        <w:rPr>
          <w:rFonts w:ascii="Songti SC" w:hAnsi="Songti SC" w:eastAsia="Songti SC" w:cs="Songti SC"/>
          <w:color w:val="000000"/>
        </w:rPr>
        <w:t>长时间离线、补传积压、连续失败等情况进入运行提醒。</w:t>
      </w:r>
    </w:p>
    <w:p w14:paraId="3984839B">
      <w:pPr>
        <w:pStyle w:val="5"/>
        <w:rPr>
          <w:rFonts w:hint="eastAsia"/>
          <w:color w:val="000000"/>
        </w:rPr>
      </w:pPr>
      <w:r>
        <w:rPr>
          <w:rFonts w:ascii="Songti SC" w:hAnsi="Songti SC" w:eastAsia="Songti SC" w:cs="Songti SC"/>
          <w:color w:val="000000"/>
        </w:rPr>
        <w:t>状态监测与远程维护</w:t>
      </w:r>
    </w:p>
    <w:p w14:paraId="2BB996C5">
      <w:pPr>
        <w:ind w:firstLine="480"/>
        <w:rPr>
          <w:rFonts w:hint="eastAsia"/>
          <w:color w:val="000000"/>
        </w:rPr>
      </w:pPr>
      <w:r>
        <w:rPr>
          <w:rFonts w:ascii="Songti SC" w:hAnsi="Songti SC" w:eastAsia="Songti SC" w:cs="Songti SC"/>
          <w:color w:val="000000"/>
        </w:rPr>
        <w:t>状态监测与远程维护用于提高消费机日常运行可见性。</w:t>
      </w:r>
    </w:p>
    <w:p w14:paraId="09D9C5A8">
      <w:pPr>
        <w:ind w:firstLine="482"/>
        <w:rPr>
          <w:rFonts w:hint="eastAsia"/>
          <w:color w:val="000000"/>
        </w:rPr>
      </w:pPr>
      <w:r>
        <w:rPr>
          <w:rFonts w:hint="eastAsia" w:ascii="Songti SC" w:hAnsi="Songti SC" w:eastAsia="Songti SC" w:cs="Songti SC"/>
          <w:b/>
          <w:color w:val="000000"/>
        </w:rPr>
        <w:t>1.改造</w:t>
      </w:r>
      <w:r>
        <w:rPr>
          <w:rFonts w:ascii="Songti SC" w:hAnsi="Songti SC" w:eastAsia="Songti SC" w:cs="Songti SC"/>
          <w:b/>
          <w:color w:val="000000"/>
        </w:rPr>
        <w:t>内容</w:t>
      </w:r>
    </w:p>
    <w:p w14:paraId="02807974">
      <w:pPr>
        <w:ind w:firstLine="480"/>
        <w:rPr>
          <w:rFonts w:hint="eastAsia"/>
          <w:color w:val="000000"/>
        </w:rPr>
      </w:pPr>
      <w:r>
        <w:rPr>
          <w:rFonts w:ascii="Songti SC" w:hAnsi="Songti SC" w:eastAsia="Songti SC" w:cs="Songti SC"/>
          <w:color w:val="000000"/>
        </w:rPr>
        <w:t>消费机定时上报在线状态、网络状态、版本、最近交易和异常码。</w:t>
      </w:r>
    </w:p>
    <w:p w14:paraId="15C00C31">
      <w:pPr>
        <w:ind w:firstLine="480"/>
        <w:rPr>
          <w:rFonts w:hint="eastAsia"/>
          <w:color w:val="000000"/>
        </w:rPr>
      </w:pPr>
      <w:r>
        <w:rPr>
          <w:rFonts w:ascii="Songti SC" w:hAnsi="Songti SC" w:eastAsia="Songti SC" w:cs="Songti SC"/>
          <w:color w:val="000000"/>
        </w:rPr>
        <w:t>管理端按办公区、餐厅和查看消费机在线情况。</w:t>
      </w:r>
    </w:p>
    <w:p w14:paraId="03A07E5C">
      <w:pPr>
        <w:ind w:firstLine="480"/>
        <w:rPr>
          <w:rFonts w:hint="eastAsia"/>
          <w:color w:val="000000"/>
        </w:rPr>
      </w:pPr>
      <w:r>
        <w:rPr>
          <w:rFonts w:ascii="Songti SC" w:hAnsi="Songti SC" w:eastAsia="Songti SC" w:cs="Songti SC"/>
          <w:color w:val="000000"/>
        </w:rPr>
        <w:t>支持参数远程下发、同步任务重发和异常日志查询。</w:t>
      </w:r>
    </w:p>
    <w:p w14:paraId="3F1C4FA3">
      <w:pPr>
        <w:ind w:firstLine="482"/>
        <w:rPr>
          <w:rFonts w:hint="eastAsia"/>
          <w:color w:val="000000"/>
        </w:rPr>
      </w:pPr>
      <w:r>
        <w:rPr>
          <w:rFonts w:hint="eastAsia" w:ascii="Songti SC" w:hAnsi="Songti SC" w:eastAsia="Songti SC" w:cs="Songti SC"/>
          <w:b/>
          <w:color w:val="000000"/>
        </w:rPr>
        <w:t>2.</w:t>
      </w:r>
      <w:r>
        <w:rPr>
          <w:rFonts w:ascii="Songti SC" w:hAnsi="Songti SC" w:eastAsia="Songti SC" w:cs="Songti SC"/>
          <w:b/>
          <w:color w:val="000000"/>
        </w:rPr>
        <w:t>适配做法</w:t>
      </w:r>
    </w:p>
    <w:p w14:paraId="3C27ED3E">
      <w:pPr>
        <w:ind w:firstLine="480"/>
        <w:rPr>
          <w:rFonts w:hint="eastAsia"/>
          <w:color w:val="000000"/>
        </w:rPr>
      </w:pPr>
      <w:r>
        <w:rPr>
          <w:rFonts w:ascii="Songti SC" w:hAnsi="Songti SC" w:eastAsia="Songti SC" w:cs="Songti SC"/>
          <w:color w:val="000000"/>
        </w:rPr>
        <w:t>消费机状态只作为运行维护参考，硬件故障仍由现场既有维护机制处理。</w:t>
      </w:r>
    </w:p>
    <w:p w14:paraId="62C532DF">
      <w:pPr>
        <w:ind w:firstLine="480"/>
        <w:rPr>
          <w:rFonts w:hint="eastAsia"/>
          <w:color w:val="000000"/>
        </w:rPr>
      </w:pPr>
      <w:r>
        <w:rPr>
          <w:rFonts w:ascii="Songti SC" w:hAnsi="Songti SC" w:eastAsia="Songti SC" w:cs="Songti SC"/>
          <w:color w:val="000000"/>
        </w:rPr>
        <w:t>消费机软件异常与系统接口异常分开记录，便于快速定位责任边界。</w:t>
      </w:r>
    </w:p>
    <w:p w14:paraId="423D7C90">
      <w:pPr>
        <w:pStyle w:val="4"/>
        <w:rPr>
          <w:rFonts w:hint="eastAsia"/>
          <w:color w:val="000000"/>
          <w:lang w:eastAsia="zh-CN"/>
        </w:rPr>
      </w:pPr>
      <w:bookmarkStart w:id="354" w:name="_Toc793556206"/>
      <w:bookmarkStart w:id="355" w:name="_Toc1069197805"/>
      <w:bookmarkStart w:id="356" w:name="_Toc331495493"/>
      <w:r>
        <w:rPr>
          <w:rFonts w:ascii="Songti SC" w:hAnsi="Songti SC" w:eastAsia="Songti SC" w:cs="Songti SC"/>
          <w:color w:val="000000"/>
          <w:lang w:eastAsia="zh-CN"/>
        </w:rPr>
        <w:t>小程序端线上充值及工商银行接口适配</w:t>
      </w:r>
      <w:bookmarkEnd w:id="354"/>
      <w:bookmarkEnd w:id="355"/>
      <w:bookmarkEnd w:id="356"/>
    </w:p>
    <w:p w14:paraId="4BE07B33">
      <w:pPr>
        <w:pStyle w:val="5"/>
        <w:rPr>
          <w:rFonts w:hint="eastAsia"/>
          <w:color w:val="000000"/>
        </w:rPr>
      </w:pPr>
      <w:r>
        <w:rPr>
          <w:rFonts w:ascii="Songti SC" w:hAnsi="Songti SC" w:eastAsia="Songti SC" w:cs="Songti SC"/>
          <w:color w:val="000000"/>
        </w:rPr>
        <w:t>信息化交互适配</w:t>
      </w:r>
    </w:p>
    <w:p w14:paraId="7DE33A07">
      <w:pPr>
        <w:ind w:firstLine="480"/>
        <w:rPr>
          <w:rFonts w:hint="eastAsia"/>
          <w:color w:val="000000"/>
        </w:rPr>
      </w:pPr>
      <w:r>
        <w:rPr>
          <w:rFonts w:ascii="Songti SC" w:hAnsi="Songti SC" w:eastAsia="Songti SC" w:cs="Songti SC"/>
          <w:color w:val="000000"/>
        </w:rPr>
        <w:t>信息化交互适配用于保障小程序端、后台服务、前置库、大数据交互平台和工商银行之间在新环境下稳定通信。</w:t>
      </w:r>
    </w:p>
    <w:p w14:paraId="11360AF8">
      <w:pPr>
        <w:ind w:firstLine="482"/>
        <w:rPr>
          <w:rFonts w:hint="eastAsia"/>
          <w:color w:val="000000"/>
        </w:rPr>
      </w:pPr>
      <w:r>
        <w:rPr>
          <w:rFonts w:hint="eastAsia" w:ascii="Songti SC" w:hAnsi="Songti SC" w:eastAsia="Songti SC" w:cs="Songti SC"/>
          <w:b/>
          <w:color w:val="000000"/>
        </w:rPr>
        <w:t>1.改造</w:t>
      </w:r>
      <w:r>
        <w:rPr>
          <w:rFonts w:ascii="Songti SC" w:hAnsi="Songti SC" w:eastAsia="Songti SC" w:cs="Songti SC"/>
          <w:b/>
          <w:color w:val="000000"/>
        </w:rPr>
        <w:t>内容</w:t>
      </w:r>
    </w:p>
    <w:p w14:paraId="614F7946">
      <w:pPr>
        <w:ind w:firstLine="480"/>
        <w:rPr>
          <w:rFonts w:hint="eastAsia"/>
          <w:color w:val="000000"/>
        </w:rPr>
      </w:pPr>
      <w:r>
        <w:rPr>
          <w:rFonts w:ascii="Songti SC" w:hAnsi="Songti SC" w:eastAsia="Songti SC" w:cs="Songti SC"/>
          <w:color w:val="000000"/>
        </w:rPr>
        <w:t>梳理充值发起、订单提交、银行处理、回调通知、主动回查、对账处理等全流程。</w:t>
      </w:r>
    </w:p>
    <w:p w14:paraId="40EC6093">
      <w:pPr>
        <w:ind w:firstLine="480"/>
        <w:rPr>
          <w:rFonts w:hint="eastAsia"/>
          <w:color w:val="000000"/>
        </w:rPr>
      </w:pPr>
      <w:r>
        <w:rPr>
          <w:rFonts w:ascii="Songti SC" w:hAnsi="Songti SC" w:eastAsia="Songti SC" w:cs="Songti SC"/>
          <w:color w:val="000000"/>
        </w:rPr>
        <w:t>适配新环境接口地址、网络策略、证书、超时、重试和日志。</w:t>
      </w:r>
    </w:p>
    <w:p w14:paraId="4741C1B1">
      <w:pPr>
        <w:ind w:firstLine="480"/>
        <w:rPr>
          <w:rFonts w:hint="eastAsia"/>
          <w:color w:val="000000"/>
        </w:rPr>
      </w:pPr>
      <w:r>
        <w:rPr>
          <w:rFonts w:ascii="Songti SC" w:hAnsi="Songti SC" w:eastAsia="Songti SC" w:cs="Songti SC"/>
          <w:color w:val="000000"/>
        </w:rPr>
        <w:t>保留既有业务边界，不改变银行侧和大数据平台侧业务流程。</w:t>
      </w:r>
    </w:p>
    <w:p w14:paraId="40B0786B">
      <w:pPr>
        <w:ind w:firstLine="482"/>
        <w:rPr>
          <w:rFonts w:hint="eastAsia"/>
          <w:color w:val="000000"/>
        </w:rPr>
      </w:pPr>
      <w:r>
        <w:rPr>
          <w:rFonts w:hint="eastAsia" w:ascii="Songti SC" w:hAnsi="Songti SC" w:eastAsia="Songti SC" w:cs="Songti SC"/>
          <w:b/>
          <w:color w:val="000000"/>
        </w:rPr>
        <w:t>2.</w:t>
      </w:r>
      <w:r>
        <w:rPr>
          <w:rFonts w:ascii="Songti SC" w:hAnsi="Songti SC" w:eastAsia="Songti SC" w:cs="Songti SC"/>
          <w:b/>
          <w:color w:val="000000"/>
        </w:rPr>
        <w:t>适配做法</w:t>
      </w:r>
    </w:p>
    <w:p w14:paraId="4D0887E6">
      <w:pPr>
        <w:ind w:firstLine="480"/>
        <w:rPr>
          <w:rFonts w:hint="eastAsia"/>
          <w:color w:val="000000"/>
        </w:rPr>
      </w:pPr>
      <w:r>
        <w:rPr>
          <w:rFonts w:ascii="Songti SC" w:hAnsi="Songti SC" w:eastAsia="Songti SC" w:cs="Songti SC"/>
          <w:color w:val="000000"/>
        </w:rPr>
        <w:t>接口交互全程记录订单号、请求流水、返回状态和异常原因。</w:t>
      </w:r>
    </w:p>
    <w:p w14:paraId="5B525307">
      <w:pPr>
        <w:ind w:firstLine="480"/>
        <w:rPr>
          <w:rFonts w:hint="eastAsia"/>
          <w:color w:val="000000"/>
        </w:rPr>
      </w:pPr>
      <w:r>
        <w:rPr>
          <w:rFonts w:ascii="Songti SC" w:hAnsi="Songti SC" w:eastAsia="Songti SC" w:cs="Songti SC"/>
          <w:color w:val="000000"/>
        </w:rPr>
        <w:t>对超时、失败、重复回调、状态不一致等情况设置补偿处理。</w:t>
      </w:r>
    </w:p>
    <w:p w14:paraId="00481088">
      <w:pPr>
        <w:pStyle w:val="5"/>
        <w:rPr>
          <w:rFonts w:hint="eastAsia"/>
          <w:color w:val="000000"/>
        </w:rPr>
      </w:pPr>
      <w:r>
        <w:rPr>
          <w:rFonts w:ascii="Songti SC" w:hAnsi="Songti SC" w:eastAsia="Songti SC" w:cs="Songti SC"/>
          <w:color w:val="000000"/>
        </w:rPr>
        <w:t>小程序端充值功能适配</w:t>
      </w:r>
    </w:p>
    <w:p w14:paraId="67AEF4D7">
      <w:pPr>
        <w:ind w:firstLine="480"/>
        <w:rPr>
          <w:rFonts w:hint="eastAsia"/>
          <w:color w:val="000000"/>
        </w:rPr>
      </w:pPr>
      <w:r>
        <w:rPr>
          <w:rFonts w:ascii="Songti SC" w:hAnsi="Songti SC" w:eastAsia="Songti SC" w:cs="Songti SC"/>
          <w:color w:val="000000"/>
        </w:rPr>
        <w:t>小程序端充值功能适配用于保障用户在手机端完成余额查询、充值发起、提现申请以及充值和提现结果查询。</w:t>
      </w:r>
    </w:p>
    <w:p w14:paraId="3DF3C83B">
      <w:pPr>
        <w:ind w:firstLine="482"/>
        <w:rPr>
          <w:rFonts w:hint="eastAsia"/>
          <w:color w:val="000000"/>
        </w:rPr>
      </w:pPr>
      <w:r>
        <w:rPr>
          <w:rFonts w:hint="eastAsia" w:ascii="Songti SC" w:hAnsi="Songti SC" w:eastAsia="Songti SC" w:cs="Songti SC"/>
          <w:b/>
          <w:color w:val="000000"/>
        </w:rPr>
        <w:t>1.改造</w:t>
      </w:r>
      <w:r>
        <w:rPr>
          <w:rFonts w:ascii="Songti SC" w:hAnsi="Songti SC" w:eastAsia="Songti SC" w:cs="Songti SC"/>
          <w:b/>
          <w:color w:val="000000"/>
        </w:rPr>
        <w:t>内容</w:t>
      </w:r>
    </w:p>
    <w:p w14:paraId="4C55456B">
      <w:pPr>
        <w:ind w:firstLine="480"/>
        <w:rPr>
          <w:rFonts w:hint="eastAsia"/>
          <w:color w:val="000000"/>
        </w:rPr>
      </w:pPr>
      <w:r>
        <w:rPr>
          <w:rFonts w:ascii="Songti SC" w:hAnsi="Songti SC" w:eastAsia="Songti SC" w:cs="Songti SC"/>
          <w:color w:val="000000"/>
        </w:rPr>
        <w:t>用户登录后可查看账户余额、补贴余额和充值记录。</w:t>
      </w:r>
    </w:p>
    <w:p w14:paraId="7E54E65F">
      <w:pPr>
        <w:ind w:firstLine="480"/>
        <w:rPr>
          <w:rFonts w:hint="eastAsia"/>
          <w:color w:val="000000"/>
        </w:rPr>
      </w:pPr>
      <w:r>
        <w:rPr>
          <w:rFonts w:ascii="Songti SC" w:hAnsi="Songti SC" w:eastAsia="Songti SC" w:cs="Songti SC"/>
          <w:color w:val="000000"/>
        </w:rPr>
        <w:t>发起充值时选择金额并生成充值订单。</w:t>
      </w:r>
    </w:p>
    <w:p w14:paraId="1A16B5D0">
      <w:pPr>
        <w:ind w:firstLine="480"/>
        <w:rPr>
          <w:rFonts w:hint="eastAsia"/>
          <w:color w:val="000000"/>
        </w:rPr>
      </w:pPr>
      <w:r>
        <w:rPr>
          <w:rFonts w:ascii="Songti SC" w:hAnsi="Songti SC" w:eastAsia="Songti SC" w:cs="Songti SC"/>
          <w:color w:val="000000"/>
        </w:rPr>
        <w:t>充值完成后小程序端展示处理结果和余额变化。</w:t>
      </w:r>
    </w:p>
    <w:p w14:paraId="7449A43B">
      <w:pPr>
        <w:ind w:firstLine="482"/>
        <w:rPr>
          <w:rFonts w:hint="eastAsia"/>
          <w:color w:val="000000"/>
        </w:rPr>
      </w:pPr>
      <w:r>
        <w:rPr>
          <w:rFonts w:hint="eastAsia" w:ascii="Songti SC" w:hAnsi="Songti SC" w:eastAsia="Songti SC" w:cs="Songti SC"/>
          <w:b/>
          <w:color w:val="000000"/>
        </w:rPr>
        <w:t>2.</w:t>
      </w:r>
      <w:r>
        <w:rPr>
          <w:rFonts w:ascii="Songti SC" w:hAnsi="Songti SC" w:eastAsia="Songti SC" w:cs="Songti SC"/>
          <w:b/>
          <w:color w:val="000000"/>
        </w:rPr>
        <w:t>适配做法</w:t>
      </w:r>
    </w:p>
    <w:p w14:paraId="482E6A10">
      <w:pPr>
        <w:ind w:firstLine="480"/>
        <w:rPr>
          <w:rFonts w:hint="eastAsia"/>
          <w:color w:val="000000"/>
        </w:rPr>
      </w:pPr>
      <w:r>
        <w:rPr>
          <w:rFonts w:ascii="Songti SC" w:hAnsi="Songti SC" w:eastAsia="Songti SC" w:cs="Songti SC"/>
          <w:color w:val="000000"/>
        </w:rPr>
        <w:t>登录、余额、订单、充值页面适配后台新接口。</w:t>
      </w:r>
    </w:p>
    <w:p w14:paraId="37A7C0C1">
      <w:pPr>
        <w:ind w:firstLine="480"/>
        <w:rPr>
          <w:rFonts w:hint="eastAsia"/>
          <w:color w:val="000000"/>
        </w:rPr>
      </w:pPr>
      <w:r>
        <w:rPr>
          <w:rFonts w:ascii="Songti SC" w:hAnsi="Songti SC" w:eastAsia="Songti SC" w:cs="Songti SC"/>
          <w:color w:val="000000"/>
        </w:rPr>
        <w:t>充值订单未最终确认前不重复入账，页面展示以订单状态为准。</w:t>
      </w:r>
    </w:p>
    <w:p w14:paraId="399A76E4">
      <w:pPr>
        <w:pStyle w:val="5"/>
        <w:rPr>
          <w:rFonts w:hint="eastAsia"/>
          <w:color w:val="000000"/>
        </w:rPr>
      </w:pPr>
      <w:r>
        <w:rPr>
          <w:rFonts w:ascii="Songti SC" w:hAnsi="Songti SC" w:eastAsia="Songti SC" w:cs="Songti SC"/>
          <w:color w:val="000000"/>
        </w:rPr>
        <w:t>余额推送与异常处理功能适配</w:t>
      </w:r>
    </w:p>
    <w:p w14:paraId="75CFED4E">
      <w:pPr>
        <w:ind w:firstLine="480"/>
        <w:rPr>
          <w:rFonts w:hint="eastAsia"/>
          <w:color w:val="000000"/>
        </w:rPr>
      </w:pPr>
      <w:r>
        <w:rPr>
          <w:rFonts w:ascii="Songti SC" w:hAnsi="Songti SC" w:eastAsia="Songti SC" w:cs="Songti SC"/>
          <w:color w:val="000000"/>
        </w:rPr>
        <w:t>余额推送与异常处理用于保障充值成功后账户余额及时更新，异常订单可追踪。</w:t>
      </w:r>
    </w:p>
    <w:p w14:paraId="44CFB96E">
      <w:pPr>
        <w:ind w:firstLine="482"/>
        <w:rPr>
          <w:rFonts w:hint="eastAsia"/>
          <w:color w:val="000000"/>
        </w:rPr>
      </w:pPr>
      <w:r>
        <w:rPr>
          <w:rFonts w:hint="eastAsia" w:ascii="Songti SC" w:hAnsi="Songti SC" w:eastAsia="Songti SC" w:cs="Songti SC"/>
          <w:b/>
          <w:color w:val="000000"/>
        </w:rPr>
        <w:t>1.改造</w:t>
      </w:r>
      <w:r>
        <w:rPr>
          <w:rFonts w:ascii="Songti SC" w:hAnsi="Songti SC" w:eastAsia="Songti SC" w:cs="Songti SC"/>
          <w:b/>
          <w:color w:val="000000"/>
        </w:rPr>
        <w:t>内容</w:t>
      </w:r>
    </w:p>
    <w:p w14:paraId="7009809B">
      <w:pPr>
        <w:ind w:firstLine="480"/>
        <w:rPr>
          <w:rFonts w:hint="eastAsia"/>
          <w:color w:val="000000"/>
        </w:rPr>
      </w:pPr>
      <w:r>
        <w:rPr>
          <w:rFonts w:ascii="Songti SC" w:hAnsi="Songti SC" w:eastAsia="Songti SC" w:cs="Songti SC"/>
          <w:color w:val="000000"/>
        </w:rPr>
        <w:t>银行确认成功后平台自动入账并生成账户流水。</w:t>
      </w:r>
    </w:p>
    <w:p w14:paraId="3797BDBC">
      <w:pPr>
        <w:ind w:firstLine="480"/>
        <w:rPr>
          <w:rFonts w:hint="eastAsia"/>
          <w:color w:val="000000"/>
        </w:rPr>
      </w:pPr>
      <w:r>
        <w:rPr>
          <w:rFonts w:ascii="Songti SC" w:hAnsi="Songti SC" w:eastAsia="Songti SC" w:cs="Songti SC"/>
          <w:color w:val="000000"/>
        </w:rPr>
        <w:t>小程序端可刷新查看最新余额。</w:t>
      </w:r>
    </w:p>
    <w:p w14:paraId="53569FDA">
      <w:pPr>
        <w:ind w:firstLine="480"/>
        <w:rPr>
          <w:rFonts w:hint="eastAsia"/>
          <w:color w:val="000000"/>
        </w:rPr>
      </w:pPr>
      <w:r>
        <w:rPr>
          <w:rFonts w:ascii="Songti SC" w:hAnsi="Songti SC" w:eastAsia="Songti SC" w:cs="Songti SC"/>
          <w:color w:val="000000"/>
        </w:rPr>
        <w:t>入账失败、回调失败、状态不一致订单进入异常处理。</w:t>
      </w:r>
    </w:p>
    <w:p w14:paraId="3D3F3DC5">
      <w:pPr>
        <w:ind w:firstLine="482"/>
        <w:rPr>
          <w:rFonts w:hint="eastAsia"/>
          <w:color w:val="000000"/>
        </w:rPr>
      </w:pPr>
      <w:r>
        <w:rPr>
          <w:rFonts w:hint="eastAsia" w:ascii="Songti SC" w:hAnsi="Songti SC" w:eastAsia="Songti SC" w:cs="Songti SC"/>
          <w:b/>
          <w:color w:val="000000"/>
        </w:rPr>
        <w:t>2.</w:t>
      </w:r>
      <w:r>
        <w:rPr>
          <w:rFonts w:ascii="Songti SC" w:hAnsi="Songti SC" w:eastAsia="Songti SC" w:cs="Songti SC"/>
          <w:b/>
          <w:color w:val="000000"/>
        </w:rPr>
        <w:t>适配做法</w:t>
      </w:r>
    </w:p>
    <w:p w14:paraId="3E3184A9">
      <w:pPr>
        <w:ind w:firstLine="480"/>
        <w:rPr>
          <w:rFonts w:hint="eastAsia"/>
          <w:color w:val="000000"/>
        </w:rPr>
      </w:pPr>
      <w:r>
        <w:rPr>
          <w:rFonts w:ascii="Songti SC" w:hAnsi="Songti SC" w:eastAsia="Songti SC" w:cs="Songti SC"/>
          <w:color w:val="000000"/>
        </w:rPr>
        <w:t>自动入账采用事务处理，充值记录和余额更新保持一致。</w:t>
      </w:r>
    </w:p>
    <w:p w14:paraId="0CBB15EC">
      <w:pPr>
        <w:ind w:firstLine="480"/>
        <w:rPr>
          <w:rFonts w:hint="eastAsia"/>
          <w:color w:val="000000"/>
        </w:rPr>
      </w:pPr>
      <w:r>
        <w:rPr>
          <w:rFonts w:ascii="Songti SC" w:hAnsi="Songti SC" w:eastAsia="Songti SC" w:cs="Songti SC"/>
          <w:color w:val="000000"/>
        </w:rPr>
        <w:t>异常订单按订单号、人员、金额、时间和状态查询。</w:t>
      </w:r>
    </w:p>
    <w:p w14:paraId="0044C000">
      <w:pPr>
        <w:pStyle w:val="5"/>
        <w:rPr>
          <w:rFonts w:hint="eastAsia"/>
          <w:color w:val="000000"/>
        </w:rPr>
      </w:pPr>
      <w:r>
        <w:rPr>
          <w:rFonts w:ascii="Songti SC" w:hAnsi="Songti SC" w:eastAsia="Songti SC" w:cs="Songti SC"/>
          <w:color w:val="000000"/>
        </w:rPr>
        <w:t>充值未成功处理与对账校验</w:t>
      </w:r>
    </w:p>
    <w:p w14:paraId="68867B7E">
      <w:pPr>
        <w:ind w:firstLine="480"/>
        <w:rPr>
          <w:rFonts w:hint="eastAsia"/>
          <w:color w:val="000000"/>
        </w:rPr>
      </w:pPr>
      <w:r>
        <w:rPr>
          <w:rFonts w:ascii="Songti SC" w:hAnsi="Songti SC" w:eastAsia="Songti SC" w:cs="Songti SC"/>
          <w:color w:val="000000"/>
        </w:rPr>
        <w:t>充值未成功处理与对账校验用于保障银行扣款、平台订单和账户余额三方一致。</w:t>
      </w:r>
    </w:p>
    <w:p w14:paraId="0A3C7329">
      <w:pPr>
        <w:ind w:firstLine="482"/>
        <w:rPr>
          <w:rFonts w:hint="eastAsia"/>
          <w:color w:val="000000"/>
        </w:rPr>
      </w:pPr>
      <w:r>
        <w:rPr>
          <w:rFonts w:hint="eastAsia" w:ascii="Songti SC" w:hAnsi="Songti SC" w:eastAsia="Songti SC" w:cs="Songti SC"/>
          <w:b/>
          <w:color w:val="000000"/>
        </w:rPr>
        <w:t>1.改造</w:t>
      </w:r>
      <w:r>
        <w:rPr>
          <w:rFonts w:ascii="Songti SC" w:hAnsi="Songti SC" w:eastAsia="Songti SC" w:cs="Songti SC"/>
          <w:b/>
          <w:color w:val="000000"/>
        </w:rPr>
        <w:t>内容</w:t>
      </w:r>
    </w:p>
    <w:p w14:paraId="4C1A9A5A">
      <w:pPr>
        <w:ind w:firstLine="480"/>
        <w:rPr>
          <w:rFonts w:hint="eastAsia"/>
          <w:color w:val="000000"/>
        </w:rPr>
      </w:pPr>
      <w:r>
        <w:rPr>
          <w:rFonts w:ascii="Songti SC" w:hAnsi="Songti SC" w:eastAsia="Songti SC" w:cs="Songti SC"/>
          <w:color w:val="000000"/>
        </w:rPr>
        <w:t>定时对未完成订单发起状态回查。</w:t>
      </w:r>
    </w:p>
    <w:p w14:paraId="33A039D9">
      <w:pPr>
        <w:ind w:firstLine="480"/>
        <w:rPr>
          <w:rFonts w:hint="eastAsia"/>
          <w:color w:val="000000"/>
        </w:rPr>
      </w:pPr>
      <w:r>
        <w:rPr>
          <w:rFonts w:ascii="Songti SC" w:hAnsi="Songti SC" w:eastAsia="Songti SC" w:cs="Songti SC"/>
          <w:color w:val="000000"/>
        </w:rPr>
        <w:t>按日期生成充值对账结果，识别平台成功银行失败、银行成功平台未入账等差异。</w:t>
      </w:r>
    </w:p>
    <w:p w14:paraId="24D81ACB">
      <w:pPr>
        <w:ind w:firstLine="480"/>
        <w:rPr>
          <w:rFonts w:hint="eastAsia"/>
          <w:color w:val="000000"/>
        </w:rPr>
      </w:pPr>
      <w:r>
        <w:rPr>
          <w:rFonts w:ascii="Songti SC" w:hAnsi="Songti SC" w:eastAsia="Songti SC" w:cs="Songti SC"/>
          <w:color w:val="000000"/>
        </w:rPr>
        <w:t>差异订单进入人工核查和系统补偿流程。</w:t>
      </w:r>
    </w:p>
    <w:p w14:paraId="118892E0">
      <w:pPr>
        <w:ind w:firstLine="482"/>
        <w:rPr>
          <w:rFonts w:hint="eastAsia"/>
          <w:color w:val="000000"/>
        </w:rPr>
      </w:pPr>
      <w:r>
        <w:rPr>
          <w:rFonts w:hint="eastAsia" w:ascii="Songti SC" w:hAnsi="Songti SC" w:eastAsia="Songti SC" w:cs="Songti SC"/>
          <w:b/>
          <w:color w:val="000000"/>
        </w:rPr>
        <w:t>2.</w:t>
      </w:r>
      <w:r>
        <w:rPr>
          <w:rFonts w:ascii="Songti SC" w:hAnsi="Songti SC" w:eastAsia="Songti SC" w:cs="Songti SC"/>
          <w:b/>
          <w:color w:val="000000"/>
        </w:rPr>
        <w:t>适配做法</w:t>
      </w:r>
    </w:p>
    <w:p w14:paraId="3F774689">
      <w:pPr>
        <w:ind w:firstLine="480"/>
        <w:rPr>
          <w:rFonts w:hint="eastAsia"/>
          <w:color w:val="000000"/>
        </w:rPr>
      </w:pPr>
      <w:r>
        <w:rPr>
          <w:rFonts w:ascii="Songti SC" w:hAnsi="Songti SC" w:eastAsia="Songti SC" w:cs="Songti SC"/>
          <w:color w:val="000000"/>
        </w:rPr>
        <w:t>对账不直接覆盖原数据，先生成差异清单，再按规则补记或冲正。</w:t>
      </w:r>
    </w:p>
    <w:p w14:paraId="5DD9C139">
      <w:pPr>
        <w:ind w:firstLine="480"/>
        <w:rPr>
          <w:rFonts w:hint="eastAsia"/>
          <w:color w:val="000000"/>
        </w:rPr>
      </w:pPr>
      <w:r>
        <w:rPr>
          <w:rFonts w:ascii="Songti SC" w:hAnsi="Songti SC" w:eastAsia="Songti SC" w:cs="Songti SC"/>
          <w:color w:val="000000"/>
        </w:rPr>
        <w:t>对账结果与充值流水、账户余额、银行状态保持可追溯。</w:t>
      </w:r>
    </w:p>
    <w:p w14:paraId="05D67E2E">
      <w:pPr>
        <w:pStyle w:val="5"/>
        <w:rPr>
          <w:rFonts w:hint="eastAsia"/>
          <w:color w:val="000000"/>
        </w:rPr>
      </w:pPr>
      <w:r>
        <w:rPr>
          <w:rFonts w:ascii="Songti SC" w:hAnsi="Songti SC" w:eastAsia="Songti SC" w:cs="Songti SC"/>
          <w:color w:val="000000"/>
        </w:rPr>
        <w:t>个人订单与消费记录适配</w:t>
      </w:r>
    </w:p>
    <w:p w14:paraId="10B34F5B">
      <w:pPr>
        <w:ind w:firstLine="480"/>
        <w:rPr>
          <w:rFonts w:hint="eastAsia"/>
          <w:color w:val="000000"/>
        </w:rPr>
      </w:pPr>
      <w:r>
        <w:rPr>
          <w:rFonts w:ascii="Songti SC" w:hAnsi="Songti SC" w:eastAsia="Songti SC" w:cs="Songti SC"/>
          <w:color w:val="000000"/>
        </w:rPr>
        <w:t>个人订单与消费记录适配用于保障用户在小程序端查询个人消费、充值、提现、退款和补贴使用情况。</w:t>
      </w:r>
    </w:p>
    <w:p w14:paraId="49F802B7">
      <w:pPr>
        <w:ind w:firstLine="482"/>
        <w:rPr>
          <w:rFonts w:hint="eastAsia"/>
          <w:color w:val="000000"/>
        </w:rPr>
      </w:pPr>
      <w:r>
        <w:rPr>
          <w:rFonts w:hint="eastAsia" w:ascii="Songti SC" w:hAnsi="Songti SC" w:eastAsia="Songti SC" w:cs="Songti SC"/>
          <w:b/>
          <w:color w:val="000000"/>
        </w:rPr>
        <w:t>1.改造</w:t>
      </w:r>
      <w:r>
        <w:rPr>
          <w:rFonts w:ascii="Songti SC" w:hAnsi="Songti SC" w:eastAsia="Songti SC" w:cs="Songti SC"/>
          <w:b/>
          <w:color w:val="000000"/>
        </w:rPr>
        <w:t>内容</w:t>
      </w:r>
    </w:p>
    <w:p w14:paraId="4A8D0A36">
      <w:pPr>
        <w:ind w:firstLine="480"/>
        <w:rPr>
          <w:rFonts w:hint="eastAsia"/>
          <w:color w:val="000000"/>
        </w:rPr>
      </w:pPr>
      <w:r>
        <w:rPr>
          <w:rFonts w:ascii="Songti SC" w:hAnsi="Songti SC" w:eastAsia="Songti SC" w:cs="Songti SC"/>
          <w:color w:val="000000"/>
        </w:rPr>
        <w:t>支持查看消费记录、订单明细、充值记录、余额变化和售后状态。</w:t>
      </w:r>
    </w:p>
    <w:p w14:paraId="1FCD8A64">
      <w:pPr>
        <w:ind w:firstLine="480"/>
        <w:rPr>
          <w:rFonts w:hint="eastAsia"/>
          <w:color w:val="000000"/>
        </w:rPr>
      </w:pPr>
      <w:r>
        <w:rPr>
          <w:rFonts w:ascii="Songti SC" w:hAnsi="Songti SC" w:eastAsia="Songti SC" w:cs="Songti SC"/>
          <w:color w:val="000000"/>
        </w:rPr>
        <w:t>支持按时间筛选近期交易。</w:t>
      </w:r>
    </w:p>
    <w:p w14:paraId="2B42F0D3">
      <w:pPr>
        <w:ind w:firstLine="480"/>
        <w:rPr>
          <w:rFonts w:hint="eastAsia"/>
          <w:color w:val="000000"/>
        </w:rPr>
      </w:pPr>
      <w:r>
        <w:rPr>
          <w:rFonts w:ascii="Songti SC" w:hAnsi="Songti SC" w:eastAsia="Songti SC" w:cs="Songti SC"/>
          <w:color w:val="000000"/>
        </w:rPr>
        <w:t>异常订单展示简明状态，避免用户误解。</w:t>
      </w:r>
    </w:p>
    <w:p w14:paraId="421DA7F8">
      <w:pPr>
        <w:ind w:firstLine="482"/>
        <w:rPr>
          <w:rFonts w:hint="eastAsia"/>
          <w:color w:val="000000"/>
        </w:rPr>
      </w:pPr>
      <w:r>
        <w:rPr>
          <w:rFonts w:hint="eastAsia" w:ascii="Songti SC" w:hAnsi="Songti SC" w:eastAsia="Songti SC" w:cs="Songti SC"/>
          <w:b/>
          <w:color w:val="000000"/>
        </w:rPr>
        <w:t>2.</w:t>
      </w:r>
      <w:r>
        <w:rPr>
          <w:rFonts w:ascii="Songti SC" w:hAnsi="Songti SC" w:eastAsia="Songti SC" w:cs="Songti SC"/>
          <w:b/>
          <w:color w:val="000000"/>
        </w:rPr>
        <w:t>适配做法</w:t>
      </w:r>
    </w:p>
    <w:p w14:paraId="06C19C5B">
      <w:pPr>
        <w:ind w:firstLine="480"/>
        <w:rPr>
          <w:rFonts w:hint="eastAsia"/>
          <w:color w:val="000000"/>
        </w:rPr>
      </w:pPr>
      <w:r>
        <w:rPr>
          <w:rFonts w:ascii="Songti SC" w:hAnsi="Songti SC" w:eastAsia="Songti SC" w:cs="Songti SC"/>
          <w:color w:val="000000"/>
        </w:rPr>
        <w:t>小程序端查询接口进行权限控制，只能查看本人数据。</w:t>
      </w:r>
    </w:p>
    <w:p w14:paraId="4C97F892">
      <w:pPr>
        <w:ind w:firstLine="480"/>
        <w:rPr>
          <w:rFonts w:hint="eastAsia"/>
          <w:color w:val="000000"/>
        </w:rPr>
      </w:pPr>
      <w:r>
        <w:rPr>
          <w:rFonts w:ascii="Songti SC" w:hAnsi="Songti SC" w:eastAsia="Songti SC" w:cs="Songti SC"/>
          <w:color w:val="000000"/>
        </w:rPr>
        <w:t>大数据量历史记录分页加载，保证手机端体验稳定。</w:t>
      </w:r>
    </w:p>
    <w:p w14:paraId="7D27C4A3">
      <w:pPr>
        <w:pStyle w:val="4"/>
        <w:rPr>
          <w:rFonts w:hint="eastAsia"/>
          <w:color w:val="000000"/>
          <w:lang w:eastAsia="zh-CN"/>
        </w:rPr>
      </w:pPr>
      <w:bookmarkStart w:id="357" w:name="_Toc872170533"/>
      <w:bookmarkStart w:id="358" w:name="_Toc2011834186"/>
      <w:bookmarkStart w:id="359" w:name="_Toc1425706372"/>
      <w:r>
        <w:rPr>
          <w:rFonts w:hint="eastAsia" w:ascii="Songti SC" w:hAnsi="Songti SC" w:eastAsia="Songti SC" w:cs="Songti SC"/>
          <w:color w:val="000000"/>
          <w:lang w:eastAsia="zh-CN"/>
        </w:rPr>
        <w:t>历史数据迁移与一致性校验</w:t>
      </w:r>
      <w:bookmarkEnd w:id="357"/>
      <w:bookmarkEnd w:id="358"/>
      <w:bookmarkEnd w:id="359"/>
    </w:p>
    <w:p w14:paraId="79AFABFB">
      <w:pPr>
        <w:pStyle w:val="5"/>
        <w:rPr>
          <w:rFonts w:hint="eastAsia"/>
          <w:color w:val="000000"/>
        </w:rPr>
      </w:pPr>
      <w:r>
        <w:rPr>
          <w:rFonts w:ascii="Songti SC" w:hAnsi="Songti SC" w:eastAsia="Songti SC" w:cs="Songti SC"/>
          <w:color w:val="000000"/>
        </w:rPr>
        <w:t>迁移范围与准备</w:t>
      </w:r>
    </w:p>
    <w:p w14:paraId="6365A54E">
      <w:pPr>
        <w:ind w:firstLine="480"/>
        <w:rPr>
          <w:rFonts w:hint="eastAsia"/>
          <w:color w:val="000000"/>
        </w:rPr>
      </w:pPr>
      <w:r>
        <w:rPr>
          <w:rFonts w:ascii="Songti SC" w:hAnsi="Songti SC" w:eastAsia="Songti SC" w:cs="Songti SC"/>
          <w:color w:val="000000"/>
        </w:rPr>
        <w:t>迁移准备用于明确源系统、目标环境、数据范围、时间窗口、责任人员和核对标准，为正式迁移建立统一基线。</w:t>
      </w:r>
    </w:p>
    <w:p w14:paraId="4D839B8B">
      <w:pPr>
        <w:ind w:firstLine="482"/>
        <w:rPr>
          <w:rFonts w:hint="eastAsia"/>
          <w:color w:val="000000"/>
        </w:rPr>
      </w:pPr>
      <w:r>
        <w:rPr>
          <w:rFonts w:ascii="Songti SC" w:hAnsi="Songti SC" w:eastAsia="Songti SC" w:cs="Songti SC"/>
          <w:b/>
          <w:color w:val="000000"/>
        </w:rPr>
        <w:t>1.建设内容</w:t>
      </w:r>
    </w:p>
    <w:p w14:paraId="4CF30726">
      <w:pPr>
        <w:ind w:firstLine="480"/>
        <w:rPr>
          <w:rFonts w:hint="eastAsia"/>
          <w:color w:val="000000"/>
        </w:rPr>
      </w:pPr>
      <w:r>
        <w:rPr>
          <w:rFonts w:ascii="Songti SC" w:hAnsi="Songti SC" w:eastAsia="Songti SC" w:cs="Songti SC"/>
          <w:color w:val="000000"/>
        </w:rPr>
        <w:t>梳理人员组织、账户余额、充值消费、补贴退款、提现、菜品菜单、设备配置、权限账号和报表基础数据。</w:t>
      </w:r>
    </w:p>
    <w:p w14:paraId="22662CF9">
      <w:pPr>
        <w:ind w:firstLine="480"/>
        <w:rPr>
          <w:rFonts w:hint="eastAsia"/>
          <w:color w:val="000000"/>
        </w:rPr>
      </w:pPr>
      <w:r>
        <w:rPr>
          <w:rFonts w:ascii="Songti SC" w:hAnsi="Songti SC" w:eastAsia="Songti SC" w:cs="Songti SC"/>
          <w:color w:val="000000"/>
        </w:rPr>
        <w:t>核查源数据库表结构、字段类型、索引、数据量、关联关系和历史异常数据。</w:t>
      </w:r>
    </w:p>
    <w:p w14:paraId="44D82313">
      <w:pPr>
        <w:ind w:firstLine="480"/>
        <w:rPr>
          <w:rFonts w:hint="eastAsia"/>
          <w:color w:val="000000"/>
        </w:rPr>
      </w:pPr>
      <w:r>
        <w:rPr>
          <w:rFonts w:ascii="Songti SC" w:hAnsi="Songti SC" w:eastAsia="Songti SC" w:cs="Songti SC"/>
          <w:color w:val="000000"/>
        </w:rPr>
        <w:t>形成迁移清单、数据字典、核对规则、备份方案、割接计划和回退预案。</w:t>
      </w:r>
    </w:p>
    <w:p w14:paraId="32C668D8">
      <w:pPr>
        <w:ind w:firstLine="482"/>
        <w:rPr>
          <w:rFonts w:hint="eastAsia"/>
          <w:color w:val="000000"/>
        </w:rPr>
      </w:pPr>
      <w:r>
        <w:rPr>
          <w:rFonts w:ascii="Songti SC" w:hAnsi="Songti SC" w:eastAsia="Songti SC" w:cs="Songti SC"/>
          <w:b/>
          <w:color w:val="000000"/>
        </w:rPr>
        <w:t>2.适配做法</w:t>
      </w:r>
    </w:p>
    <w:p w14:paraId="00B0F140">
      <w:pPr>
        <w:ind w:firstLine="480"/>
        <w:rPr>
          <w:rFonts w:hint="eastAsia"/>
          <w:color w:val="000000"/>
        </w:rPr>
      </w:pPr>
      <w:r>
        <w:rPr>
          <w:rFonts w:ascii="Songti SC" w:hAnsi="Songti SC" w:eastAsia="Songti SC" w:cs="Songti SC"/>
          <w:color w:val="000000"/>
        </w:rPr>
        <w:t>迁移前开展源库完整备份和试迁移，验证数据库中的数据类型、字符集、日期时间及金额精度。</w:t>
      </w:r>
    </w:p>
    <w:p w14:paraId="1F23E25E">
      <w:pPr>
        <w:ind w:firstLine="480"/>
        <w:rPr>
          <w:rFonts w:hint="eastAsia"/>
          <w:color w:val="000000"/>
        </w:rPr>
      </w:pPr>
      <w:r>
        <w:rPr>
          <w:rFonts w:ascii="Songti SC" w:hAnsi="Songti SC" w:eastAsia="Songti SC" w:cs="Songti SC"/>
          <w:color w:val="000000"/>
        </w:rPr>
        <w:t>以源系统统计结果为基线，固化人员数量、账户余额、交易金额和关键业务记录数量。</w:t>
      </w:r>
    </w:p>
    <w:p w14:paraId="3EAFF9E1">
      <w:pPr>
        <w:pStyle w:val="5"/>
        <w:rPr>
          <w:rFonts w:hint="eastAsia"/>
          <w:color w:val="000000"/>
        </w:rPr>
      </w:pPr>
      <w:r>
        <w:rPr>
          <w:rFonts w:ascii="Songti SC" w:hAnsi="Songti SC" w:eastAsia="Songti SC" w:cs="Songti SC"/>
          <w:color w:val="000000"/>
        </w:rPr>
        <w:t>数据转换与导入</w:t>
      </w:r>
    </w:p>
    <w:p w14:paraId="001207E5">
      <w:pPr>
        <w:ind w:firstLine="480"/>
        <w:rPr>
          <w:rFonts w:hint="eastAsia"/>
          <w:color w:val="000000"/>
        </w:rPr>
      </w:pPr>
      <w:r>
        <w:rPr>
          <w:rFonts w:ascii="Songti SC" w:hAnsi="Songti SC" w:eastAsia="Songti SC" w:cs="Songti SC"/>
          <w:color w:val="000000"/>
        </w:rPr>
        <w:t>数据转换与导入用于将既有业务数据安全、完整地承接至数据库环境。</w:t>
      </w:r>
    </w:p>
    <w:p w14:paraId="4EC57B36">
      <w:pPr>
        <w:ind w:firstLine="482"/>
        <w:rPr>
          <w:rFonts w:hint="eastAsia"/>
          <w:color w:val="000000"/>
        </w:rPr>
      </w:pPr>
      <w:r>
        <w:rPr>
          <w:rFonts w:hint="eastAsia" w:ascii="Songti SC" w:hAnsi="Songti SC" w:eastAsia="Songti SC" w:cs="Songti SC"/>
          <w:b/>
          <w:color w:val="000000"/>
        </w:rPr>
        <w:t>1.建设</w:t>
      </w:r>
      <w:r>
        <w:rPr>
          <w:rFonts w:ascii="Songti SC" w:hAnsi="Songti SC" w:eastAsia="Songti SC" w:cs="Songti SC"/>
          <w:b/>
          <w:color w:val="000000"/>
        </w:rPr>
        <w:t>内容</w:t>
      </w:r>
    </w:p>
    <w:p w14:paraId="0914A81B">
      <w:pPr>
        <w:ind w:firstLine="480"/>
        <w:rPr>
          <w:rFonts w:hint="eastAsia"/>
          <w:color w:val="000000"/>
        </w:rPr>
      </w:pPr>
      <w:r>
        <w:rPr>
          <w:rFonts w:ascii="Songti SC" w:hAnsi="Songti SC" w:eastAsia="Songti SC" w:cs="Songti SC"/>
          <w:color w:val="000000"/>
        </w:rPr>
        <w:t>按照全量数据、增量数据和割接窗口数据分批实施导出、转换和导入。</w:t>
      </w:r>
    </w:p>
    <w:p w14:paraId="7881BA9E">
      <w:pPr>
        <w:ind w:firstLine="480"/>
        <w:rPr>
          <w:rFonts w:hint="eastAsia"/>
          <w:color w:val="000000"/>
        </w:rPr>
      </w:pPr>
      <w:r>
        <w:rPr>
          <w:rFonts w:ascii="Songti SC" w:hAnsi="Songti SC" w:eastAsia="Songti SC" w:cs="Songti SC"/>
          <w:color w:val="000000"/>
        </w:rPr>
        <w:t>对主键、外键、状态枚举、空值、重复记录和失效数据执行转换及清理规则。</w:t>
      </w:r>
    </w:p>
    <w:p w14:paraId="23E1430D">
      <w:pPr>
        <w:ind w:firstLine="482"/>
        <w:rPr>
          <w:rFonts w:hint="eastAsia"/>
          <w:color w:val="000000"/>
        </w:rPr>
      </w:pPr>
      <w:r>
        <w:rPr>
          <w:rFonts w:hint="eastAsia" w:ascii="Songti SC" w:hAnsi="Songti SC" w:eastAsia="Songti SC" w:cs="Songti SC"/>
          <w:b/>
          <w:color w:val="000000"/>
        </w:rPr>
        <w:t>2.</w:t>
      </w:r>
      <w:r>
        <w:rPr>
          <w:rFonts w:ascii="Songti SC" w:hAnsi="Songti SC" w:eastAsia="Songti SC" w:cs="Songti SC"/>
          <w:b/>
          <w:color w:val="000000"/>
        </w:rPr>
        <w:t>适配做法</w:t>
      </w:r>
    </w:p>
    <w:p w14:paraId="13D602BF">
      <w:pPr>
        <w:ind w:firstLine="480"/>
        <w:rPr>
          <w:rFonts w:hint="eastAsia"/>
          <w:color w:val="000000"/>
        </w:rPr>
      </w:pPr>
      <w:r>
        <w:rPr>
          <w:rFonts w:ascii="Songti SC" w:hAnsi="Songti SC" w:eastAsia="Songti SC" w:cs="Songti SC"/>
          <w:color w:val="000000"/>
        </w:rPr>
        <w:t>迁移脚本、执行批次、异常记录和处理结果均应留痕，支持问题定位和回退。</w:t>
      </w:r>
    </w:p>
    <w:p w14:paraId="143415A2">
      <w:pPr>
        <w:pStyle w:val="5"/>
        <w:rPr>
          <w:rFonts w:hint="eastAsia"/>
          <w:color w:val="000000"/>
        </w:rPr>
      </w:pPr>
      <w:r>
        <w:rPr>
          <w:rFonts w:ascii="Songti SC" w:hAnsi="Songti SC" w:eastAsia="Songti SC" w:cs="Songti SC"/>
          <w:color w:val="000000"/>
        </w:rPr>
        <w:t>账务数据一致性校验</w:t>
      </w:r>
    </w:p>
    <w:p w14:paraId="2D2E9CD4">
      <w:pPr>
        <w:ind w:firstLine="480"/>
        <w:rPr>
          <w:rFonts w:hint="eastAsia"/>
          <w:color w:val="000000"/>
        </w:rPr>
      </w:pPr>
      <w:r>
        <w:rPr>
          <w:rFonts w:ascii="Songti SC" w:hAnsi="Songti SC" w:eastAsia="Songti SC" w:cs="Songti SC"/>
          <w:color w:val="000000"/>
        </w:rPr>
        <w:t>账务校验用于确保账户余额与充值、消费、补贴、退款及提现流水之间逻辑一致。</w:t>
      </w:r>
    </w:p>
    <w:p w14:paraId="70433499">
      <w:pPr>
        <w:ind w:firstLine="482"/>
        <w:rPr>
          <w:rFonts w:hint="eastAsia"/>
          <w:color w:val="000000"/>
        </w:rPr>
      </w:pPr>
      <w:r>
        <w:rPr>
          <w:rFonts w:hint="eastAsia" w:ascii="Songti SC" w:hAnsi="Songti SC" w:eastAsia="Songti SC" w:cs="Songti SC"/>
          <w:b/>
          <w:color w:val="000000"/>
        </w:rPr>
        <w:t>1.</w:t>
      </w:r>
      <w:r>
        <w:rPr>
          <w:rFonts w:ascii="Songti SC" w:hAnsi="Songti SC" w:eastAsia="Songti SC" w:cs="Songti SC"/>
          <w:b/>
          <w:color w:val="000000"/>
        </w:rPr>
        <w:t>建设内容</w:t>
      </w:r>
    </w:p>
    <w:p w14:paraId="5D45CBA4">
      <w:pPr>
        <w:ind w:firstLine="480"/>
        <w:rPr>
          <w:rFonts w:hint="eastAsia"/>
          <w:color w:val="000000"/>
        </w:rPr>
      </w:pPr>
      <w:r>
        <w:rPr>
          <w:rFonts w:ascii="Songti SC" w:hAnsi="Songti SC" w:eastAsia="Songti SC" w:cs="Songti SC"/>
          <w:color w:val="000000"/>
        </w:rPr>
        <w:t>核对现金账户和补贴账户余额，分别统计充值、消费、补贴、退款和提现金额。</w:t>
      </w:r>
    </w:p>
    <w:p w14:paraId="59A2285F">
      <w:pPr>
        <w:ind w:firstLine="480"/>
        <w:rPr>
          <w:rFonts w:hint="eastAsia"/>
          <w:color w:val="000000"/>
        </w:rPr>
      </w:pPr>
      <w:r>
        <w:rPr>
          <w:rFonts w:ascii="Songti SC" w:hAnsi="Songti SC" w:eastAsia="Songti SC" w:cs="Songti SC"/>
          <w:color w:val="000000"/>
        </w:rPr>
        <w:t>按人员、账户、订单和日期抽取明细记录，与源系统和报表结果交叉核验。</w:t>
      </w:r>
    </w:p>
    <w:p w14:paraId="3CF39D87">
      <w:pPr>
        <w:ind w:firstLine="480"/>
        <w:rPr>
          <w:rFonts w:hint="eastAsia"/>
          <w:color w:val="000000"/>
        </w:rPr>
      </w:pPr>
      <w:r>
        <w:rPr>
          <w:rFonts w:ascii="Songti SC" w:hAnsi="Songti SC" w:eastAsia="Songti SC" w:cs="Songti SC"/>
          <w:color w:val="000000"/>
        </w:rPr>
        <w:t>发现余额差异、重复流水、孤立记录或状态异常时形成差异清单并逐项处理。</w:t>
      </w:r>
    </w:p>
    <w:p w14:paraId="68EF15CA">
      <w:pPr>
        <w:ind w:firstLine="482"/>
        <w:rPr>
          <w:rFonts w:hint="eastAsia"/>
          <w:color w:val="000000"/>
        </w:rPr>
      </w:pPr>
      <w:r>
        <w:rPr>
          <w:rFonts w:hint="eastAsia" w:ascii="Songti SC" w:hAnsi="Songti SC" w:eastAsia="Songti SC" w:cs="Songti SC"/>
          <w:b/>
          <w:color w:val="000000"/>
        </w:rPr>
        <w:t>2.</w:t>
      </w:r>
      <w:r>
        <w:rPr>
          <w:rFonts w:ascii="Songti SC" w:hAnsi="Songti SC" w:eastAsia="Songti SC" w:cs="Songti SC"/>
          <w:b/>
          <w:color w:val="000000"/>
        </w:rPr>
        <w:t>适配做法</w:t>
      </w:r>
    </w:p>
    <w:p w14:paraId="3723C6BE">
      <w:pPr>
        <w:ind w:firstLine="480"/>
        <w:rPr>
          <w:rFonts w:hint="eastAsia"/>
          <w:color w:val="000000"/>
        </w:rPr>
      </w:pPr>
      <w:r>
        <w:rPr>
          <w:rFonts w:ascii="Songti SC" w:hAnsi="Songti SC" w:eastAsia="Songti SC" w:cs="Songti SC"/>
          <w:color w:val="000000"/>
        </w:rPr>
        <w:t>账务类差异处理应经过复核确认，不以直接修改汇总结果代替明细问题处理。</w:t>
      </w:r>
    </w:p>
    <w:p w14:paraId="728C3120">
      <w:pPr>
        <w:ind w:firstLine="480"/>
        <w:rPr>
          <w:rFonts w:hint="eastAsia"/>
          <w:color w:val="000000"/>
        </w:rPr>
      </w:pPr>
      <w:r>
        <w:rPr>
          <w:rFonts w:ascii="Songti SC" w:hAnsi="Songti SC" w:eastAsia="Songti SC" w:cs="Songti SC"/>
          <w:color w:val="000000"/>
        </w:rPr>
        <w:t>完成校验后形成余额核对表、流水核对表和差异闭环记录。</w:t>
      </w:r>
    </w:p>
    <w:p w14:paraId="07458B1F">
      <w:pPr>
        <w:pStyle w:val="5"/>
        <w:rPr>
          <w:rFonts w:hint="eastAsia"/>
          <w:color w:val="000000"/>
        </w:rPr>
      </w:pPr>
      <w:r>
        <w:rPr>
          <w:rFonts w:ascii="Songti SC" w:hAnsi="Songti SC" w:eastAsia="Songti SC" w:cs="Songti SC"/>
          <w:color w:val="000000"/>
        </w:rPr>
        <w:t>业务关联与割接验证</w:t>
      </w:r>
    </w:p>
    <w:p w14:paraId="11F6C65B">
      <w:pPr>
        <w:ind w:firstLine="480"/>
        <w:rPr>
          <w:rFonts w:hint="eastAsia"/>
          <w:color w:val="000000"/>
        </w:rPr>
      </w:pPr>
      <w:r>
        <w:rPr>
          <w:rFonts w:ascii="Songti SC" w:hAnsi="Songti SC" w:eastAsia="Songti SC" w:cs="Songti SC"/>
          <w:color w:val="000000"/>
        </w:rPr>
        <w:t>业务关联验证用于确认迁移后的人员、账户、消费设备、餐厅、菜品、订单和权限关系完整可用。</w:t>
      </w:r>
    </w:p>
    <w:p w14:paraId="43245D56">
      <w:pPr>
        <w:ind w:firstLine="482"/>
        <w:rPr>
          <w:rFonts w:hint="eastAsia"/>
          <w:color w:val="000000"/>
        </w:rPr>
      </w:pPr>
      <w:r>
        <w:rPr>
          <w:rFonts w:hint="eastAsia" w:ascii="Songti SC" w:hAnsi="Songti SC" w:eastAsia="Songti SC" w:cs="Songti SC"/>
          <w:b/>
          <w:color w:val="000000"/>
        </w:rPr>
        <w:t>1.</w:t>
      </w:r>
      <w:r>
        <w:rPr>
          <w:rFonts w:ascii="Songti SC" w:hAnsi="Songti SC" w:eastAsia="Songti SC" w:cs="Songti SC"/>
          <w:b/>
          <w:color w:val="000000"/>
        </w:rPr>
        <w:t>建设内容</w:t>
      </w:r>
    </w:p>
    <w:p w14:paraId="651D82A2">
      <w:pPr>
        <w:ind w:firstLine="480"/>
        <w:rPr>
          <w:rFonts w:hint="eastAsia"/>
          <w:color w:val="000000"/>
        </w:rPr>
      </w:pPr>
      <w:r>
        <w:rPr>
          <w:rFonts w:ascii="Songti SC" w:hAnsi="Songti SC" w:eastAsia="Songti SC" w:cs="Songti SC"/>
          <w:color w:val="000000"/>
        </w:rPr>
        <w:t>抽样验证人员登录、余额查询、充值、提现、刷卡/扫码/刷脸消费、退款、报表和设备同步。</w:t>
      </w:r>
    </w:p>
    <w:p w14:paraId="38296B40">
      <w:pPr>
        <w:ind w:firstLine="480"/>
        <w:rPr>
          <w:rFonts w:hint="eastAsia"/>
          <w:color w:val="000000"/>
        </w:rPr>
      </w:pPr>
      <w:r>
        <w:rPr>
          <w:rFonts w:ascii="Songti SC" w:hAnsi="Songti SC" w:eastAsia="Songti SC" w:cs="Songti SC"/>
          <w:color w:val="000000"/>
        </w:rPr>
        <w:t>逐点验证17个集中办公区和55台消费设备的人员同步、交易上传及离线补传。</w:t>
      </w:r>
    </w:p>
    <w:p w14:paraId="28044D65">
      <w:pPr>
        <w:ind w:firstLine="480"/>
        <w:rPr>
          <w:rFonts w:hint="eastAsia"/>
          <w:color w:val="000000"/>
        </w:rPr>
      </w:pPr>
      <w:r>
        <w:rPr>
          <w:rFonts w:ascii="Songti SC" w:hAnsi="Songti SC" w:eastAsia="Songti SC" w:cs="Songti SC"/>
          <w:color w:val="000000"/>
        </w:rPr>
        <w:t>完成工商银行、</w:t>
      </w:r>
      <w:r>
        <w:rPr>
          <w:rFonts w:hint="eastAsia" w:ascii="Songti SC" w:hAnsi="Songti SC" w:eastAsia="Songti SC" w:cs="Songti SC"/>
          <w:color w:val="000000"/>
          <w:lang w:eastAsia="zh-CN"/>
        </w:rPr>
        <w:t>大数据交互平台</w:t>
      </w:r>
      <w:r>
        <w:rPr>
          <w:rFonts w:ascii="Songti SC" w:hAnsi="Songti SC" w:eastAsia="Songti SC" w:cs="Songti SC"/>
          <w:color w:val="000000"/>
        </w:rPr>
        <w:t>、前置库和微信小程序等业务链路联调。</w:t>
      </w:r>
    </w:p>
    <w:p w14:paraId="4819D8AF">
      <w:pPr>
        <w:ind w:firstLine="482"/>
        <w:rPr>
          <w:rFonts w:hint="eastAsia"/>
          <w:color w:val="000000"/>
        </w:rPr>
      </w:pPr>
      <w:r>
        <w:rPr>
          <w:rFonts w:hint="eastAsia" w:ascii="Songti SC" w:hAnsi="Songti SC" w:eastAsia="Songti SC" w:cs="Songti SC"/>
          <w:b/>
          <w:color w:val="000000"/>
        </w:rPr>
        <w:t>2.</w:t>
      </w:r>
      <w:r>
        <w:rPr>
          <w:rFonts w:ascii="Songti SC" w:hAnsi="Songti SC" w:eastAsia="Songti SC" w:cs="Songti SC"/>
          <w:b/>
          <w:color w:val="000000"/>
        </w:rPr>
        <w:t>适配做法</w:t>
      </w:r>
    </w:p>
    <w:p w14:paraId="229A85DF">
      <w:pPr>
        <w:ind w:firstLine="480"/>
        <w:rPr>
          <w:rFonts w:hint="eastAsia"/>
          <w:color w:val="000000"/>
        </w:rPr>
      </w:pPr>
      <w:r>
        <w:rPr>
          <w:rFonts w:ascii="Songti SC" w:hAnsi="Songti SC" w:eastAsia="Songti SC" w:cs="Songti SC"/>
          <w:color w:val="000000"/>
        </w:rPr>
        <w:t>正式割接后持续核对交易流水、余额变化、接口状态和设备运行情况，发现问题按预案处理。</w:t>
      </w:r>
    </w:p>
    <w:p w14:paraId="1D0E7CC1">
      <w:pPr>
        <w:ind w:firstLine="480"/>
        <w:rPr>
          <w:rFonts w:hint="eastAsia"/>
          <w:color w:val="000000"/>
        </w:rPr>
      </w:pPr>
      <w:r>
        <w:rPr>
          <w:rFonts w:ascii="Songti SC" w:hAnsi="Songti SC" w:eastAsia="Songti SC" w:cs="Songti SC"/>
          <w:color w:val="000000"/>
        </w:rPr>
        <w:t>迁移、校验、差异处理和业务确认材料统一归档，作为上线和验收依据。</w:t>
      </w:r>
    </w:p>
    <w:p w14:paraId="4FD4A931">
      <w:pPr>
        <w:ind w:firstLine="480"/>
        <w:rPr>
          <w:rFonts w:hint="eastAsia"/>
          <w:color w:val="000000"/>
        </w:rPr>
      </w:pPr>
      <w:r>
        <w:rPr>
          <w:rFonts w:ascii="Songti SC" w:hAnsi="Songti SC" w:eastAsia="Songti SC" w:cs="Songti SC"/>
          <w:color w:val="000000"/>
        </w:rPr>
        <w:br w:type="page"/>
      </w:r>
    </w:p>
    <w:p w14:paraId="2C6B95AB">
      <w:pPr>
        <w:pStyle w:val="3"/>
        <w:rPr>
          <w:rFonts w:hint="eastAsia"/>
          <w:color w:val="000000"/>
        </w:rPr>
      </w:pPr>
      <w:bookmarkStart w:id="360" w:name="_Toc224460978"/>
      <w:bookmarkStart w:id="361" w:name="_Toc767142087"/>
      <w:bookmarkStart w:id="362" w:name="_Toc1994257356"/>
      <w:r>
        <w:rPr>
          <w:rFonts w:ascii="Songti SC" w:hAnsi="Songti SC" w:eastAsia="Songti SC" w:cs="Songti SC"/>
          <w:color w:val="000000"/>
        </w:rPr>
        <w:t>目标系统兼容适配方案</w:t>
      </w:r>
      <w:bookmarkEnd w:id="360"/>
      <w:bookmarkEnd w:id="361"/>
      <w:bookmarkEnd w:id="362"/>
    </w:p>
    <w:p w14:paraId="365984EF">
      <w:pPr>
        <w:pStyle w:val="4"/>
        <w:rPr>
          <w:rFonts w:hint="eastAsia"/>
          <w:color w:val="000000"/>
        </w:rPr>
      </w:pPr>
      <w:bookmarkStart w:id="363" w:name="_Toc1534373114"/>
      <w:bookmarkStart w:id="364" w:name="_Toc1706103563"/>
      <w:bookmarkStart w:id="365" w:name="_Toc2012723268"/>
      <w:r>
        <w:rPr>
          <w:rFonts w:ascii="Songti SC" w:hAnsi="Songti SC" w:eastAsia="Songti SC" w:cs="Songti SC"/>
          <w:color w:val="000000"/>
        </w:rPr>
        <w:t>整体框架设计优化</w:t>
      </w:r>
      <w:bookmarkEnd w:id="363"/>
      <w:bookmarkEnd w:id="364"/>
      <w:bookmarkEnd w:id="365"/>
    </w:p>
    <w:p w14:paraId="234D8710">
      <w:pPr>
        <w:ind w:firstLine="480"/>
        <w:rPr>
          <w:rFonts w:hint="eastAsia"/>
          <w:color w:val="000000"/>
        </w:rPr>
      </w:pPr>
      <w:r>
        <w:rPr>
          <w:rFonts w:ascii="Songti SC" w:hAnsi="Songti SC" w:eastAsia="Songti SC" w:cs="Songti SC"/>
          <w:color w:val="000000"/>
        </w:rPr>
        <w:t>整体框架优化的目标是把现有食堂消费系统从依赖原有运行环境的形态，调整为适合建设单位统筹确定的政务云运行环境长期运行的形态。优化过程中保持业务流程不变，但对配置、日志、接口、数据访问、任务调度和异常处理进行梳理，使系统更容易部署、运维和排查问题。</w:t>
      </w:r>
    </w:p>
    <w:p w14:paraId="70433A2A">
      <w:pPr>
        <w:pStyle w:val="5"/>
        <w:rPr>
          <w:rFonts w:hint="eastAsia"/>
          <w:color w:val="000000"/>
        </w:rPr>
      </w:pPr>
      <w:r>
        <w:rPr>
          <w:rFonts w:ascii="Songti SC" w:hAnsi="Songti SC" w:eastAsia="Songti SC" w:cs="Songti SC"/>
          <w:color w:val="000000"/>
        </w:rPr>
        <w:t>分层架构详细设计</w:t>
      </w:r>
    </w:p>
    <w:p w14:paraId="5E1B56CA">
      <w:pPr>
        <w:ind w:firstLine="480"/>
        <w:rPr>
          <w:rFonts w:hint="eastAsia"/>
          <w:color w:val="000000"/>
        </w:rPr>
      </w:pPr>
      <w:r>
        <w:rPr>
          <w:rFonts w:ascii="Songti SC" w:hAnsi="Songti SC" w:eastAsia="Songti SC" w:cs="Songti SC"/>
          <w:color w:val="000000"/>
        </w:rPr>
        <w:t>表现层包括 PC 管理端和小程序端，承担人员操作、查询展示、导入导出、充值发起和个人查询。</w:t>
      </w:r>
    </w:p>
    <w:p w14:paraId="59DD7533">
      <w:pPr>
        <w:ind w:firstLine="480"/>
        <w:rPr>
          <w:rFonts w:hint="eastAsia"/>
          <w:color w:val="000000"/>
        </w:rPr>
      </w:pPr>
      <w:r>
        <w:rPr>
          <w:rFonts w:ascii="Songti SC" w:hAnsi="Songti SC" w:eastAsia="Songti SC" w:cs="Songti SC"/>
          <w:color w:val="000000"/>
        </w:rPr>
        <w:t>业务层包括人员账户、充值补贴、消费订单、报表统计、消费机接入、权限审计等业务能力。</w:t>
      </w:r>
    </w:p>
    <w:p w14:paraId="1FE5FBFF">
      <w:pPr>
        <w:ind w:firstLine="480"/>
        <w:rPr>
          <w:rFonts w:hint="eastAsia"/>
          <w:color w:val="000000"/>
        </w:rPr>
      </w:pPr>
      <w:r>
        <w:rPr>
          <w:rFonts w:ascii="Songti SC" w:hAnsi="Songti SC" w:eastAsia="Songti SC" w:cs="Songti SC"/>
          <w:color w:val="000000"/>
        </w:rPr>
        <w:t>接口层负责工商银行、</w:t>
      </w:r>
      <w:r>
        <w:rPr>
          <w:rFonts w:hint="eastAsia" w:ascii="Songti SC" w:hAnsi="Songti SC" w:eastAsia="Songti SC" w:cs="Songti SC"/>
          <w:color w:val="000000"/>
          <w:lang w:eastAsia="zh-CN"/>
        </w:rPr>
        <w:t>大数据交互平台</w:t>
      </w:r>
      <w:r>
        <w:rPr>
          <w:rFonts w:ascii="Songti SC" w:hAnsi="Songti SC" w:eastAsia="Songti SC" w:cs="Songti SC"/>
          <w:color w:val="000000"/>
        </w:rPr>
        <w:t>、前置库、消费机、小程序端之间的业务请求和结果回写。</w:t>
      </w:r>
    </w:p>
    <w:p w14:paraId="550130A4">
      <w:pPr>
        <w:ind w:firstLine="480"/>
        <w:rPr>
          <w:rFonts w:hint="eastAsia"/>
          <w:color w:val="000000"/>
        </w:rPr>
      </w:pPr>
      <w:r>
        <w:rPr>
          <w:rFonts w:ascii="Songti SC" w:hAnsi="Songti SC" w:eastAsia="Songti SC" w:cs="Songti SC"/>
          <w:color w:val="000000"/>
        </w:rPr>
        <w:t>数据层负责人员、账户、交易、订单、报表、设备、日志等数据的统一存储和查询。</w:t>
      </w:r>
    </w:p>
    <w:p w14:paraId="29B3D69A">
      <w:pPr>
        <w:ind w:firstLine="480"/>
        <w:rPr>
          <w:rFonts w:hint="eastAsia"/>
          <w:color w:val="000000"/>
        </w:rPr>
      </w:pPr>
      <w:r>
        <w:rPr>
          <w:rFonts w:ascii="Songti SC" w:hAnsi="Songti SC" w:eastAsia="Songti SC" w:cs="Songti SC"/>
          <w:color w:val="000000"/>
        </w:rPr>
        <w:t>运维层负责配置管理、日志管理、定时任务、监控告警、备份恢复和上线切换。</w:t>
      </w:r>
    </w:p>
    <w:p w14:paraId="733C8F4F">
      <w:pPr>
        <w:pStyle w:val="5"/>
        <w:rPr>
          <w:rFonts w:hint="eastAsia"/>
          <w:color w:val="000000"/>
        </w:rPr>
      </w:pPr>
      <w:r>
        <w:rPr>
          <w:rFonts w:ascii="Songti SC" w:hAnsi="Songti SC" w:eastAsia="Songti SC" w:cs="Songti SC"/>
          <w:color w:val="000000"/>
        </w:rPr>
        <w:t>分层架构交互流程</w:t>
      </w:r>
    </w:p>
    <w:p w14:paraId="7552C0D5">
      <w:pPr>
        <w:pStyle w:val="6"/>
        <w:rPr>
          <w:rFonts w:hint="eastAsia"/>
          <w:color w:val="000000"/>
        </w:rPr>
      </w:pPr>
      <w:r>
        <w:rPr>
          <w:rFonts w:ascii="Songti SC" w:hAnsi="Songti SC" w:eastAsia="Songti SC" w:cs="Songti SC"/>
          <w:color w:val="000000"/>
        </w:rPr>
        <w:t>典型交易交互流程</w:t>
      </w:r>
    </w:p>
    <w:p w14:paraId="02BCA464">
      <w:pPr>
        <w:ind w:firstLine="480"/>
        <w:rPr>
          <w:rFonts w:hint="eastAsia"/>
          <w:color w:val="000000"/>
        </w:rPr>
      </w:pPr>
      <w:r>
        <w:rPr>
          <w:rFonts w:hint="eastAsia" w:ascii="Songti SC" w:hAnsi="Songti SC" w:eastAsia="Songti SC" w:cs="Songti SC"/>
          <w:color w:val="000000"/>
        </w:rPr>
        <w:drawing>
          <wp:inline distT="0" distB="0" distL="114300" distR="114300">
            <wp:extent cx="5272405" cy="4217670"/>
            <wp:effectExtent l="0" t="0" r="10795" b="24130"/>
            <wp:docPr id="4" name="图片 4" descr="典型交易交互流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典型交易交互流程"/>
                    <pic:cNvPicPr>
                      <a:picLocks noChangeAspect="1"/>
                    </pic:cNvPicPr>
                  </pic:nvPicPr>
                  <pic:blipFill>
                    <a:blip r:embed="rId20"/>
                    <a:stretch>
                      <a:fillRect/>
                    </a:stretch>
                  </pic:blipFill>
                  <pic:spPr>
                    <a:xfrm>
                      <a:off x="0" y="0"/>
                      <a:ext cx="5272405" cy="4217670"/>
                    </a:xfrm>
                    <a:prstGeom prst="rect">
                      <a:avLst/>
                    </a:prstGeom>
                  </pic:spPr>
                </pic:pic>
              </a:graphicData>
            </a:graphic>
          </wp:inline>
        </w:drawing>
      </w:r>
    </w:p>
    <w:p w14:paraId="19FB514B">
      <w:pPr>
        <w:pStyle w:val="14"/>
        <w:rPr>
          <w:rFonts w:hint="eastAsia" w:cs="宋体"/>
          <w:b w:val="0"/>
          <w:color w:val="000000"/>
          <w:sz w:val="24"/>
          <w:szCs w:val="24"/>
        </w:rPr>
      </w:pPr>
      <w:r>
        <w:rPr>
          <w:rFonts w:hint="eastAsia" w:ascii="Songti SC" w:hAnsi="Songti SC" w:eastAsia="Songti SC" w:cs="Songti SC"/>
          <w:color w:val="000000"/>
        </w:rPr>
        <w:t>图6</w:t>
      </w:r>
      <w:r>
        <w:rPr>
          <w:rFonts w:ascii="Songti SC" w:hAnsi="Songti SC" w:eastAsia="Songti SC" w:cs="Songti SC"/>
          <w:color w:val="000000"/>
        </w:rPr>
        <w:t>.</w:t>
      </w:r>
      <w:r>
        <w:rPr>
          <w:rFonts w:hint="eastAsia" w:ascii="Songti SC" w:hAnsi="Songti SC" w:eastAsia="Songti SC" w:cs="Songti SC"/>
          <w:color w:val="000000"/>
        </w:rPr>
        <w:t>3典型交易交互流程图</w:t>
      </w:r>
    </w:p>
    <w:p w14:paraId="596A703B">
      <w:pPr>
        <w:pStyle w:val="5"/>
        <w:rPr>
          <w:rFonts w:hint="eastAsia"/>
          <w:color w:val="000000"/>
        </w:rPr>
      </w:pPr>
      <w:r>
        <w:rPr>
          <w:rFonts w:ascii="Songti SC" w:hAnsi="Songti SC" w:eastAsia="Songti SC" w:cs="Songti SC"/>
          <w:color w:val="000000"/>
        </w:rPr>
        <w:t>架构优势与特点</w:t>
      </w:r>
    </w:p>
    <w:p w14:paraId="63606AF0">
      <w:pPr>
        <w:ind w:firstLine="480"/>
        <w:rPr>
          <w:rFonts w:hint="eastAsia"/>
          <w:color w:val="000000"/>
        </w:rPr>
      </w:pPr>
      <w:r>
        <w:rPr>
          <w:rFonts w:ascii="Songti SC" w:hAnsi="Songti SC" w:eastAsia="Songti SC" w:cs="Songti SC"/>
          <w:color w:val="000000"/>
        </w:rPr>
        <w:t>便于切换：环境参数、接口地址、文件路径和任务配置集中管理，上线切换更可控。</w:t>
      </w:r>
    </w:p>
    <w:p w14:paraId="04F35B6C">
      <w:pPr>
        <w:ind w:firstLine="480"/>
        <w:rPr>
          <w:rFonts w:hint="eastAsia"/>
          <w:color w:val="000000"/>
        </w:rPr>
      </w:pPr>
      <w:r>
        <w:rPr>
          <w:rFonts w:ascii="Songti SC" w:hAnsi="Songti SC" w:eastAsia="Songti SC" w:cs="Songti SC"/>
          <w:color w:val="000000"/>
        </w:rPr>
        <w:t>便于追溯：充值、消费、补传、同步和接口调用都有明确流水和日志。</w:t>
      </w:r>
    </w:p>
    <w:p w14:paraId="0706F6BC">
      <w:pPr>
        <w:ind w:firstLine="480"/>
        <w:rPr>
          <w:rFonts w:hint="eastAsia"/>
          <w:color w:val="000000"/>
        </w:rPr>
      </w:pPr>
      <w:r>
        <w:rPr>
          <w:rFonts w:ascii="Songti SC" w:hAnsi="Songti SC" w:eastAsia="Songti SC" w:cs="Songti SC"/>
          <w:color w:val="000000"/>
        </w:rPr>
        <w:t>便于扩展：人员、账户、消费机、报表等服务域边界清晰，后续调整不影响整体稳定。</w:t>
      </w:r>
    </w:p>
    <w:p w14:paraId="31343C20">
      <w:pPr>
        <w:ind w:firstLine="480"/>
        <w:rPr>
          <w:rFonts w:hint="eastAsia"/>
          <w:color w:val="000000"/>
        </w:rPr>
      </w:pPr>
      <w:r>
        <w:rPr>
          <w:rFonts w:ascii="Songti SC" w:hAnsi="Songti SC" w:eastAsia="Songti SC" w:cs="Songti SC"/>
          <w:color w:val="000000"/>
        </w:rPr>
        <w:t>便于运维：异常可以按人员、订单、设备、接口、任务等维度快速定位。</w:t>
      </w:r>
    </w:p>
    <w:p w14:paraId="3BF36973">
      <w:pPr>
        <w:pStyle w:val="4"/>
        <w:rPr>
          <w:rFonts w:hint="eastAsia"/>
          <w:color w:val="000000"/>
        </w:rPr>
      </w:pPr>
      <w:bookmarkStart w:id="366" w:name="_Toc1280928597"/>
      <w:bookmarkStart w:id="367" w:name="_Toc677557732"/>
      <w:bookmarkStart w:id="368" w:name="_Toc1225293822"/>
      <w:r>
        <w:rPr>
          <w:rFonts w:ascii="Songti SC" w:hAnsi="Songti SC" w:eastAsia="Songti SC" w:cs="Songti SC"/>
          <w:color w:val="000000"/>
        </w:rPr>
        <w:t>操作系统适配</w:t>
      </w:r>
      <w:bookmarkEnd w:id="366"/>
      <w:bookmarkEnd w:id="367"/>
      <w:bookmarkEnd w:id="368"/>
    </w:p>
    <w:p w14:paraId="042121BF">
      <w:pPr>
        <w:pStyle w:val="5"/>
        <w:rPr>
          <w:rFonts w:hint="eastAsia"/>
          <w:color w:val="000000"/>
        </w:rPr>
      </w:pPr>
      <w:r>
        <w:rPr>
          <w:rFonts w:ascii="Songti SC" w:hAnsi="Songti SC" w:eastAsia="Songti SC" w:cs="Songti SC"/>
          <w:color w:val="000000"/>
        </w:rPr>
        <w:t>同构操作系统脚本适配</w:t>
      </w:r>
    </w:p>
    <w:p w14:paraId="06183C03">
      <w:pPr>
        <w:ind w:firstLine="480"/>
        <w:rPr>
          <w:rFonts w:hint="eastAsia"/>
          <w:color w:val="000000"/>
        </w:rPr>
      </w:pPr>
      <w:r>
        <w:rPr>
          <w:rFonts w:ascii="Songti SC" w:hAnsi="Songti SC" w:eastAsia="Songti SC" w:cs="Songti SC"/>
          <w:color w:val="000000"/>
        </w:rPr>
        <w:t>针对与原系统架构差异较小的服务器操作系统，重点适配服务启动脚本、日志目录、文件权限、定时任务和备份脚本。</w:t>
      </w:r>
    </w:p>
    <w:p w14:paraId="6AC2E53A">
      <w:pPr>
        <w:ind w:firstLine="482"/>
        <w:rPr>
          <w:rFonts w:hint="eastAsia"/>
          <w:color w:val="000000"/>
        </w:rPr>
      </w:pPr>
      <w:r>
        <w:rPr>
          <w:rFonts w:hint="eastAsia" w:ascii="Songti SC" w:hAnsi="Songti SC" w:eastAsia="Songti SC" w:cs="Songti SC"/>
          <w:b/>
          <w:color w:val="000000"/>
        </w:rPr>
        <w:t>1.改造</w:t>
      </w:r>
      <w:r>
        <w:rPr>
          <w:rFonts w:ascii="Songti SC" w:hAnsi="Songti SC" w:eastAsia="Songti SC" w:cs="Songti SC"/>
          <w:b/>
          <w:color w:val="000000"/>
        </w:rPr>
        <w:t>内容</w:t>
      </w:r>
    </w:p>
    <w:p w14:paraId="51E0CD5E">
      <w:pPr>
        <w:ind w:firstLine="480"/>
        <w:rPr>
          <w:rFonts w:hint="eastAsia"/>
          <w:color w:val="000000"/>
        </w:rPr>
      </w:pPr>
      <w:r>
        <w:rPr>
          <w:rFonts w:ascii="Songti SC" w:hAnsi="Songti SC" w:eastAsia="Songti SC" w:cs="Songti SC"/>
          <w:color w:val="000000"/>
        </w:rPr>
        <w:t>整理应用服务启动、停止、重启、状态查看脚本。</w:t>
      </w:r>
    </w:p>
    <w:p w14:paraId="38336D2F">
      <w:pPr>
        <w:ind w:firstLine="480"/>
        <w:rPr>
          <w:rFonts w:hint="eastAsia"/>
          <w:color w:val="000000"/>
        </w:rPr>
      </w:pPr>
      <w:r>
        <w:rPr>
          <w:rFonts w:ascii="Songti SC" w:hAnsi="Songti SC" w:eastAsia="Songti SC" w:cs="Songti SC"/>
          <w:color w:val="000000"/>
        </w:rPr>
        <w:t>统一日志、上传、导出、备份、临时文件目录。</w:t>
      </w:r>
    </w:p>
    <w:p w14:paraId="27F07C57">
      <w:pPr>
        <w:ind w:firstLine="480"/>
        <w:rPr>
          <w:rFonts w:hint="eastAsia"/>
          <w:color w:val="000000"/>
        </w:rPr>
      </w:pPr>
      <w:r>
        <w:rPr>
          <w:rFonts w:ascii="Songti SC" w:hAnsi="Songti SC" w:eastAsia="Songti SC" w:cs="Songti SC"/>
          <w:color w:val="000000"/>
        </w:rPr>
        <w:t>配置定时任务的执行用户、执行时间和失败记录。</w:t>
      </w:r>
    </w:p>
    <w:p w14:paraId="4FDEEE65">
      <w:pPr>
        <w:ind w:firstLine="482"/>
        <w:rPr>
          <w:rFonts w:hint="eastAsia"/>
          <w:color w:val="000000"/>
        </w:rPr>
      </w:pPr>
      <w:r>
        <w:rPr>
          <w:rFonts w:hint="eastAsia" w:ascii="Songti SC" w:hAnsi="Songti SC" w:eastAsia="Songti SC" w:cs="Songti SC"/>
          <w:b/>
          <w:color w:val="000000"/>
        </w:rPr>
        <w:t>2.</w:t>
      </w:r>
      <w:r>
        <w:rPr>
          <w:rFonts w:ascii="Songti SC" w:hAnsi="Songti SC" w:eastAsia="Songti SC" w:cs="Songti SC"/>
          <w:b/>
          <w:color w:val="000000"/>
        </w:rPr>
        <w:t>适配做法</w:t>
      </w:r>
    </w:p>
    <w:p w14:paraId="366C7BE6">
      <w:pPr>
        <w:ind w:firstLine="480"/>
        <w:rPr>
          <w:rFonts w:hint="eastAsia"/>
          <w:color w:val="000000"/>
        </w:rPr>
      </w:pPr>
      <w:r>
        <w:rPr>
          <w:rFonts w:ascii="Songti SC" w:hAnsi="Songti SC" w:eastAsia="Songti SC" w:cs="Songti SC"/>
          <w:color w:val="000000"/>
        </w:rPr>
        <w:t>脚本不写死个人目录和临时路径，统一使用规划目录。</w:t>
      </w:r>
    </w:p>
    <w:p w14:paraId="7AD9ECE9">
      <w:pPr>
        <w:ind w:firstLine="480"/>
        <w:rPr>
          <w:rFonts w:hint="eastAsia"/>
          <w:color w:val="000000"/>
        </w:rPr>
      </w:pPr>
      <w:r>
        <w:rPr>
          <w:rFonts w:ascii="Songti SC" w:hAnsi="Songti SC" w:eastAsia="Songti SC" w:cs="Songti SC"/>
          <w:color w:val="000000"/>
        </w:rPr>
        <w:t>脚本执行结果输出到日志，便于运维人员查看。</w:t>
      </w:r>
    </w:p>
    <w:p w14:paraId="156295FE">
      <w:pPr>
        <w:pStyle w:val="5"/>
        <w:rPr>
          <w:rFonts w:hint="eastAsia"/>
          <w:color w:val="000000"/>
        </w:rPr>
      </w:pPr>
      <w:r>
        <w:rPr>
          <w:rFonts w:ascii="Songti SC" w:hAnsi="Songti SC" w:eastAsia="Songti SC" w:cs="Songti SC"/>
          <w:color w:val="000000"/>
        </w:rPr>
        <w:t>异构操作系统脚本适配</w:t>
      </w:r>
    </w:p>
    <w:p w14:paraId="0220E1C2">
      <w:pPr>
        <w:ind w:firstLine="480"/>
        <w:rPr>
          <w:rFonts w:hint="eastAsia"/>
          <w:color w:val="000000"/>
        </w:rPr>
      </w:pPr>
      <w:r>
        <w:rPr>
          <w:rFonts w:ascii="Songti SC" w:hAnsi="Songti SC" w:eastAsia="Songti SC" w:cs="Songti SC"/>
          <w:color w:val="000000"/>
        </w:rPr>
        <w:t>针对命令、服务管理方式或目录策略存在差异的服务器操作系统，补充适配脚本和部署说明。</w:t>
      </w:r>
    </w:p>
    <w:p w14:paraId="42817098">
      <w:pPr>
        <w:ind w:firstLine="482"/>
        <w:rPr>
          <w:rFonts w:hint="eastAsia"/>
          <w:color w:val="000000"/>
        </w:rPr>
      </w:pPr>
      <w:r>
        <w:rPr>
          <w:rFonts w:hint="eastAsia" w:ascii="Songti SC" w:hAnsi="Songti SC" w:eastAsia="Songti SC" w:cs="Songti SC"/>
          <w:b/>
          <w:color w:val="000000"/>
        </w:rPr>
        <w:t>1.改造</w:t>
      </w:r>
      <w:r>
        <w:rPr>
          <w:rFonts w:ascii="Songti SC" w:hAnsi="Songti SC" w:eastAsia="Songti SC" w:cs="Songti SC"/>
          <w:b/>
          <w:color w:val="000000"/>
        </w:rPr>
        <w:t>内容</w:t>
      </w:r>
    </w:p>
    <w:p w14:paraId="7AC95BFF">
      <w:pPr>
        <w:ind w:firstLine="480"/>
        <w:rPr>
          <w:rFonts w:hint="eastAsia"/>
          <w:color w:val="000000"/>
        </w:rPr>
      </w:pPr>
      <w:r>
        <w:rPr>
          <w:rFonts w:ascii="Songti SC" w:hAnsi="Songti SC" w:eastAsia="Songti SC" w:cs="Songti SC"/>
          <w:color w:val="000000"/>
        </w:rPr>
        <w:t>适配服务管理命令、系统防火墙、时间同步、证书目录和字体环境。</w:t>
      </w:r>
    </w:p>
    <w:p w14:paraId="19DB423F">
      <w:pPr>
        <w:ind w:firstLine="480"/>
        <w:rPr>
          <w:rFonts w:hint="eastAsia"/>
          <w:color w:val="000000"/>
        </w:rPr>
      </w:pPr>
      <w:r>
        <w:rPr>
          <w:rFonts w:ascii="Songti SC" w:hAnsi="Songti SC" w:eastAsia="Songti SC" w:cs="Songti SC"/>
          <w:color w:val="000000"/>
        </w:rPr>
        <w:t>适配文件编码、中文文件名、压缩解压和报表导出字体。</w:t>
      </w:r>
    </w:p>
    <w:p w14:paraId="0B892110">
      <w:pPr>
        <w:ind w:firstLine="480"/>
        <w:rPr>
          <w:rFonts w:hint="eastAsia"/>
          <w:color w:val="000000"/>
        </w:rPr>
      </w:pPr>
      <w:r>
        <w:rPr>
          <w:rFonts w:ascii="Songti SC" w:hAnsi="Songti SC" w:eastAsia="Songti SC" w:cs="Songti SC"/>
          <w:color w:val="000000"/>
        </w:rPr>
        <w:t>适配系统资源限制和进程守护方式。</w:t>
      </w:r>
    </w:p>
    <w:p w14:paraId="26C622CE">
      <w:pPr>
        <w:ind w:firstLine="482"/>
        <w:rPr>
          <w:rFonts w:hint="eastAsia"/>
          <w:color w:val="000000"/>
        </w:rPr>
      </w:pPr>
      <w:r>
        <w:rPr>
          <w:rFonts w:hint="eastAsia" w:ascii="Songti SC" w:hAnsi="Songti SC" w:eastAsia="Songti SC" w:cs="Songti SC"/>
          <w:b/>
          <w:color w:val="000000"/>
        </w:rPr>
        <w:t>2.</w:t>
      </w:r>
      <w:r>
        <w:rPr>
          <w:rFonts w:ascii="Songti SC" w:hAnsi="Songti SC" w:eastAsia="Songti SC" w:cs="Songti SC"/>
          <w:b/>
          <w:color w:val="000000"/>
        </w:rPr>
        <w:t>适配做法</w:t>
      </w:r>
    </w:p>
    <w:p w14:paraId="1A31F0F6">
      <w:pPr>
        <w:ind w:firstLine="480"/>
        <w:rPr>
          <w:rFonts w:hint="eastAsia"/>
          <w:color w:val="000000"/>
        </w:rPr>
      </w:pPr>
      <w:r>
        <w:rPr>
          <w:rFonts w:ascii="Songti SC" w:hAnsi="Songti SC" w:eastAsia="Songti SC" w:cs="Songti SC"/>
          <w:color w:val="000000"/>
        </w:rPr>
        <w:t>优先采用操作系统通用能力，减少依赖非标准工具。</w:t>
      </w:r>
    </w:p>
    <w:p w14:paraId="08F5C2B8">
      <w:pPr>
        <w:ind w:firstLine="480"/>
        <w:rPr>
          <w:rFonts w:hint="eastAsia"/>
          <w:color w:val="000000"/>
        </w:rPr>
      </w:pPr>
      <w:r>
        <w:rPr>
          <w:rFonts w:ascii="Songti SC" w:hAnsi="Songti SC" w:eastAsia="Songti SC" w:cs="Songti SC"/>
          <w:color w:val="000000"/>
        </w:rPr>
        <w:t>关键脚本保留可读注释，便于后续运维接手。</w:t>
      </w:r>
    </w:p>
    <w:p w14:paraId="573BCCE8">
      <w:pPr>
        <w:pStyle w:val="5"/>
        <w:rPr>
          <w:rFonts w:hint="eastAsia"/>
          <w:color w:val="000000"/>
        </w:rPr>
      </w:pPr>
      <w:r>
        <w:rPr>
          <w:rFonts w:ascii="Songti SC" w:hAnsi="Songti SC" w:eastAsia="Songti SC" w:cs="Songti SC"/>
          <w:color w:val="000000"/>
        </w:rPr>
        <w:t>系统功能代码适配改造</w:t>
      </w:r>
    </w:p>
    <w:p w14:paraId="2C30C5BC">
      <w:pPr>
        <w:ind w:firstLine="480"/>
        <w:rPr>
          <w:rFonts w:hint="eastAsia"/>
          <w:color w:val="000000"/>
        </w:rPr>
      </w:pPr>
      <w:r>
        <w:rPr>
          <w:rFonts w:ascii="Songti SC" w:hAnsi="Songti SC" w:eastAsia="Songti SC" w:cs="Songti SC"/>
          <w:color w:val="000000"/>
        </w:rPr>
        <w:t>系统功能代码适配主要处理路径、编码、文件、时间、权限和系统调用差异。</w:t>
      </w:r>
    </w:p>
    <w:p w14:paraId="661E94E3">
      <w:pPr>
        <w:ind w:firstLine="482"/>
        <w:rPr>
          <w:rFonts w:hint="eastAsia"/>
          <w:color w:val="000000"/>
        </w:rPr>
      </w:pPr>
      <w:r>
        <w:rPr>
          <w:rFonts w:hint="eastAsia" w:ascii="Songti SC" w:hAnsi="Songti SC" w:eastAsia="Songti SC" w:cs="Songti SC"/>
          <w:b/>
          <w:color w:val="000000"/>
        </w:rPr>
        <w:t>1.改造</w:t>
      </w:r>
      <w:r>
        <w:rPr>
          <w:rFonts w:ascii="Songti SC" w:hAnsi="Songti SC" w:eastAsia="Songti SC" w:cs="Songti SC"/>
          <w:b/>
          <w:color w:val="000000"/>
        </w:rPr>
        <w:t>内容</w:t>
      </w:r>
    </w:p>
    <w:p w14:paraId="3E42AF44">
      <w:pPr>
        <w:ind w:firstLine="480"/>
        <w:rPr>
          <w:rFonts w:hint="eastAsia"/>
          <w:color w:val="000000"/>
        </w:rPr>
      </w:pPr>
      <w:r>
        <w:rPr>
          <w:rFonts w:ascii="Songti SC" w:hAnsi="Songti SC" w:eastAsia="Songti SC" w:cs="Songti SC"/>
          <w:color w:val="000000"/>
        </w:rPr>
        <w:t>改造上传下载路径、报表生成路径、照片存储路径和临时文件路径。</w:t>
      </w:r>
    </w:p>
    <w:p w14:paraId="1F4AA5A3">
      <w:pPr>
        <w:ind w:firstLine="480"/>
        <w:rPr>
          <w:rFonts w:hint="eastAsia"/>
          <w:color w:val="000000"/>
        </w:rPr>
      </w:pPr>
      <w:r>
        <w:rPr>
          <w:rFonts w:ascii="Songti SC" w:hAnsi="Songti SC" w:eastAsia="Songti SC" w:cs="Songti SC"/>
          <w:color w:val="000000"/>
        </w:rPr>
        <w:t>处理中文文件名、日期格式、金额格式、字符编码和时区问题。</w:t>
      </w:r>
    </w:p>
    <w:p w14:paraId="0DC12134">
      <w:pPr>
        <w:ind w:firstLine="480"/>
        <w:rPr>
          <w:rFonts w:hint="eastAsia"/>
          <w:color w:val="000000"/>
        </w:rPr>
      </w:pPr>
      <w:r>
        <w:rPr>
          <w:rFonts w:ascii="Songti SC" w:hAnsi="Songti SC" w:eastAsia="Songti SC" w:cs="Songti SC"/>
          <w:color w:val="000000"/>
        </w:rPr>
        <w:t>保证导入导出、报表生成、人脸文件访问和日志写入正常。</w:t>
      </w:r>
    </w:p>
    <w:p w14:paraId="45238A34">
      <w:pPr>
        <w:ind w:firstLine="482"/>
        <w:rPr>
          <w:rFonts w:hint="eastAsia"/>
          <w:color w:val="000000"/>
        </w:rPr>
      </w:pPr>
      <w:r>
        <w:rPr>
          <w:rFonts w:hint="eastAsia" w:ascii="Songti SC" w:hAnsi="Songti SC" w:eastAsia="Songti SC" w:cs="Songti SC"/>
          <w:b/>
          <w:color w:val="000000"/>
        </w:rPr>
        <w:t>2.</w:t>
      </w:r>
      <w:r>
        <w:rPr>
          <w:rFonts w:ascii="Songti SC" w:hAnsi="Songti SC" w:eastAsia="Songti SC" w:cs="Songti SC"/>
          <w:b/>
          <w:color w:val="000000"/>
        </w:rPr>
        <w:t>适配做法</w:t>
      </w:r>
    </w:p>
    <w:p w14:paraId="7F79BD36">
      <w:pPr>
        <w:ind w:firstLine="480"/>
        <w:rPr>
          <w:rFonts w:hint="eastAsia"/>
          <w:color w:val="000000"/>
        </w:rPr>
      </w:pPr>
      <w:r>
        <w:rPr>
          <w:rFonts w:ascii="Songti SC" w:hAnsi="Songti SC" w:eastAsia="Songti SC" w:cs="Songti SC"/>
          <w:color w:val="000000"/>
        </w:rPr>
        <w:t>不在代码中固定服务器路径，改为配置参数。</w:t>
      </w:r>
    </w:p>
    <w:p w14:paraId="7C5CB607">
      <w:pPr>
        <w:ind w:firstLine="480"/>
        <w:rPr>
          <w:rFonts w:hint="eastAsia"/>
          <w:color w:val="000000"/>
        </w:rPr>
      </w:pPr>
      <w:r>
        <w:rPr>
          <w:rFonts w:ascii="Songti SC" w:hAnsi="Songti SC" w:eastAsia="Songti SC" w:cs="Songti SC"/>
          <w:color w:val="000000"/>
        </w:rPr>
        <w:t>文件操作失败时返回清晰错误信息并写入日志。</w:t>
      </w:r>
    </w:p>
    <w:p w14:paraId="0BC01CAA">
      <w:pPr>
        <w:pStyle w:val="5"/>
        <w:rPr>
          <w:rFonts w:hint="eastAsia"/>
          <w:color w:val="000000"/>
        </w:rPr>
      </w:pPr>
      <w:r>
        <w:rPr>
          <w:rFonts w:ascii="Songti SC" w:hAnsi="Songti SC" w:eastAsia="Songti SC" w:cs="Songti SC"/>
          <w:color w:val="000000"/>
        </w:rPr>
        <w:t>外部接口对接适配调整</w:t>
      </w:r>
    </w:p>
    <w:p w14:paraId="64184B72">
      <w:pPr>
        <w:ind w:firstLine="480"/>
        <w:rPr>
          <w:rFonts w:hint="eastAsia"/>
          <w:color w:val="000000"/>
        </w:rPr>
      </w:pPr>
      <w:r>
        <w:rPr>
          <w:rFonts w:ascii="Songti SC" w:hAnsi="Songti SC" w:eastAsia="Songti SC" w:cs="Songti SC"/>
          <w:color w:val="000000"/>
        </w:rPr>
        <w:t>操作系统变化后，接口访问涉及证书、网络策略、DNS、时间同步和安全组件，需要统一适配。</w:t>
      </w:r>
    </w:p>
    <w:p w14:paraId="13133C45">
      <w:pPr>
        <w:ind w:firstLine="482"/>
        <w:rPr>
          <w:rFonts w:hint="eastAsia"/>
          <w:color w:val="000000"/>
        </w:rPr>
      </w:pPr>
      <w:r>
        <w:rPr>
          <w:rFonts w:hint="eastAsia" w:ascii="Songti SC" w:hAnsi="Songti SC" w:eastAsia="Songti SC" w:cs="Songti SC"/>
          <w:b/>
          <w:color w:val="000000"/>
        </w:rPr>
        <w:t>1.改造</w:t>
      </w:r>
      <w:r>
        <w:rPr>
          <w:rFonts w:ascii="Songti SC" w:hAnsi="Songti SC" w:eastAsia="Songti SC" w:cs="Songti SC"/>
          <w:b/>
          <w:color w:val="000000"/>
        </w:rPr>
        <w:t>内容</w:t>
      </w:r>
    </w:p>
    <w:p w14:paraId="63FBCD19">
      <w:pPr>
        <w:ind w:firstLine="480"/>
        <w:rPr>
          <w:rFonts w:hint="eastAsia"/>
          <w:color w:val="000000"/>
        </w:rPr>
      </w:pPr>
      <w:r>
        <w:rPr>
          <w:rFonts w:ascii="Songti SC" w:hAnsi="Songti SC" w:eastAsia="Songti SC" w:cs="Songti SC"/>
          <w:color w:val="000000"/>
        </w:rPr>
        <w:t>核对工商银行、</w:t>
      </w:r>
      <w:r>
        <w:rPr>
          <w:rFonts w:hint="eastAsia" w:ascii="Songti SC" w:hAnsi="Songti SC" w:eastAsia="Songti SC" w:cs="Songti SC"/>
          <w:color w:val="000000"/>
          <w:lang w:eastAsia="zh-CN"/>
        </w:rPr>
        <w:t>大数据交互平台</w:t>
      </w:r>
      <w:r>
        <w:rPr>
          <w:rFonts w:ascii="Songti SC" w:hAnsi="Songti SC" w:eastAsia="Songti SC" w:cs="Songti SC"/>
          <w:color w:val="000000"/>
        </w:rPr>
        <w:t>、前置库、消费机访问的网络连通。</w:t>
      </w:r>
    </w:p>
    <w:p w14:paraId="4DF83476">
      <w:pPr>
        <w:ind w:firstLine="480"/>
        <w:rPr>
          <w:rFonts w:hint="eastAsia"/>
          <w:color w:val="000000"/>
        </w:rPr>
      </w:pPr>
      <w:r>
        <w:rPr>
          <w:rFonts w:ascii="Songti SC" w:hAnsi="Songti SC" w:eastAsia="Songti SC" w:cs="Songti SC"/>
          <w:color w:val="000000"/>
        </w:rPr>
        <w:t>配置接口证书、超时、重试、请求大小和日志路径。</w:t>
      </w:r>
    </w:p>
    <w:p w14:paraId="460180C9">
      <w:pPr>
        <w:ind w:firstLine="480"/>
        <w:rPr>
          <w:rFonts w:hint="eastAsia"/>
          <w:color w:val="000000"/>
        </w:rPr>
      </w:pPr>
      <w:r>
        <w:rPr>
          <w:rFonts w:ascii="Songti SC" w:hAnsi="Songti SC" w:eastAsia="Songti SC" w:cs="Songti SC"/>
          <w:color w:val="000000"/>
        </w:rPr>
        <w:t>验证接口请求和返回在新操作系统中正常处理。</w:t>
      </w:r>
    </w:p>
    <w:p w14:paraId="42B68AC4">
      <w:pPr>
        <w:ind w:firstLine="482"/>
        <w:rPr>
          <w:rFonts w:hint="eastAsia"/>
          <w:color w:val="000000"/>
        </w:rPr>
      </w:pPr>
      <w:r>
        <w:rPr>
          <w:rFonts w:hint="eastAsia" w:ascii="Songti SC" w:hAnsi="Songti SC" w:eastAsia="Songti SC" w:cs="Songti SC"/>
          <w:b/>
          <w:color w:val="000000"/>
        </w:rPr>
        <w:t>2.</w:t>
      </w:r>
      <w:r>
        <w:rPr>
          <w:rFonts w:ascii="Songti SC" w:hAnsi="Songti SC" w:eastAsia="Songti SC" w:cs="Songti SC"/>
          <w:b/>
          <w:color w:val="000000"/>
        </w:rPr>
        <w:t>适配做法</w:t>
      </w:r>
    </w:p>
    <w:p w14:paraId="6FF662AF">
      <w:pPr>
        <w:ind w:firstLine="480"/>
        <w:rPr>
          <w:rFonts w:hint="eastAsia"/>
          <w:color w:val="000000"/>
        </w:rPr>
      </w:pPr>
      <w:r>
        <w:rPr>
          <w:rFonts w:ascii="Songti SC" w:hAnsi="Songti SC" w:eastAsia="Songti SC" w:cs="Songti SC"/>
          <w:color w:val="000000"/>
        </w:rPr>
        <w:t>接口时间戳依赖服务器时间，必须统一时间同步。</w:t>
      </w:r>
    </w:p>
    <w:p w14:paraId="5A34B97A">
      <w:pPr>
        <w:ind w:firstLine="480"/>
        <w:rPr>
          <w:rFonts w:hint="eastAsia"/>
          <w:color w:val="000000"/>
        </w:rPr>
      </w:pPr>
      <w:r>
        <w:rPr>
          <w:rFonts w:ascii="Songti SC" w:hAnsi="Songti SC" w:eastAsia="Songti SC" w:cs="Songti SC"/>
          <w:color w:val="000000"/>
        </w:rPr>
        <w:t>接口证书到期、权限不足或网络策略拦截要能从日志中快速识别。</w:t>
      </w:r>
    </w:p>
    <w:p w14:paraId="33BC585C">
      <w:pPr>
        <w:pStyle w:val="5"/>
        <w:rPr>
          <w:rFonts w:hint="eastAsia"/>
          <w:color w:val="000000"/>
        </w:rPr>
      </w:pPr>
      <w:r>
        <w:rPr>
          <w:rFonts w:ascii="Songti SC" w:hAnsi="Songti SC" w:eastAsia="Songti SC" w:cs="Songti SC"/>
          <w:color w:val="000000"/>
        </w:rPr>
        <w:t>多浏览器适配兼容</w:t>
      </w:r>
    </w:p>
    <w:p w14:paraId="5B968F7F">
      <w:pPr>
        <w:ind w:firstLine="480"/>
        <w:rPr>
          <w:rFonts w:hint="eastAsia"/>
          <w:color w:val="000000"/>
        </w:rPr>
      </w:pPr>
      <w:r>
        <w:rPr>
          <w:rFonts w:ascii="Songti SC" w:hAnsi="Songti SC" w:eastAsia="Songti SC" w:cs="Songti SC"/>
          <w:color w:val="000000"/>
        </w:rPr>
        <w:t>管理端适配政务办公常用浏览器，保障日常办理和查询不受影响。</w:t>
      </w:r>
    </w:p>
    <w:p w14:paraId="3A0BDF51">
      <w:pPr>
        <w:ind w:firstLine="482"/>
        <w:rPr>
          <w:rFonts w:hint="eastAsia"/>
          <w:color w:val="000000"/>
        </w:rPr>
      </w:pPr>
      <w:r>
        <w:rPr>
          <w:rFonts w:hint="eastAsia" w:ascii="Songti SC" w:hAnsi="Songti SC" w:eastAsia="Songti SC" w:cs="Songti SC"/>
          <w:b/>
          <w:color w:val="000000"/>
        </w:rPr>
        <w:t>1.改造</w:t>
      </w:r>
      <w:r>
        <w:rPr>
          <w:rFonts w:ascii="Songti SC" w:hAnsi="Songti SC" w:eastAsia="Songti SC" w:cs="Songti SC"/>
          <w:b/>
          <w:color w:val="000000"/>
        </w:rPr>
        <w:t>内容</w:t>
      </w:r>
    </w:p>
    <w:p w14:paraId="7482FAA4">
      <w:pPr>
        <w:ind w:firstLine="480"/>
        <w:rPr>
          <w:rFonts w:hint="eastAsia"/>
          <w:color w:val="000000"/>
        </w:rPr>
      </w:pPr>
      <w:r>
        <w:rPr>
          <w:rFonts w:ascii="Songti SC" w:hAnsi="Songti SC" w:eastAsia="Songti SC" w:cs="Songti SC"/>
          <w:color w:val="000000"/>
        </w:rPr>
        <w:t>验证登录、菜单、查询、表单、弹窗、分页、导入、导出、打印和报表页面。</w:t>
      </w:r>
    </w:p>
    <w:p w14:paraId="5FD66C13">
      <w:pPr>
        <w:ind w:firstLine="480"/>
        <w:rPr>
          <w:rFonts w:hint="eastAsia"/>
          <w:color w:val="000000"/>
        </w:rPr>
      </w:pPr>
      <w:r>
        <w:rPr>
          <w:rFonts w:ascii="Songti SC" w:hAnsi="Songti SC" w:eastAsia="Songti SC" w:cs="Songti SC"/>
          <w:color w:val="000000"/>
        </w:rPr>
        <w:t>处理浏览器兼容导致的样式错位、按钮不可点、文件上传失败等问题。</w:t>
      </w:r>
    </w:p>
    <w:p w14:paraId="3FFCF08A">
      <w:pPr>
        <w:ind w:firstLine="480"/>
        <w:rPr>
          <w:rFonts w:hint="eastAsia"/>
          <w:color w:val="000000"/>
        </w:rPr>
      </w:pPr>
      <w:r>
        <w:rPr>
          <w:rFonts w:ascii="Songti SC" w:hAnsi="Songti SC" w:eastAsia="Songti SC" w:cs="Songti SC"/>
          <w:color w:val="000000"/>
        </w:rPr>
        <w:t>保证不同分辨率下关键按钮和查询条件可见可用。</w:t>
      </w:r>
    </w:p>
    <w:p w14:paraId="65A4BD97">
      <w:pPr>
        <w:ind w:firstLine="482"/>
        <w:rPr>
          <w:rFonts w:hint="eastAsia"/>
          <w:color w:val="000000"/>
        </w:rPr>
      </w:pPr>
      <w:r>
        <w:rPr>
          <w:rFonts w:hint="eastAsia" w:ascii="Songti SC" w:hAnsi="Songti SC" w:eastAsia="Songti SC" w:cs="Songti SC"/>
          <w:b/>
          <w:color w:val="000000"/>
        </w:rPr>
        <w:t>2.</w:t>
      </w:r>
      <w:r>
        <w:rPr>
          <w:rFonts w:ascii="Songti SC" w:hAnsi="Songti SC" w:eastAsia="Songti SC" w:cs="Songti SC"/>
          <w:b/>
          <w:color w:val="000000"/>
        </w:rPr>
        <w:t>适配做法</w:t>
      </w:r>
    </w:p>
    <w:p w14:paraId="7C0A336D">
      <w:pPr>
        <w:ind w:firstLine="480"/>
        <w:rPr>
          <w:rFonts w:hint="eastAsia"/>
          <w:color w:val="000000"/>
        </w:rPr>
      </w:pPr>
      <w:r>
        <w:rPr>
          <w:rFonts w:ascii="Songti SC" w:hAnsi="Songti SC" w:eastAsia="Songti SC" w:cs="Songti SC"/>
          <w:color w:val="000000"/>
        </w:rPr>
        <w:t>不依赖单一浏览器插件完成核心业务。</w:t>
      </w:r>
    </w:p>
    <w:p w14:paraId="2E63DA2E">
      <w:pPr>
        <w:ind w:firstLine="480"/>
        <w:rPr>
          <w:rFonts w:hint="eastAsia"/>
          <w:color w:val="000000"/>
        </w:rPr>
      </w:pPr>
      <w:r>
        <w:rPr>
          <w:rFonts w:ascii="Songti SC" w:hAnsi="Songti SC" w:eastAsia="Songti SC" w:cs="Songti SC"/>
          <w:color w:val="000000"/>
        </w:rPr>
        <w:t>导出文件名、中文表头和下载行为在主流浏览器中保持一致。</w:t>
      </w:r>
    </w:p>
    <w:p w14:paraId="47B5DAAC">
      <w:pPr>
        <w:pStyle w:val="5"/>
        <w:rPr>
          <w:rFonts w:hint="eastAsia"/>
          <w:color w:val="000000"/>
        </w:rPr>
      </w:pPr>
      <w:r>
        <w:rPr>
          <w:rFonts w:ascii="Songti SC" w:hAnsi="Songti SC" w:eastAsia="Songti SC" w:cs="Songti SC"/>
          <w:color w:val="000000"/>
        </w:rPr>
        <w:t>适配测试</w:t>
      </w:r>
    </w:p>
    <w:p w14:paraId="2692C8A9">
      <w:pPr>
        <w:ind w:firstLine="480"/>
        <w:rPr>
          <w:rFonts w:hint="eastAsia"/>
          <w:color w:val="000000"/>
        </w:rPr>
      </w:pPr>
      <w:r>
        <w:rPr>
          <w:rFonts w:ascii="Songti SC" w:hAnsi="Songti SC" w:eastAsia="Songti SC" w:cs="Songti SC"/>
          <w:color w:val="000000"/>
        </w:rPr>
        <w:t>操作系统适配测试以业务可用为主，覆盖服务部署、访问、文件、任务、接口和消费机联通。</w:t>
      </w:r>
    </w:p>
    <w:p w14:paraId="6828BC81">
      <w:pPr>
        <w:ind w:firstLine="482"/>
        <w:rPr>
          <w:rFonts w:hint="eastAsia"/>
          <w:color w:val="000000"/>
        </w:rPr>
      </w:pPr>
      <w:r>
        <w:rPr>
          <w:rFonts w:hint="eastAsia" w:ascii="Songti SC" w:hAnsi="Songti SC" w:eastAsia="Songti SC" w:cs="Songti SC"/>
          <w:b/>
          <w:color w:val="000000"/>
        </w:rPr>
        <w:t>1.改造</w:t>
      </w:r>
      <w:r>
        <w:rPr>
          <w:rFonts w:ascii="Songti SC" w:hAnsi="Songti SC" w:eastAsia="Songti SC" w:cs="Songti SC"/>
          <w:b/>
          <w:color w:val="000000"/>
        </w:rPr>
        <w:t>内容</w:t>
      </w:r>
    </w:p>
    <w:p w14:paraId="7DD49B25">
      <w:pPr>
        <w:ind w:firstLine="480"/>
        <w:rPr>
          <w:rFonts w:hint="eastAsia"/>
          <w:color w:val="000000"/>
        </w:rPr>
      </w:pPr>
      <w:r>
        <w:rPr>
          <w:rFonts w:ascii="Songti SC" w:hAnsi="Songti SC" w:eastAsia="Songti SC" w:cs="Songti SC"/>
          <w:color w:val="000000"/>
        </w:rPr>
        <w:t>完成应用启动停止、日志写入、导入导出、图片访问、定时任务和备份恢复验证。</w:t>
      </w:r>
    </w:p>
    <w:p w14:paraId="6050C510">
      <w:pPr>
        <w:ind w:firstLine="480"/>
        <w:rPr>
          <w:rFonts w:hint="eastAsia"/>
          <w:color w:val="000000"/>
        </w:rPr>
      </w:pPr>
      <w:r>
        <w:rPr>
          <w:rFonts w:ascii="Songti SC" w:hAnsi="Songti SC" w:eastAsia="Songti SC" w:cs="Songti SC"/>
          <w:color w:val="000000"/>
        </w:rPr>
        <w:t>完成 PC 管理端、小程序端、消费机接口和外部接口访问验证。</w:t>
      </w:r>
    </w:p>
    <w:p w14:paraId="15A4E2F0">
      <w:pPr>
        <w:ind w:firstLine="480"/>
        <w:rPr>
          <w:rFonts w:hint="eastAsia"/>
          <w:color w:val="000000"/>
        </w:rPr>
      </w:pPr>
      <w:r>
        <w:rPr>
          <w:rFonts w:ascii="Songti SC" w:hAnsi="Songti SC" w:eastAsia="Songti SC" w:cs="Songti SC"/>
          <w:color w:val="000000"/>
        </w:rPr>
        <w:t>对高峰交易和大报表查询进行稳定性观察。</w:t>
      </w:r>
    </w:p>
    <w:p w14:paraId="71A2C8C8">
      <w:pPr>
        <w:ind w:firstLine="482"/>
        <w:rPr>
          <w:rFonts w:hint="eastAsia"/>
          <w:color w:val="000000"/>
        </w:rPr>
      </w:pPr>
      <w:r>
        <w:rPr>
          <w:rFonts w:hint="eastAsia" w:ascii="Songti SC" w:hAnsi="Songti SC" w:eastAsia="Songti SC" w:cs="Songti SC"/>
          <w:b/>
          <w:color w:val="000000"/>
        </w:rPr>
        <w:t>2.</w:t>
      </w:r>
      <w:r>
        <w:rPr>
          <w:rFonts w:ascii="Songti SC" w:hAnsi="Songti SC" w:eastAsia="Songti SC" w:cs="Songti SC"/>
          <w:b/>
          <w:color w:val="000000"/>
        </w:rPr>
        <w:t>适配做法</w:t>
      </w:r>
    </w:p>
    <w:p w14:paraId="0CFD9852">
      <w:pPr>
        <w:ind w:firstLine="480"/>
        <w:rPr>
          <w:rFonts w:hint="eastAsia"/>
          <w:color w:val="000000"/>
        </w:rPr>
      </w:pPr>
      <w:r>
        <w:rPr>
          <w:rFonts w:ascii="Songti SC" w:hAnsi="Songti SC" w:eastAsia="Songti SC" w:cs="Songti SC"/>
          <w:color w:val="000000"/>
        </w:rPr>
        <w:t>测试结果用于指导问题修复和上线准备，并作为问题闭环和切换决策参考。</w:t>
      </w:r>
    </w:p>
    <w:p w14:paraId="77C93869">
      <w:pPr>
        <w:ind w:firstLine="480"/>
        <w:rPr>
          <w:rFonts w:hint="eastAsia"/>
          <w:color w:val="000000"/>
        </w:rPr>
      </w:pPr>
      <w:r>
        <w:rPr>
          <w:rFonts w:ascii="Songti SC" w:hAnsi="Songti SC" w:eastAsia="Songti SC" w:cs="Songti SC"/>
          <w:color w:val="000000"/>
        </w:rPr>
        <w:t>所有问题按功能域、严重程度和处理状态进行闭环。</w:t>
      </w:r>
    </w:p>
    <w:p w14:paraId="7D85FDF1">
      <w:pPr>
        <w:pStyle w:val="4"/>
        <w:rPr>
          <w:rFonts w:hint="eastAsia"/>
          <w:color w:val="000000"/>
        </w:rPr>
      </w:pPr>
      <w:bookmarkStart w:id="369" w:name="_Toc43368604"/>
      <w:r>
        <w:rPr>
          <w:rFonts w:ascii="Songti SC" w:hAnsi="Songti SC" w:eastAsia="Songti SC" w:cs="Songti SC"/>
          <w:color w:val="000000"/>
        </w:rPr>
        <w:t>数据库适配</w:t>
      </w:r>
      <w:bookmarkEnd w:id="369"/>
    </w:p>
    <w:p w14:paraId="186BF2AD">
      <w:pPr>
        <w:pStyle w:val="5"/>
        <w:rPr>
          <w:rFonts w:hint="eastAsia"/>
          <w:color w:val="000000"/>
        </w:rPr>
      </w:pPr>
      <w:r>
        <w:rPr>
          <w:rFonts w:ascii="Songti SC" w:hAnsi="Songti SC" w:eastAsia="Songti SC" w:cs="Songti SC"/>
          <w:color w:val="000000"/>
        </w:rPr>
        <w:t>数据库迁建</w:t>
      </w:r>
    </w:p>
    <w:p w14:paraId="00498E86">
      <w:pPr>
        <w:ind w:firstLine="480"/>
        <w:rPr>
          <w:rFonts w:hint="eastAsia"/>
          <w:color w:val="000000"/>
        </w:rPr>
      </w:pPr>
      <w:r>
        <w:rPr>
          <w:rFonts w:ascii="Songti SC" w:hAnsi="Songti SC" w:eastAsia="Songti SC" w:cs="Songti SC"/>
          <w:color w:val="000000"/>
        </w:rPr>
        <w:t>数据库迁移与目标产品适配是本项目的重要工作之一。原系统历史人员、账户、充值、消费、订单、补贴、退款、消费机和报表数据由SQL Server 2014迁移至GBase 8s V8.8；同时完成成熟PHP产品数据访问层对GBase的兼容适配。两项工作分别验证，统一通过记录数、金额、余额、流水和关联关系核对确认结果。</w:t>
      </w:r>
    </w:p>
    <w:p w14:paraId="20ED5C96">
      <w:pPr>
        <w:ind w:firstLine="482"/>
        <w:rPr>
          <w:rFonts w:hint="eastAsia"/>
          <w:color w:val="000000"/>
        </w:rPr>
      </w:pPr>
      <w:r>
        <w:rPr>
          <w:rFonts w:hint="eastAsia" w:ascii="Songti SC" w:hAnsi="Songti SC" w:eastAsia="Songti SC" w:cs="Songti SC"/>
          <w:b/>
          <w:color w:val="000000"/>
        </w:rPr>
        <w:t>1.改造</w:t>
      </w:r>
      <w:r>
        <w:rPr>
          <w:rFonts w:ascii="Songti SC" w:hAnsi="Songti SC" w:eastAsia="Songti SC" w:cs="Songti SC"/>
          <w:b/>
          <w:color w:val="000000"/>
        </w:rPr>
        <w:t>内容</w:t>
      </w:r>
    </w:p>
    <w:p w14:paraId="4D0598EC">
      <w:pPr>
        <w:ind w:firstLine="480"/>
        <w:rPr>
          <w:rFonts w:hint="eastAsia"/>
          <w:color w:val="000000"/>
        </w:rPr>
      </w:pPr>
      <w:r>
        <w:rPr>
          <w:rFonts w:ascii="Songti SC" w:hAnsi="Songti SC" w:eastAsia="Songti SC" w:cs="Songti SC"/>
          <w:color w:val="000000"/>
        </w:rPr>
        <w:t>梳理原数据库表、字段、索引、视图、存储过程、定时任务和报表查询。</w:t>
      </w:r>
    </w:p>
    <w:p w14:paraId="6AC860F6">
      <w:pPr>
        <w:ind w:firstLine="480"/>
        <w:rPr>
          <w:rFonts w:hint="eastAsia"/>
          <w:color w:val="000000"/>
        </w:rPr>
      </w:pPr>
      <w:r>
        <w:rPr>
          <w:rFonts w:ascii="Songti SC" w:hAnsi="Songti SC" w:eastAsia="Songti SC" w:cs="Songti SC"/>
          <w:color w:val="000000"/>
        </w:rPr>
        <w:t>建立数据承接映射关系，明确字段类型、默认值、主键、外键和金额精度。</w:t>
      </w:r>
    </w:p>
    <w:p w14:paraId="243CA54B">
      <w:pPr>
        <w:ind w:firstLine="480"/>
        <w:rPr>
          <w:rFonts w:hint="eastAsia"/>
          <w:color w:val="000000"/>
        </w:rPr>
      </w:pPr>
      <w:r>
        <w:rPr>
          <w:rFonts w:ascii="Songti SC" w:hAnsi="Songti SC" w:eastAsia="Songti SC" w:cs="Songti SC"/>
          <w:color w:val="000000"/>
        </w:rPr>
        <w:t>分批承接基础数据、人员账户数据、交易订单数据、设备数据和日志数据。</w:t>
      </w:r>
    </w:p>
    <w:p w14:paraId="459E05B0">
      <w:pPr>
        <w:ind w:firstLine="482"/>
        <w:rPr>
          <w:rFonts w:hint="eastAsia"/>
          <w:color w:val="000000"/>
        </w:rPr>
      </w:pPr>
      <w:r>
        <w:rPr>
          <w:rFonts w:hint="eastAsia" w:ascii="Songti SC" w:hAnsi="Songti SC" w:eastAsia="Songti SC" w:cs="Songti SC"/>
          <w:b/>
          <w:color w:val="000000"/>
        </w:rPr>
        <w:t>2.</w:t>
      </w:r>
      <w:r>
        <w:rPr>
          <w:rFonts w:ascii="Songti SC" w:hAnsi="Songti SC" w:eastAsia="Songti SC" w:cs="Songti SC"/>
          <w:b/>
          <w:color w:val="000000"/>
        </w:rPr>
        <w:t>适配做法</w:t>
      </w:r>
    </w:p>
    <w:p w14:paraId="5A4D09CD">
      <w:pPr>
        <w:ind w:firstLine="480"/>
        <w:rPr>
          <w:rFonts w:hint="eastAsia"/>
          <w:color w:val="000000"/>
        </w:rPr>
      </w:pPr>
      <w:r>
        <w:rPr>
          <w:rFonts w:ascii="Songti SC" w:hAnsi="Songti SC" w:eastAsia="Songti SC" w:cs="Songti SC"/>
          <w:color w:val="000000"/>
        </w:rPr>
        <w:t>先承接静态配置，再承接人员账户，再承接交易流水，最后承接日志和统计数据。</w:t>
      </w:r>
    </w:p>
    <w:p w14:paraId="587DE7A5">
      <w:pPr>
        <w:ind w:firstLine="480"/>
        <w:rPr>
          <w:rFonts w:hint="eastAsia"/>
          <w:color w:val="000000"/>
        </w:rPr>
      </w:pPr>
      <w:r>
        <w:rPr>
          <w:rFonts w:ascii="Songti SC" w:hAnsi="Songti SC" w:eastAsia="Songti SC" w:cs="Songti SC"/>
          <w:color w:val="000000"/>
        </w:rPr>
        <w:t>承接后按记录数、金额合计、余额合计和抽样明细进行核对。</w:t>
      </w:r>
    </w:p>
    <w:p w14:paraId="712C8D8A">
      <w:pPr>
        <w:pStyle w:val="5"/>
        <w:rPr>
          <w:rFonts w:hint="eastAsia"/>
          <w:color w:val="000000"/>
        </w:rPr>
      </w:pPr>
      <w:r>
        <w:rPr>
          <w:rFonts w:ascii="Songti SC" w:hAnsi="Songti SC" w:eastAsia="Songti SC" w:cs="Songti SC"/>
          <w:color w:val="000000"/>
        </w:rPr>
        <w:t>数据库适配改造方案</w:t>
      </w:r>
    </w:p>
    <w:p w14:paraId="553ED6DA">
      <w:pPr>
        <w:ind w:firstLine="480"/>
        <w:rPr>
          <w:rFonts w:hint="eastAsia"/>
          <w:color w:val="000000"/>
        </w:rPr>
      </w:pPr>
      <w:r>
        <w:rPr>
          <w:rFonts w:ascii="Songti SC" w:hAnsi="Songti SC" w:eastAsia="Songti SC" w:cs="Songti SC"/>
          <w:color w:val="000000"/>
        </w:rPr>
        <w:t>目标产品数据访问层适配重点解决GBase连接驱动、SQL语法、字段类型、分页查询、日期函数、空值处理、事务和索引差异；原系统历史数据迁移重点解决字段映射、数据清洗、增量同步和业务账务核对。</w:t>
      </w:r>
    </w:p>
    <w:p w14:paraId="66C53C70">
      <w:pPr>
        <w:ind w:firstLine="482"/>
        <w:rPr>
          <w:rFonts w:hint="eastAsia"/>
          <w:color w:val="000000"/>
        </w:rPr>
      </w:pPr>
      <w:r>
        <w:rPr>
          <w:rFonts w:hint="eastAsia" w:ascii="Songti SC" w:hAnsi="Songti SC" w:eastAsia="Songti SC" w:cs="Songti SC"/>
          <w:b/>
          <w:color w:val="000000"/>
        </w:rPr>
        <w:t>1.改造</w:t>
      </w:r>
      <w:r>
        <w:rPr>
          <w:rFonts w:ascii="Songti SC" w:hAnsi="Songti SC" w:eastAsia="Songti SC" w:cs="Songti SC"/>
          <w:b/>
          <w:color w:val="000000"/>
        </w:rPr>
        <w:t>内容</w:t>
      </w:r>
    </w:p>
    <w:p w14:paraId="37AC8D53">
      <w:pPr>
        <w:ind w:firstLine="480"/>
        <w:rPr>
          <w:rFonts w:hint="eastAsia"/>
          <w:color w:val="000000"/>
        </w:rPr>
      </w:pPr>
      <w:r>
        <w:rPr>
          <w:rFonts w:ascii="Songti SC" w:hAnsi="Songti SC" w:eastAsia="Songti SC" w:cs="Songti SC"/>
          <w:color w:val="000000"/>
        </w:rPr>
        <w:t>改造人员查询、账户流水、订单查询、充值对账、报表汇总等高频 SQL。</w:t>
      </w:r>
    </w:p>
    <w:p w14:paraId="71B66D8F">
      <w:pPr>
        <w:ind w:firstLine="480"/>
        <w:rPr>
          <w:rFonts w:hint="eastAsia"/>
          <w:color w:val="000000"/>
        </w:rPr>
      </w:pPr>
      <w:r>
        <w:rPr>
          <w:rFonts w:ascii="Songti SC" w:hAnsi="Songti SC" w:eastAsia="Songti SC" w:cs="Songti SC"/>
          <w:color w:val="000000"/>
        </w:rPr>
        <w:t>调整金额、日期、长文本、图片路径、JSON 或扩展字段的数据类型。</w:t>
      </w:r>
    </w:p>
    <w:p w14:paraId="7E9600EE">
      <w:pPr>
        <w:ind w:firstLine="480"/>
        <w:rPr>
          <w:rFonts w:hint="eastAsia"/>
          <w:color w:val="000000"/>
        </w:rPr>
      </w:pPr>
      <w:r>
        <w:rPr>
          <w:rFonts w:ascii="Songti SC" w:hAnsi="Songti SC" w:eastAsia="Songti SC" w:cs="Songti SC"/>
          <w:color w:val="000000"/>
        </w:rPr>
        <w:t>为人员、订单、交易、消费机、报表等高频查询建立索引。</w:t>
      </w:r>
    </w:p>
    <w:p w14:paraId="5BAE9F93">
      <w:pPr>
        <w:ind w:firstLine="482"/>
        <w:rPr>
          <w:rFonts w:hint="eastAsia"/>
          <w:color w:val="000000"/>
        </w:rPr>
      </w:pPr>
      <w:r>
        <w:rPr>
          <w:rFonts w:hint="eastAsia" w:ascii="Songti SC" w:hAnsi="Songti SC" w:eastAsia="Songti SC" w:cs="Songti SC"/>
          <w:b/>
          <w:color w:val="000000"/>
        </w:rPr>
        <w:t>2.</w:t>
      </w:r>
      <w:r>
        <w:rPr>
          <w:rFonts w:ascii="Songti SC" w:hAnsi="Songti SC" w:eastAsia="Songti SC" w:cs="Songti SC"/>
          <w:b/>
          <w:color w:val="000000"/>
        </w:rPr>
        <w:t>适配做法</w:t>
      </w:r>
    </w:p>
    <w:p w14:paraId="552CA0A5">
      <w:pPr>
        <w:ind w:firstLine="480"/>
        <w:rPr>
          <w:rFonts w:hint="eastAsia"/>
          <w:color w:val="000000"/>
        </w:rPr>
      </w:pPr>
      <w:r>
        <w:rPr>
          <w:rFonts w:ascii="Songti SC" w:hAnsi="Songti SC" w:eastAsia="Songti SC" w:cs="Songti SC"/>
          <w:color w:val="000000"/>
        </w:rPr>
        <w:t>金额字段统一精度，避免消费和充值产生尾差。</w:t>
      </w:r>
    </w:p>
    <w:p w14:paraId="2C1BB668">
      <w:pPr>
        <w:ind w:firstLine="480"/>
        <w:rPr>
          <w:rFonts w:hint="eastAsia"/>
          <w:color w:val="000000"/>
        </w:rPr>
      </w:pPr>
      <w:r>
        <w:rPr>
          <w:rFonts w:ascii="Songti SC" w:hAnsi="Songti SC" w:eastAsia="Songti SC" w:cs="Songti SC"/>
          <w:color w:val="000000"/>
        </w:rPr>
        <w:t>事务处理保证充值入账、消费扣款、退款扣减等账务操作一致。</w:t>
      </w:r>
    </w:p>
    <w:p w14:paraId="3E316CCD">
      <w:pPr>
        <w:pStyle w:val="5"/>
        <w:rPr>
          <w:rFonts w:hint="eastAsia"/>
          <w:color w:val="000000"/>
        </w:rPr>
      </w:pPr>
      <w:r>
        <w:rPr>
          <w:rFonts w:ascii="Songti SC" w:hAnsi="Songti SC" w:eastAsia="Songti SC" w:cs="Songti SC"/>
          <w:color w:val="000000"/>
        </w:rPr>
        <w:t>数据校验与账务核对</w:t>
      </w:r>
    </w:p>
    <w:p w14:paraId="0927D715">
      <w:pPr>
        <w:ind w:firstLine="480"/>
        <w:rPr>
          <w:rFonts w:hint="eastAsia"/>
          <w:color w:val="000000"/>
        </w:rPr>
      </w:pPr>
      <w:r>
        <w:rPr>
          <w:rFonts w:ascii="Songti SC" w:hAnsi="Songti SC" w:eastAsia="Songti SC" w:cs="Songti SC"/>
          <w:color w:val="000000"/>
        </w:rPr>
        <w:t>数据校验与账务核对用于保证</w:t>
      </w:r>
      <w:r>
        <w:rPr>
          <w:rFonts w:hint="eastAsia" w:ascii="Songti SC" w:hAnsi="Songti SC" w:eastAsia="Songti SC" w:cs="Songti SC"/>
          <w:color w:val="000000"/>
        </w:rPr>
        <w:t>数据</w:t>
      </w:r>
      <w:r>
        <w:rPr>
          <w:rFonts w:ascii="Songti SC" w:hAnsi="Songti SC" w:eastAsia="Songti SC" w:cs="Songti SC"/>
          <w:color w:val="000000"/>
        </w:rPr>
        <w:t>承接前后系统账实相符。</w:t>
      </w:r>
    </w:p>
    <w:p w14:paraId="5872F59A">
      <w:pPr>
        <w:ind w:firstLine="482"/>
        <w:rPr>
          <w:rFonts w:hint="eastAsia"/>
          <w:color w:val="000000"/>
        </w:rPr>
      </w:pPr>
      <w:r>
        <w:rPr>
          <w:rFonts w:hint="eastAsia" w:ascii="Songti SC" w:hAnsi="Songti SC" w:eastAsia="Songti SC" w:cs="Songti SC"/>
          <w:b/>
          <w:color w:val="000000"/>
        </w:rPr>
        <w:t>1.改造</w:t>
      </w:r>
      <w:r>
        <w:rPr>
          <w:rFonts w:ascii="Songti SC" w:hAnsi="Songti SC" w:eastAsia="Songti SC" w:cs="Songti SC"/>
          <w:b/>
          <w:color w:val="000000"/>
        </w:rPr>
        <w:t>内容</w:t>
      </w:r>
    </w:p>
    <w:p w14:paraId="4D44FEE5">
      <w:pPr>
        <w:ind w:firstLine="480"/>
        <w:rPr>
          <w:rFonts w:hint="eastAsia"/>
          <w:color w:val="000000"/>
        </w:rPr>
      </w:pPr>
      <w:r>
        <w:rPr>
          <w:rFonts w:ascii="Songti SC" w:hAnsi="Songti SC" w:eastAsia="Songti SC" w:cs="Songti SC"/>
          <w:color w:val="000000"/>
        </w:rPr>
        <w:t>核对人员总数、有效人员数、离职人员数、挂失卡数和人脸记录数。</w:t>
      </w:r>
    </w:p>
    <w:p w14:paraId="6AF36AE2">
      <w:pPr>
        <w:ind w:firstLine="480"/>
        <w:rPr>
          <w:rFonts w:hint="eastAsia"/>
          <w:color w:val="000000"/>
        </w:rPr>
      </w:pPr>
      <w:r>
        <w:rPr>
          <w:rFonts w:ascii="Songti SC" w:hAnsi="Songti SC" w:eastAsia="Songti SC" w:cs="Songti SC"/>
          <w:color w:val="000000"/>
        </w:rPr>
        <w:t>核对现金余额合计、补贴余额合计、充值总额、消费总额、退款总额。</w:t>
      </w:r>
    </w:p>
    <w:p w14:paraId="17585C30">
      <w:pPr>
        <w:ind w:firstLine="480"/>
        <w:rPr>
          <w:rFonts w:hint="eastAsia"/>
          <w:color w:val="000000"/>
        </w:rPr>
      </w:pPr>
      <w:r>
        <w:rPr>
          <w:rFonts w:ascii="Songti SC" w:hAnsi="Songti SC" w:eastAsia="Songti SC" w:cs="Songti SC"/>
          <w:color w:val="000000"/>
        </w:rPr>
        <w:t>抽样核对单个人员的余额、充值、消费、补贴和退款流水。</w:t>
      </w:r>
    </w:p>
    <w:p w14:paraId="33D5491F">
      <w:pPr>
        <w:ind w:firstLine="482"/>
        <w:rPr>
          <w:rFonts w:hint="eastAsia"/>
          <w:color w:val="000000"/>
        </w:rPr>
      </w:pPr>
      <w:r>
        <w:rPr>
          <w:rFonts w:hint="eastAsia" w:ascii="Songti SC" w:hAnsi="Songti SC" w:eastAsia="Songti SC" w:cs="Songti SC"/>
          <w:b/>
          <w:color w:val="000000"/>
        </w:rPr>
        <w:t>2.</w:t>
      </w:r>
      <w:r>
        <w:rPr>
          <w:rFonts w:ascii="Songti SC" w:hAnsi="Songti SC" w:eastAsia="Songti SC" w:cs="Songti SC"/>
          <w:b/>
          <w:color w:val="000000"/>
        </w:rPr>
        <w:t>适配做法</w:t>
      </w:r>
    </w:p>
    <w:p w14:paraId="18630022">
      <w:pPr>
        <w:ind w:firstLine="480"/>
        <w:rPr>
          <w:rFonts w:hint="eastAsia"/>
          <w:color w:val="000000"/>
        </w:rPr>
      </w:pPr>
      <w:r>
        <w:rPr>
          <w:rFonts w:ascii="Songti SC" w:hAnsi="Songti SC" w:eastAsia="Songti SC" w:cs="Songti SC"/>
          <w:color w:val="000000"/>
        </w:rPr>
        <w:t>余额不一致时不得直接覆盖，先定位差异来源。</w:t>
      </w:r>
    </w:p>
    <w:p w14:paraId="2908D1F9">
      <w:pPr>
        <w:ind w:firstLine="480"/>
        <w:rPr>
          <w:rFonts w:hint="eastAsia"/>
          <w:color w:val="000000"/>
        </w:rPr>
      </w:pPr>
      <w:r>
        <w:rPr>
          <w:rFonts w:ascii="Songti SC" w:hAnsi="Songti SC" w:eastAsia="Songti SC" w:cs="Songti SC"/>
          <w:color w:val="000000"/>
        </w:rPr>
        <w:t>对历史脏数据建立差异说明和处理记录，防止上线后反复争议。</w:t>
      </w:r>
    </w:p>
    <w:p w14:paraId="526C0B15">
      <w:pPr>
        <w:pStyle w:val="5"/>
        <w:rPr>
          <w:rFonts w:hint="eastAsia"/>
          <w:color w:val="000000"/>
        </w:rPr>
      </w:pPr>
      <w:r>
        <w:rPr>
          <w:rFonts w:ascii="Songti SC" w:hAnsi="Songti SC" w:eastAsia="Songti SC" w:cs="Songti SC"/>
          <w:color w:val="000000"/>
        </w:rPr>
        <w:t>报表查询性能优化</w:t>
      </w:r>
    </w:p>
    <w:p w14:paraId="15F2055D">
      <w:pPr>
        <w:ind w:firstLine="480"/>
        <w:rPr>
          <w:rFonts w:hint="eastAsia"/>
          <w:color w:val="000000"/>
        </w:rPr>
      </w:pPr>
      <w:r>
        <w:rPr>
          <w:rFonts w:ascii="Songti SC" w:hAnsi="Songti SC" w:eastAsia="Songti SC" w:cs="Songti SC"/>
          <w:color w:val="000000"/>
        </w:rPr>
        <w:t>报表查询性能优化用于保证管理端常用统计在数据库中响应稳定。</w:t>
      </w:r>
    </w:p>
    <w:p w14:paraId="00C4875F">
      <w:pPr>
        <w:ind w:firstLine="482"/>
        <w:rPr>
          <w:rFonts w:hint="eastAsia"/>
          <w:color w:val="000000"/>
        </w:rPr>
      </w:pPr>
      <w:r>
        <w:rPr>
          <w:rFonts w:hint="eastAsia" w:ascii="Songti SC" w:hAnsi="Songti SC" w:eastAsia="Songti SC" w:cs="Songti SC"/>
          <w:b/>
          <w:color w:val="000000"/>
        </w:rPr>
        <w:t>1.改造</w:t>
      </w:r>
      <w:r>
        <w:rPr>
          <w:rFonts w:ascii="Songti SC" w:hAnsi="Songti SC" w:eastAsia="Songti SC" w:cs="Songti SC"/>
          <w:b/>
          <w:color w:val="000000"/>
        </w:rPr>
        <w:t>内容</w:t>
      </w:r>
    </w:p>
    <w:p w14:paraId="0E89FF09">
      <w:pPr>
        <w:ind w:firstLine="480"/>
        <w:rPr>
          <w:rFonts w:hint="eastAsia"/>
          <w:color w:val="000000"/>
        </w:rPr>
      </w:pPr>
      <w:r>
        <w:rPr>
          <w:rFonts w:ascii="Songti SC" w:hAnsi="Songti SC" w:eastAsia="Songti SC" w:cs="Songti SC"/>
          <w:color w:val="000000"/>
        </w:rPr>
        <w:t>对大数据量报表采用分页、汇总表、异步导出和查询条件限制。</w:t>
      </w:r>
    </w:p>
    <w:p w14:paraId="5F09C699">
      <w:pPr>
        <w:ind w:firstLine="480"/>
        <w:rPr>
          <w:rFonts w:hint="eastAsia"/>
          <w:color w:val="000000"/>
        </w:rPr>
      </w:pPr>
      <w:r>
        <w:rPr>
          <w:rFonts w:ascii="Songti SC" w:hAnsi="Songti SC" w:eastAsia="Songti SC" w:cs="Songti SC"/>
          <w:color w:val="000000"/>
        </w:rPr>
        <w:t>对按日期、人员、部门、餐厅、消费机等维度建立组合查询支撑。</w:t>
      </w:r>
    </w:p>
    <w:p w14:paraId="1514C81E">
      <w:pPr>
        <w:ind w:firstLine="480"/>
        <w:rPr>
          <w:rFonts w:hint="eastAsia"/>
          <w:color w:val="000000"/>
        </w:rPr>
      </w:pPr>
      <w:r>
        <w:rPr>
          <w:rFonts w:ascii="Songti SC" w:hAnsi="Songti SC" w:eastAsia="Songti SC" w:cs="Songti SC"/>
          <w:color w:val="000000"/>
        </w:rPr>
        <w:t>对导出任务设置后台执行和结果保留。</w:t>
      </w:r>
    </w:p>
    <w:p w14:paraId="594DF1AD">
      <w:pPr>
        <w:ind w:firstLine="482"/>
        <w:rPr>
          <w:rFonts w:hint="eastAsia"/>
          <w:color w:val="000000"/>
        </w:rPr>
      </w:pPr>
      <w:r>
        <w:rPr>
          <w:rFonts w:hint="eastAsia" w:ascii="Songti SC" w:hAnsi="Songti SC" w:eastAsia="Songti SC" w:cs="Songti SC"/>
          <w:b/>
          <w:color w:val="000000"/>
        </w:rPr>
        <w:t>2.</w:t>
      </w:r>
      <w:r>
        <w:rPr>
          <w:rFonts w:ascii="Songti SC" w:hAnsi="Songti SC" w:eastAsia="Songti SC" w:cs="Songti SC"/>
          <w:b/>
          <w:color w:val="000000"/>
        </w:rPr>
        <w:t>适配做法</w:t>
      </w:r>
    </w:p>
    <w:p w14:paraId="1E3D5E54">
      <w:pPr>
        <w:ind w:firstLine="480"/>
        <w:rPr>
          <w:rFonts w:hint="eastAsia"/>
          <w:color w:val="000000"/>
        </w:rPr>
      </w:pPr>
      <w:r>
        <w:rPr>
          <w:rFonts w:ascii="Songti SC" w:hAnsi="Songti SC" w:eastAsia="Songti SC" w:cs="Songti SC"/>
          <w:color w:val="000000"/>
        </w:rPr>
        <w:t>避免高峰就餐时段运行重型报表。</w:t>
      </w:r>
    </w:p>
    <w:p w14:paraId="3358863F">
      <w:pPr>
        <w:ind w:firstLine="480"/>
        <w:rPr>
          <w:rFonts w:hint="eastAsia"/>
          <w:color w:val="000000"/>
        </w:rPr>
      </w:pPr>
      <w:r>
        <w:rPr>
          <w:rFonts w:ascii="Songti SC" w:hAnsi="Songti SC" w:eastAsia="Songti SC" w:cs="Songti SC"/>
          <w:color w:val="000000"/>
        </w:rPr>
        <w:t>报表合计从明细数据生成，保证可下钻和可核对。</w:t>
      </w:r>
    </w:p>
    <w:p w14:paraId="6622EE89">
      <w:pPr>
        <w:pStyle w:val="4"/>
        <w:rPr>
          <w:rFonts w:hint="eastAsia"/>
          <w:color w:val="000000"/>
        </w:rPr>
      </w:pPr>
      <w:bookmarkStart w:id="370" w:name="_Toc873124353"/>
      <w:bookmarkStart w:id="371" w:name="_Toc368006645"/>
      <w:bookmarkStart w:id="372" w:name="_Toc899171095"/>
      <w:r>
        <w:rPr>
          <w:rFonts w:ascii="Songti SC" w:hAnsi="Songti SC" w:eastAsia="Songti SC" w:cs="Songti SC"/>
          <w:color w:val="000000"/>
        </w:rPr>
        <w:t>中间件及应用软件适配</w:t>
      </w:r>
      <w:bookmarkEnd w:id="370"/>
      <w:bookmarkEnd w:id="371"/>
      <w:bookmarkEnd w:id="372"/>
    </w:p>
    <w:p w14:paraId="6525DAD4">
      <w:pPr>
        <w:pStyle w:val="5"/>
        <w:rPr>
          <w:rFonts w:hint="eastAsia"/>
          <w:color w:val="000000"/>
        </w:rPr>
      </w:pPr>
      <w:r>
        <w:rPr>
          <w:rFonts w:ascii="Songti SC" w:hAnsi="Songti SC" w:eastAsia="Songti SC" w:cs="Songti SC"/>
          <w:color w:val="000000"/>
        </w:rPr>
        <w:t>中间件部署适配</w:t>
      </w:r>
    </w:p>
    <w:p w14:paraId="7848E7C8">
      <w:pPr>
        <w:ind w:firstLine="480"/>
        <w:rPr>
          <w:rFonts w:hint="eastAsia"/>
          <w:color w:val="000000"/>
        </w:rPr>
      </w:pPr>
      <w:r>
        <w:rPr>
          <w:rFonts w:ascii="Songti SC" w:hAnsi="Songti SC" w:eastAsia="Songti SC" w:cs="Songti SC"/>
          <w:color w:val="000000"/>
        </w:rPr>
        <w:t>中间件部署适配用于承载 PC 管理端、小程序端接口、消费机接口和外部交互接口。</w:t>
      </w:r>
    </w:p>
    <w:p w14:paraId="1FF0CBA9">
      <w:pPr>
        <w:ind w:firstLine="482"/>
        <w:rPr>
          <w:rFonts w:hint="eastAsia"/>
          <w:color w:val="000000"/>
        </w:rPr>
      </w:pPr>
      <w:r>
        <w:rPr>
          <w:rFonts w:hint="eastAsia" w:ascii="Songti SC" w:hAnsi="Songti SC" w:eastAsia="Songti SC" w:cs="Songti SC"/>
          <w:b/>
          <w:color w:val="000000"/>
        </w:rPr>
        <w:t>1.改造</w:t>
      </w:r>
      <w:r>
        <w:rPr>
          <w:rFonts w:ascii="Songti SC" w:hAnsi="Songti SC" w:eastAsia="Songti SC" w:cs="Songti SC"/>
          <w:b/>
          <w:color w:val="000000"/>
        </w:rPr>
        <w:t>内容</w:t>
      </w:r>
    </w:p>
    <w:p w14:paraId="73C1CA5D">
      <w:pPr>
        <w:ind w:firstLine="480"/>
        <w:rPr>
          <w:rFonts w:hint="eastAsia"/>
          <w:color w:val="000000"/>
        </w:rPr>
      </w:pPr>
      <w:r>
        <w:rPr>
          <w:rFonts w:ascii="Songti SC" w:hAnsi="Songti SC" w:eastAsia="Songti SC" w:cs="Songti SC"/>
          <w:color w:val="000000"/>
        </w:rPr>
        <w:t>配置应用访问入口、端口、证书、反向代理、请求大小、超时和日志。</w:t>
      </w:r>
    </w:p>
    <w:p w14:paraId="6C7D45EC">
      <w:pPr>
        <w:ind w:firstLine="480"/>
        <w:rPr>
          <w:rFonts w:hint="eastAsia"/>
          <w:color w:val="000000"/>
        </w:rPr>
      </w:pPr>
      <w:r>
        <w:rPr>
          <w:rFonts w:ascii="Songti SC" w:hAnsi="Songti SC" w:eastAsia="Songti SC" w:cs="Songti SC"/>
          <w:color w:val="000000"/>
        </w:rPr>
        <w:t>区分管理端访问、小程序访问、消费机访问和外部接口访问路径。</w:t>
      </w:r>
    </w:p>
    <w:p w14:paraId="1CF05D8E">
      <w:pPr>
        <w:ind w:firstLine="480"/>
        <w:rPr>
          <w:rFonts w:hint="eastAsia"/>
          <w:color w:val="000000"/>
        </w:rPr>
      </w:pPr>
      <w:r>
        <w:rPr>
          <w:rFonts w:ascii="Songti SC" w:hAnsi="Songti SC" w:eastAsia="Songti SC" w:cs="Songti SC"/>
          <w:color w:val="000000"/>
        </w:rPr>
        <w:t>配置健康检查和异常访问记录。</w:t>
      </w:r>
    </w:p>
    <w:p w14:paraId="4C41DCF0">
      <w:pPr>
        <w:ind w:firstLine="482"/>
        <w:rPr>
          <w:rFonts w:hint="eastAsia"/>
          <w:color w:val="000000"/>
        </w:rPr>
      </w:pPr>
      <w:r>
        <w:rPr>
          <w:rFonts w:hint="eastAsia" w:ascii="Songti SC" w:hAnsi="Songti SC" w:eastAsia="Songti SC" w:cs="Songti SC"/>
          <w:b/>
          <w:color w:val="000000"/>
        </w:rPr>
        <w:t>2.</w:t>
      </w:r>
      <w:r>
        <w:rPr>
          <w:rFonts w:ascii="Songti SC" w:hAnsi="Songti SC" w:eastAsia="Songti SC" w:cs="Songti SC"/>
          <w:b/>
          <w:color w:val="000000"/>
        </w:rPr>
        <w:t>适配做法</w:t>
      </w:r>
    </w:p>
    <w:p w14:paraId="15C5C08D">
      <w:pPr>
        <w:ind w:firstLine="480"/>
        <w:rPr>
          <w:rFonts w:hint="eastAsia"/>
          <w:color w:val="000000"/>
        </w:rPr>
      </w:pPr>
      <w:r>
        <w:rPr>
          <w:rFonts w:ascii="Songti SC" w:hAnsi="Songti SC" w:eastAsia="Songti SC" w:cs="Songti SC"/>
          <w:color w:val="000000"/>
        </w:rPr>
        <w:t>接口超时和请求体大小按业务场景设置，避免导入导出或消费机补传失败。</w:t>
      </w:r>
    </w:p>
    <w:p w14:paraId="5E78A123">
      <w:pPr>
        <w:ind w:firstLine="480"/>
        <w:rPr>
          <w:rFonts w:hint="eastAsia"/>
          <w:color w:val="000000"/>
        </w:rPr>
      </w:pPr>
      <w:r>
        <w:rPr>
          <w:rFonts w:ascii="Songti SC" w:hAnsi="Songti SC" w:eastAsia="Songti SC" w:cs="Songti SC"/>
          <w:color w:val="000000"/>
        </w:rPr>
        <w:t>中间件日志与应用日志可按请求流水关联。</w:t>
      </w:r>
    </w:p>
    <w:p w14:paraId="54CA933B">
      <w:pPr>
        <w:pStyle w:val="5"/>
        <w:rPr>
          <w:rFonts w:hint="eastAsia"/>
          <w:color w:val="000000"/>
        </w:rPr>
      </w:pPr>
      <w:r>
        <w:rPr>
          <w:rFonts w:ascii="Songti SC" w:hAnsi="Songti SC" w:eastAsia="Songti SC" w:cs="Songti SC"/>
          <w:color w:val="000000"/>
        </w:rPr>
        <w:t>应用运行环境适配</w:t>
      </w:r>
    </w:p>
    <w:p w14:paraId="7A7F1E43">
      <w:pPr>
        <w:ind w:firstLine="480"/>
        <w:rPr>
          <w:rFonts w:hint="eastAsia"/>
          <w:color w:val="000000"/>
        </w:rPr>
      </w:pPr>
      <w:r>
        <w:rPr>
          <w:rFonts w:ascii="Songti SC" w:hAnsi="Songti SC" w:eastAsia="Songti SC" w:cs="Songti SC"/>
          <w:color w:val="000000"/>
        </w:rPr>
        <w:t>应用运行环境适配用于保证原有应用服务在现有运行环境中稳定启动和运行。</w:t>
      </w:r>
    </w:p>
    <w:p w14:paraId="79B8FCC1">
      <w:pPr>
        <w:ind w:firstLine="482"/>
        <w:rPr>
          <w:rFonts w:hint="eastAsia"/>
          <w:color w:val="000000"/>
        </w:rPr>
      </w:pPr>
      <w:r>
        <w:rPr>
          <w:rFonts w:hint="eastAsia" w:ascii="Songti SC" w:hAnsi="Songti SC" w:eastAsia="Songti SC" w:cs="Songti SC"/>
          <w:b/>
          <w:color w:val="000000"/>
        </w:rPr>
        <w:t>1.改造</w:t>
      </w:r>
      <w:r>
        <w:rPr>
          <w:rFonts w:ascii="Songti SC" w:hAnsi="Songti SC" w:eastAsia="Songti SC" w:cs="Songti SC"/>
          <w:b/>
          <w:color w:val="000000"/>
        </w:rPr>
        <w:t>内容</w:t>
      </w:r>
    </w:p>
    <w:p w14:paraId="48C5613D">
      <w:pPr>
        <w:ind w:firstLine="480"/>
        <w:rPr>
          <w:rFonts w:hint="eastAsia"/>
          <w:color w:val="000000"/>
        </w:rPr>
      </w:pPr>
      <w:r>
        <w:rPr>
          <w:rFonts w:ascii="Songti SC" w:hAnsi="Songti SC" w:eastAsia="Songti SC" w:cs="Songti SC"/>
          <w:color w:val="000000"/>
        </w:rPr>
        <w:t>适配运行时版本、依赖库、字体、编码、时区和证书。</w:t>
      </w:r>
    </w:p>
    <w:p w14:paraId="57303501">
      <w:pPr>
        <w:ind w:firstLine="480"/>
        <w:rPr>
          <w:rFonts w:hint="eastAsia"/>
          <w:color w:val="000000"/>
        </w:rPr>
      </w:pPr>
      <w:r>
        <w:rPr>
          <w:rFonts w:ascii="Songti SC" w:hAnsi="Songti SC" w:eastAsia="Songti SC" w:cs="Songti SC"/>
          <w:color w:val="000000"/>
        </w:rPr>
        <w:t>配置生产环境和测试环境的独立参数。</w:t>
      </w:r>
    </w:p>
    <w:p w14:paraId="6F6E4B04">
      <w:pPr>
        <w:ind w:firstLine="480"/>
        <w:rPr>
          <w:rFonts w:hint="eastAsia"/>
          <w:color w:val="000000"/>
        </w:rPr>
      </w:pPr>
      <w:r>
        <w:rPr>
          <w:rFonts w:ascii="Songti SC" w:hAnsi="Songti SC" w:eastAsia="Songti SC" w:cs="Songti SC"/>
          <w:color w:val="000000"/>
        </w:rPr>
        <w:t>设置应用启动顺序和异常重启策略。</w:t>
      </w:r>
    </w:p>
    <w:p w14:paraId="7540C89E">
      <w:pPr>
        <w:ind w:firstLine="482"/>
        <w:rPr>
          <w:rFonts w:hint="eastAsia"/>
          <w:color w:val="000000"/>
        </w:rPr>
      </w:pPr>
      <w:r>
        <w:rPr>
          <w:rFonts w:hint="eastAsia" w:ascii="Songti SC" w:hAnsi="Songti SC" w:eastAsia="Songti SC" w:cs="Songti SC"/>
          <w:b/>
          <w:color w:val="000000"/>
        </w:rPr>
        <w:t>2.</w:t>
      </w:r>
      <w:r>
        <w:rPr>
          <w:rFonts w:ascii="Songti SC" w:hAnsi="Songti SC" w:eastAsia="Songti SC" w:cs="Songti SC"/>
          <w:b/>
          <w:color w:val="000000"/>
        </w:rPr>
        <w:t>适配做法</w:t>
      </w:r>
    </w:p>
    <w:p w14:paraId="515D5274">
      <w:pPr>
        <w:ind w:firstLine="480"/>
        <w:rPr>
          <w:rFonts w:hint="eastAsia"/>
          <w:color w:val="000000"/>
        </w:rPr>
      </w:pPr>
      <w:r>
        <w:rPr>
          <w:rFonts w:ascii="Songti SC" w:hAnsi="Songti SC" w:eastAsia="Songti SC" w:cs="Songti SC"/>
          <w:color w:val="000000"/>
        </w:rPr>
        <w:t>运行环境不依赖开发机配置，形成可重复部署方式。</w:t>
      </w:r>
    </w:p>
    <w:p w14:paraId="04310C21">
      <w:pPr>
        <w:ind w:firstLine="480"/>
        <w:rPr>
          <w:rFonts w:hint="eastAsia"/>
          <w:color w:val="000000"/>
        </w:rPr>
      </w:pPr>
      <w:r>
        <w:rPr>
          <w:rFonts w:ascii="Songti SC" w:hAnsi="Songti SC" w:eastAsia="Songti SC" w:cs="Songti SC"/>
          <w:color w:val="000000"/>
        </w:rPr>
        <w:t>启动失败、接口失败和任务失败都要记录清晰日志。</w:t>
      </w:r>
    </w:p>
    <w:p w14:paraId="68AAF540">
      <w:pPr>
        <w:pStyle w:val="5"/>
        <w:rPr>
          <w:rFonts w:hint="eastAsia"/>
          <w:color w:val="000000"/>
        </w:rPr>
      </w:pPr>
      <w:r>
        <w:rPr>
          <w:rFonts w:ascii="Songti SC" w:hAnsi="Songti SC" w:eastAsia="Songti SC" w:cs="Songti SC"/>
          <w:color w:val="000000"/>
        </w:rPr>
        <w:t>定时任务适配</w:t>
      </w:r>
    </w:p>
    <w:p w14:paraId="018F78FD">
      <w:pPr>
        <w:ind w:firstLine="480"/>
        <w:rPr>
          <w:rFonts w:hint="eastAsia"/>
          <w:color w:val="000000"/>
        </w:rPr>
      </w:pPr>
      <w:r>
        <w:rPr>
          <w:rFonts w:ascii="Songti SC" w:hAnsi="Songti SC" w:eastAsia="Songti SC" w:cs="Songti SC"/>
          <w:color w:val="000000"/>
        </w:rPr>
        <w:t>定时任务适配用于保障订单结算、补贴发放、补贴失效、对账、补传、导出和清理等后台任务稳定运行。</w:t>
      </w:r>
    </w:p>
    <w:p w14:paraId="78212220">
      <w:pPr>
        <w:ind w:firstLine="482"/>
        <w:rPr>
          <w:rFonts w:hint="eastAsia"/>
          <w:color w:val="000000"/>
        </w:rPr>
      </w:pPr>
      <w:r>
        <w:rPr>
          <w:rFonts w:hint="eastAsia" w:ascii="Songti SC" w:hAnsi="Songti SC" w:eastAsia="Songti SC" w:cs="Songti SC"/>
          <w:b/>
          <w:color w:val="000000"/>
        </w:rPr>
        <w:t>1.改造</w:t>
      </w:r>
      <w:r>
        <w:rPr>
          <w:rFonts w:ascii="Songti SC" w:hAnsi="Songti SC" w:eastAsia="Songti SC" w:cs="Songti SC"/>
          <w:b/>
          <w:color w:val="000000"/>
        </w:rPr>
        <w:t>内容</w:t>
      </w:r>
    </w:p>
    <w:p w14:paraId="2A2729E0">
      <w:pPr>
        <w:ind w:firstLine="480"/>
        <w:rPr>
          <w:rFonts w:hint="eastAsia"/>
          <w:color w:val="000000"/>
        </w:rPr>
      </w:pPr>
      <w:r>
        <w:rPr>
          <w:rFonts w:ascii="Songti SC" w:hAnsi="Songti SC" w:eastAsia="Songti SC" w:cs="Songti SC"/>
          <w:color w:val="000000"/>
        </w:rPr>
        <w:t>梳理现有定时任务清单、执行周期、影响数据和失败处理方式。</w:t>
      </w:r>
    </w:p>
    <w:p w14:paraId="3B7E4C51">
      <w:pPr>
        <w:ind w:firstLine="480"/>
        <w:rPr>
          <w:rFonts w:hint="eastAsia"/>
          <w:color w:val="000000"/>
        </w:rPr>
      </w:pPr>
      <w:r>
        <w:rPr>
          <w:rFonts w:ascii="Songti SC" w:hAnsi="Songti SC" w:eastAsia="Songti SC" w:cs="Songti SC"/>
          <w:color w:val="000000"/>
        </w:rPr>
        <w:t>切换到服务器操作系统后重新配置执行用户和执行时间。</w:t>
      </w:r>
    </w:p>
    <w:p w14:paraId="7742A660">
      <w:pPr>
        <w:ind w:firstLine="480"/>
        <w:rPr>
          <w:rFonts w:hint="eastAsia"/>
          <w:color w:val="000000"/>
        </w:rPr>
      </w:pPr>
      <w:r>
        <w:rPr>
          <w:rFonts w:ascii="Songti SC" w:hAnsi="Songti SC" w:eastAsia="Songti SC" w:cs="Songti SC"/>
          <w:color w:val="000000"/>
        </w:rPr>
        <w:t>任务执行结果写入运行日志，并支持失败重试。</w:t>
      </w:r>
    </w:p>
    <w:p w14:paraId="52F5A0BE">
      <w:pPr>
        <w:ind w:firstLine="482"/>
        <w:rPr>
          <w:rFonts w:hint="eastAsia"/>
          <w:color w:val="000000"/>
        </w:rPr>
      </w:pPr>
      <w:r>
        <w:rPr>
          <w:rFonts w:hint="eastAsia" w:ascii="Songti SC" w:hAnsi="Songti SC" w:eastAsia="Songti SC" w:cs="Songti SC"/>
          <w:b/>
          <w:color w:val="000000"/>
        </w:rPr>
        <w:t>2.</w:t>
      </w:r>
      <w:r>
        <w:rPr>
          <w:rFonts w:ascii="Songti SC" w:hAnsi="Songti SC" w:eastAsia="Songti SC" w:cs="Songti SC"/>
          <w:b/>
          <w:color w:val="000000"/>
        </w:rPr>
        <w:t>适配做法</w:t>
      </w:r>
    </w:p>
    <w:p w14:paraId="34247A35">
      <w:pPr>
        <w:ind w:firstLine="480"/>
        <w:rPr>
          <w:rFonts w:hint="eastAsia"/>
          <w:color w:val="000000"/>
        </w:rPr>
      </w:pPr>
      <w:r>
        <w:rPr>
          <w:rFonts w:ascii="Songti SC" w:hAnsi="Songti SC" w:eastAsia="Songti SC" w:cs="Songti SC"/>
          <w:color w:val="000000"/>
        </w:rPr>
        <w:t>充值对账、离线补传和补贴任务避免与就餐高峰冲突。</w:t>
      </w:r>
    </w:p>
    <w:p w14:paraId="76710D48">
      <w:pPr>
        <w:ind w:firstLine="480"/>
        <w:rPr>
          <w:rFonts w:hint="eastAsia"/>
          <w:color w:val="000000"/>
        </w:rPr>
      </w:pPr>
      <w:r>
        <w:rPr>
          <w:rFonts w:ascii="Songti SC" w:hAnsi="Songti SC" w:eastAsia="Songti SC" w:cs="Songti SC"/>
          <w:color w:val="000000"/>
        </w:rPr>
        <w:t>任务失败不应静默，必须进入运行提醒。</w:t>
      </w:r>
    </w:p>
    <w:p w14:paraId="6A176EAD">
      <w:pPr>
        <w:pStyle w:val="5"/>
        <w:rPr>
          <w:rFonts w:hint="eastAsia"/>
          <w:color w:val="000000"/>
        </w:rPr>
      </w:pPr>
      <w:r>
        <w:rPr>
          <w:rFonts w:ascii="Songti SC" w:hAnsi="Songti SC" w:eastAsia="Songti SC" w:cs="Songti SC"/>
          <w:color w:val="000000"/>
        </w:rPr>
        <w:t>文件服务适配</w:t>
      </w:r>
    </w:p>
    <w:p w14:paraId="1FFDD5DD">
      <w:pPr>
        <w:ind w:firstLine="480"/>
        <w:rPr>
          <w:rFonts w:hint="eastAsia"/>
          <w:color w:val="000000"/>
        </w:rPr>
      </w:pPr>
      <w:r>
        <w:rPr>
          <w:rFonts w:ascii="Songti SC" w:hAnsi="Songti SC" w:eastAsia="Songti SC" w:cs="Songti SC"/>
          <w:color w:val="000000"/>
        </w:rPr>
        <w:t>文件服务适配用于处理导入模板、导出报表、人员照片、人脸文件和交易照片。</w:t>
      </w:r>
    </w:p>
    <w:p w14:paraId="68025227">
      <w:pPr>
        <w:ind w:firstLine="482"/>
        <w:rPr>
          <w:rFonts w:hint="eastAsia"/>
          <w:color w:val="000000"/>
        </w:rPr>
      </w:pPr>
      <w:r>
        <w:rPr>
          <w:rFonts w:hint="eastAsia" w:ascii="Songti SC" w:hAnsi="Songti SC" w:eastAsia="Songti SC" w:cs="Songti SC"/>
          <w:b/>
          <w:color w:val="000000"/>
        </w:rPr>
        <w:t>1.改造</w:t>
      </w:r>
      <w:r>
        <w:rPr>
          <w:rFonts w:ascii="Songti SC" w:hAnsi="Songti SC" w:eastAsia="Songti SC" w:cs="Songti SC"/>
          <w:b/>
          <w:color w:val="000000"/>
        </w:rPr>
        <w:t>内容</w:t>
      </w:r>
    </w:p>
    <w:p w14:paraId="3C169E53">
      <w:pPr>
        <w:ind w:firstLine="480"/>
        <w:rPr>
          <w:rFonts w:hint="eastAsia"/>
          <w:color w:val="000000"/>
        </w:rPr>
      </w:pPr>
      <w:r>
        <w:rPr>
          <w:rFonts w:ascii="Songti SC" w:hAnsi="Songti SC" w:eastAsia="Songti SC" w:cs="Songti SC"/>
          <w:color w:val="000000"/>
        </w:rPr>
        <w:t>规划上传目录、导出目录、临时目录、备份目录和归档目录。</w:t>
      </w:r>
    </w:p>
    <w:p w14:paraId="4AC4AF2B">
      <w:pPr>
        <w:ind w:firstLine="480"/>
        <w:rPr>
          <w:rFonts w:hint="eastAsia"/>
          <w:color w:val="000000"/>
        </w:rPr>
      </w:pPr>
      <w:r>
        <w:rPr>
          <w:rFonts w:ascii="Songti SC" w:hAnsi="Songti SC" w:eastAsia="Songti SC" w:cs="Songti SC"/>
          <w:color w:val="000000"/>
        </w:rPr>
        <w:t>设置文件大小、格式、保留时间和访问权限。</w:t>
      </w:r>
    </w:p>
    <w:p w14:paraId="7680D65D">
      <w:pPr>
        <w:ind w:firstLine="480"/>
        <w:rPr>
          <w:rFonts w:hint="eastAsia"/>
          <w:color w:val="000000"/>
        </w:rPr>
      </w:pPr>
      <w:r>
        <w:rPr>
          <w:rFonts w:ascii="Songti SC" w:hAnsi="Songti SC" w:eastAsia="Songti SC" w:cs="Songti SC"/>
          <w:color w:val="000000"/>
        </w:rPr>
        <w:t>导出文件按任务编号和人员权限进行管理。</w:t>
      </w:r>
    </w:p>
    <w:p w14:paraId="47ACB482">
      <w:pPr>
        <w:ind w:firstLine="482"/>
        <w:rPr>
          <w:rFonts w:hint="eastAsia"/>
          <w:color w:val="000000"/>
        </w:rPr>
      </w:pPr>
      <w:r>
        <w:rPr>
          <w:rFonts w:hint="eastAsia" w:ascii="Songti SC" w:hAnsi="Songti SC" w:eastAsia="Songti SC" w:cs="Songti SC"/>
          <w:b/>
          <w:color w:val="000000"/>
        </w:rPr>
        <w:t>2.</w:t>
      </w:r>
      <w:r>
        <w:rPr>
          <w:rFonts w:ascii="Songti SC" w:hAnsi="Songti SC" w:eastAsia="Songti SC" w:cs="Songti SC"/>
          <w:b/>
          <w:color w:val="000000"/>
        </w:rPr>
        <w:t>适配做法</w:t>
      </w:r>
    </w:p>
    <w:p w14:paraId="4795A97B">
      <w:pPr>
        <w:ind w:firstLine="480"/>
        <w:rPr>
          <w:rFonts w:hint="eastAsia"/>
          <w:color w:val="000000"/>
        </w:rPr>
      </w:pPr>
      <w:r>
        <w:rPr>
          <w:rFonts w:ascii="Songti SC" w:hAnsi="Songti SC" w:eastAsia="Songti SC" w:cs="Songti SC"/>
          <w:color w:val="000000"/>
        </w:rPr>
        <w:t>中文文件名、Excel 兼容、图片访问和路径权限在升级后系统中逐项验证。</w:t>
      </w:r>
    </w:p>
    <w:p w14:paraId="5393ADBF">
      <w:pPr>
        <w:ind w:firstLine="480"/>
        <w:rPr>
          <w:rFonts w:hint="eastAsia"/>
          <w:color w:val="000000"/>
        </w:rPr>
      </w:pPr>
      <w:r>
        <w:rPr>
          <w:rFonts w:ascii="Songti SC" w:hAnsi="Songti SC" w:eastAsia="Songti SC" w:cs="Songti SC"/>
          <w:color w:val="000000"/>
        </w:rPr>
        <w:t>敏感图片和报表文件避免长期公开存放。</w:t>
      </w:r>
    </w:p>
    <w:p w14:paraId="637D5EF6">
      <w:pPr>
        <w:pStyle w:val="4"/>
        <w:rPr>
          <w:rFonts w:hint="eastAsia"/>
          <w:color w:val="000000"/>
        </w:rPr>
      </w:pPr>
      <w:bookmarkStart w:id="373" w:name="_Toc845240920"/>
      <w:bookmarkStart w:id="374" w:name="_Toc526169726"/>
      <w:bookmarkStart w:id="375" w:name="_Toc334779155"/>
      <w:r>
        <w:rPr>
          <w:rFonts w:ascii="Songti SC" w:hAnsi="Songti SC" w:eastAsia="Songti SC" w:cs="Songti SC"/>
          <w:color w:val="000000"/>
        </w:rPr>
        <w:t>外部接口与前置库适配</w:t>
      </w:r>
      <w:bookmarkEnd w:id="373"/>
      <w:bookmarkEnd w:id="374"/>
      <w:bookmarkEnd w:id="375"/>
    </w:p>
    <w:p w14:paraId="5BB0F6C1">
      <w:pPr>
        <w:pStyle w:val="5"/>
        <w:rPr>
          <w:rFonts w:hint="eastAsia"/>
          <w:color w:val="000000"/>
        </w:rPr>
      </w:pPr>
      <w:r>
        <w:rPr>
          <w:rFonts w:ascii="Songti SC" w:hAnsi="Songti SC" w:eastAsia="Songti SC" w:cs="Songti SC"/>
          <w:color w:val="000000"/>
        </w:rPr>
        <w:t>工商银行充值接口适配</w:t>
      </w:r>
    </w:p>
    <w:p w14:paraId="2EF73FD4">
      <w:pPr>
        <w:ind w:firstLine="480"/>
        <w:rPr>
          <w:rFonts w:hint="eastAsia"/>
          <w:color w:val="000000"/>
        </w:rPr>
      </w:pPr>
      <w:r>
        <w:rPr>
          <w:rFonts w:ascii="Songti SC" w:hAnsi="Songti SC" w:eastAsia="Songti SC" w:cs="Songti SC"/>
          <w:color w:val="000000"/>
        </w:rPr>
        <w:t>工商银行充值接口适配用于保障线上充值在新环境中继续稳定运行。</w:t>
      </w:r>
    </w:p>
    <w:p w14:paraId="5E586934">
      <w:pPr>
        <w:ind w:firstLine="482"/>
        <w:rPr>
          <w:rFonts w:hint="eastAsia"/>
          <w:color w:val="000000"/>
        </w:rPr>
      </w:pPr>
      <w:r>
        <w:rPr>
          <w:rFonts w:hint="eastAsia" w:ascii="Songti SC" w:hAnsi="Songti SC" w:eastAsia="Songti SC" w:cs="Songti SC"/>
          <w:b/>
          <w:color w:val="000000"/>
        </w:rPr>
        <w:t>1.改造</w:t>
      </w:r>
      <w:r>
        <w:rPr>
          <w:rFonts w:ascii="Songti SC" w:hAnsi="Songti SC" w:eastAsia="Songti SC" w:cs="Songti SC"/>
          <w:b/>
          <w:color w:val="000000"/>
        </w:rPr>
        <w:t>内容</w:t>
      </w:r>
    </w:p>
    <w:p w14:paraId="00C8CAC8">
      <w:pPr>
        <w:ind w:firstLine="480"/>
        <w:rPr>
          <w:rFonts w:hint="eastAsia"/>
          <w:color w:val="000000"/>
        </w:rPr>
      </w:pPr>
      <w:r>
        <w:rPr>
          <w:rFonts w:ascii="Songti SC" w:hAnsi="Songti SC" w:eastAsia="Songti SC" w:cs="Songti SC"/>
          <w:color w:val="000000"/>
        </w:rPr>
        <w:t>梳理充值发起、订单提交、银行返回、回调通知、主动回查和对账文件处理。</w:t>
      </w:r>
    </w:p>
    <w:p w14:paraId="32181ACC">
      <w:pPr>
        <w:ind w:firstLine="480"/>
        <w:rPr>
          <w:rFonts w:hint="eastAsia"/>
          <w:color w:val="000000"/>
        </w:rPr>
      </w:pPr>
      <w:r>
        <w:rPr>
          <w:rFonts w:ascii="Songti SC" w:hAnsi="Songti SC" w:eastAsia="Songti SC" w:cs="Songti SC"/>
          <w:color w:val="000000"/>
        </w:rPr>
        <w:t>适配接口地址、证书、签名、超时、重试和异常日志。</w:t>
      </w:r>
    </w:p>
    <w:p w14:paraId="61C8CA2B">
      <w:pPr>
        <w:ind w:firstLine="480"/>
        <w:rPr>
          <w:rFonts w:hint="eastAsia"/>
          <w:color w:val="000000"/>
        </w:rPr>
      </w:pPr>
      <w:r>
        <w:rPr>
          <w:rFonts w:ascii="Songti SC" w:hAnsi="Songti SC" w:eastAsia="Songti SC" w:cs="Songti SC"/>
          <w:color w:val="000000"/>
        </w:rPr>
        <w:t>对重复回调、超时回调、失败回调和状态不一致进行处理。</w:t>
      </w:r>
    </w:p>
    <w:p w14:paraId="6F00B297">
      <w:pPr>
        <w:ind w:firstLine="482"/>
        <w:rPr>
          <w:rFonts w:hint="eastAsia"/>
          <w:color w:val="000000"/>
        </w:rPr>
      </w:pPr>
      <w:r>
        <w:rPr>
          <w:rFonts w:hint="eastAsia" w:ascii="Songti SC" w:hAnsi="Songti SC" w:eastAsia="Songti SC" w:cs="Songti SC"/>
          <w:b/>
          <w:color w:val="000000"/>
        </w:rPr>
        <w:t>2.</w:t>
      </w:r>
      <w:r>
        <w:rPr>
          <w:rFonts w:ascii="Songti SC" w:hAnsi="Songti SC" w:eastAsia="Songti SC" w:cs="Songti SC"/>
          <w:b/>
          <w:color w:val="000000"/>
        </w:rPr>
        <w:t>适配做法</w:t>
      </w:r>
    </w:p>
    <w:p w14:paraId="08D040A5">
      <w:pPr>
        <w:ind w:firstLine="480"/>
        <w:rPr>
          <w:rFonts w:hint="eastAsia"/>
          <w:color w:val="000000"/>
        </w:rPr>
      </w:pPr>
      <w:r>
        <w:rPr>
          <w:rFonts w:ascii="Songti SC" w:hAnsi="Songti SC" w:eastAsia="Songti SC" w:cs="Songti SC"/>
          <w:color w:val="000000"/>
        </w:rPr>
        <w:t>平台入账以最终确认状态为准，重复回调不重复入账。</w:t>
      </w:r>
    </w:p>
    <w:p w14:paraId="384CC219">
      <w:pPr>
        <w:ind w:firstLine="480"/>
        <w:rPr>
          <w:rFonts w:hint="eastAsia"/>
          <w:color w:val="000000"/>
        </w:rPr>
      </w:pPr>
      <w:r>
        <w:rPr>
          <w:rFonts w:ascii="Songti SC" w:hAnsi="Songti SC" w:eastAsia="Songti SC" w:cs="Songti SC"/>
          <w:color w:val="000000"/>
        </w:rPr>
        <w:t>每笔订单保留完整交互流水，方便财务核查。</w:t>
      </w:r>
    </w:p>
    <w:p w14:paraId="73BF0FD9">
      <w:pPr>
        <w:pStyle w:val="5"/>
        <w:rPr>
          <w:rFonts w:hint="eastAsia"/>
          <w:color w:val="000000"/>
        </w:rPr>
      </w:pPr>
      <w:r>
        <w:rPr>
          <w:rFonts w:hint="eastAsia" w:ascii="Songti SC" w:hAnsi="Songti SC" w:eastAsia="Songti SC" w:cs="Songti SC"/>
          <w:color w:val="000000"/>
          <w:lang w:eastAsia="zh-CN"/>
        </w:rPr>
        <w:t>大数据交互平台</w:t>
      </w:r>
      <w:r>
        <w:rPr>
          <w:rFonts w:ascii="Songti SC" w:hAnsi="Songti SC" w:eastAsia="Songti SC" w:cs="Songti SC"/>
          <w:color w:val="000000"/>
        </w:rPr>
        <w:t>适配</w:t>
      </w:r>
    </w:p>
    <w:p w14:paraId="03CFDEB6">
      <w:pPr>
        <w:ind w:firstLine="480"/>
        <w:rPr>
          <w:rFonts w:hint="eastAsia"/>
          <w:color w:val="000000"/>
        </w:rPr>
      </w:pPr>
      <w:r>
        <w:rPr>
          <w:rFonts w:hint="eastAsia" w:ascii="Songti SC" w:hAnsi="Songti SC" w:eastAsia="Songti SC" w:cs="Songti SC"/>
          <w:color w:val="000000"/>
          <w:lang w:eastAsia="zh-CN"/>
        </w:rPr>
        <w:t>大数据交互平台</w:t>
      </w:r>
      <w:r>
        <w:rPr>
          <w:rFonts w:ascii="Songti SC" w:hAnsi="Songti SC" w:eastAsia="Songti SC" w:cs="Songti SC"/>
          <w:color w:val="000000"/>
        </w:rPr>
        <w:t>适配用于保持既有数据交换通道稳定。</w:t>
      </w:r>
    </w:p>
    <w:p w14:paraId="589FAEBA">
      <w:pPr>
        <w:ind w:firstLine="482"/>
        <w:rPr>
          <w:rFonts w:hint="eastAsia"/>
          <w:color w:val="000000"/>
        </w:rPr>
      </w:pPr>
      <w:r>
        <w:rPr>
          <w:rFonts w:hint="eastAsia" w:ascii="Songti SC" w:hAnsi="Songti SC" w:eastAsia="Songti SC" w:cs="Songti SC"/>
          <w:b/>
          <w:color w:val="000000"/>
        </w:rPr>
        <w:t>1.改造</w:t>
      </w:r>
      <w:r>
        <w:rPr>
          <w:rFonts w:ascii="Songti SC" w:hAnsi="Songti SC" w:eastAsia="Songti SC" w:cs="Songti SC"/>
          <w:b/>
          <w:color w:val="000000"/>
        </w:rPr>
        <w:t>内容</w:t>
      </w:r>
    </w:p>
    <w:p w14:paraId="00FF01C5">
      <w:pPr>
        <w:ind w:firstLine="480"/>
        <w:rPr>
          <w:rFonts w:hint="eastAsia"/>
          <w:color w:val="000000"/>
        </w:rPr>
      </w:pPr>
      <w:r>
        <w:rPr>
          <w:rFonts w:ascii="Songti SC" w:hAnsi="Songti SC" w:eastAsia="Songti SC" w:cs="Songti SC"/>
          <w:color w:val="000000"/>
        </w:rPr>
        <w:t>确认交互字段、传输频率、接口地址、网络策略和异常返回。</w:t>
      </w:r>
    </w:p>
    <w:p w14:paraId="51F3A121">
      <w:pPr>
        <w:ind w:firstLine="480"/>
        <w:rPr>
          <w:rFonts w:hint="eastAsia"/>
          <w:color w:val="000000"/>
        </w:rPr>
      </w:pPr>
      <w:r>
        <w:rPr>
          <w:rFonts w:ascii="Songti SC" w:hAnsi="Songti SC" w:eastAsia="Songti SC" w:cs="Songti SC"/>
          <w:color w:val="000000"/>
        </w:rPr>
        <w:t>适配新本地部署环境访问策略和日志路径。</w:t>
      </w:r>
    </w:p>
    <w:p w14:paraId="0A796288">
      <w:pPr>
        <w:ind w:firstLine="480"/>
        <w:rPr>
          <w:rFonts w:hint="eastAsia"/>
          <w:color w:val="000000"/>
        </w:rPr>
      </w:pPr>
      <w:r>
        <w:rPr>
          <w:rFonts w:ascii="Songti SC" w:hAnsi="Songti SC" w:eastAsia="Songti SC" w:cs="Songti SC"/>
          <w:color w:val="000000"/>
        </w:rPr>
        <w:t>对交互失败、字段异常、超时和重试进行记录。</w:t>
      </w:r>
    </w:p>
    <w:p w14:paraId="6DC5BDCA">
      <w:pPr>
        <w:ind w:firstLine="482"/>
        <w:rPr>
          <w:rFonts w:hint="eastAsia"/>
          <w:color w:val="000000"/>
        </w:rPr>
      </w:pPr>
      <w:r>
        <w:rPr>
          <w:rFonts w:hint="eastAsia" w:ascii="Songti SC" w:hAnsi="Songti SC" w:eastAsia="Songti SC" w:cs="Songti SC"/>
          <w:b/>
          <w:color w:val="000000"/>
        </w:rPr>
        <w:t>2.</w:t>
      </w:r>
      <w:r>
        <w:rPr>
          <w:rFonts w:ascii="Songti SC" w:hAnsi="Songti SC" w:eastAsia="Songti SC" w:cs="Songti SC"/>
          <w:b/>
          <w:color w:val="000000"/>
        </w:rPr>
        <w:t>适配做法</w:t>
      </w:r>
    </w:p>
    <w:p w14:paraId="560EEC09">
      <w:pPr>
        <w:ind w:firstLine="480"/>
        <w:rPr>
          <w:rFonts w:hint="eastAsia"/>
          <w:color w:val="000000"/>
        </w:rPr>
      </w:pPr>
      <w:r>
        <w:rPr>
          <w:rFonts w:ascii="Songti SC" w:hAnsi="Songti SC" w:eastAsia="Songti SC" w:cs="Songti SC"/>
          <w:color w:val="000000"/>
        </w:rPr>
        <w:t>不改变大数据平台侧业务边界。</w:t>
      </w:r>
    </w:p>
    <w:p w14:paraId="158206A4">
      <w:pPr>
        <w:ind w:firstLine="480"/>
        <w:rPr>
          <w:rFonts w:hint="eastAsia"/>
          <w:color w:val="000000"/>
        </w:rPr>
      </w:pPr>
      <w:r>
        <w:rPr>
          <w:rFonts w:ascii="Songti SC" w:hAnsi="Songti SC" w:eastAsia="Songti SC" w:cs="Songti SC"/>
          <w:color w:val="000000"/>
        </w:rPr>
        <w:t>交互数据与平台订单状态保持一致。</w:t>
      </w:r>
    </w:p>
    <w:p w14:paraId="27802EB7">
      <w:pPr>
        <w:ind w:firstLine="480"/>
        <w:rPr>
          <w:rFonts w:hint="eastAsia"/>
          <w:color w:val="000000"/>
        </w:rPr>
      </w:pPr>
      <w:r>
        <w:rPr>
          <w:rFonts w:hint="eastAsia" w:ascii="Songti SC" w:hAnsi="Songti SC" w:eastAsia="Songti SC" w:cs="Songti SC"/>
          <w:color w:val="000000"/>
          <w:lang w:eastAsia="zh-CN"/>
        </w:rPr>
        <w:t>大数据交互平台</w:t>
      </w:r>
      <w:r>
        <w:rPr>
          <w:rFonts w:ascii="Songti SC" w:hAnsi="Songti SC" w:eastAsia="Songti SC" w:cs="Songti SC"/>
          <w:color w:val="000000"/>
        </w:rPr>
        <w:t>对接除延续线上充值交换链路外，还应围绕组织、餐厅、设备、账户、充值、消费和运营汇总等数据资源完成目录梳理、授权控制、数据交换、结果核验和日志留存。</w:t>
      </w:r>
    </w:p>
    <w:p w14:paraId="47297BCA">
      <w:pPr>
        <w:ind w:firstLine="480"/>
        <w:rPr>
          <w:rFonts w:hint="eastAsia"/>
          <w:color w:val="000000"/>
        </w:rPr>
      </w:pPr>
      <w:r>
        <w:rPr>
          <w:rFonts w:ascii="Songti SC" w:hAnsi="Songti SC" w:eastAsia="Songti SC" w:cs="Songti SC"/>
          <w:color w:val="000000"/>
        </w:rPr>
        <w:t>共享数据遵循最小必要和分类分级原则，不将人脸特征、认证凭据、证件号码、联系方式、银行敏感信息以及营养健康类数据纳入普通共享范围。</w:t>
      </w:r>
    </w:p>
    <w:p w14:paraId="38456E3C">
      <w:pPr>
        <w:pStyle w:val="5"/>
        <w:rPr>
          <w:rFonts w:hint="eastAsia"/>
          <w:color w:val="000000"/>
        </w:rPr>
      </w:pPr>
      <w:r>
        <w:rPr>
          <w:rFonts w:ascii="Songti SC" w:hAnsi="Songti SC" w:eastAsia="Songti SC" w:cs="Songti SC"/>
          <w:color w:val="000000"/>
        </w:rPr>
        <w:t>前置库适配</w:t>
      </w:r>
    </w:p>
    <w:p w14:paraId="5AA2D786">
      <w:pPr>
        <w:ind w:firstLine="480"/>
        <w:rPr>
          <w:rFonts w:hint="eastAsia"/>
          <w:color w:val="000000"/>
        </w:rPr>
      </w:pPr>
      <w:r>
        <w:rPr>
          <w:rFonts w:ascii="Songti SC" w:hAnsi="Songti SC" w:eastAsia="Songti SC" w:cs="Songti SC"/>
          <w:color w:val="000000"/>
        </w:rPr>
        <w:t>前置库适配用于保障本系统与银行充值链路之间的数据中转。</w:t>
      </w:r>
    </w:p>
    <w:p w14:paraId="343326D1">
      <w:pPr>
        <w:ind w:firstLine="482"/>
        <w:rPr>
          <w:rFonts w:hint="eastAsia"/>
          <w:color w:val="000000"/>
        </w:rPr>
      </w:pPr>
      <w:r>
        <w:rPr>
          <w:rFonts w:hint="eastAsia" w:ascii="Songti SC" w:hAnsi="Songti SC" w:eastAsia="Songti SC" w:cs="Songti SC"/>
          <w:b/>
          <w:color w:val="000000"/>
        </w:rPr>
        <w:t>1.改造</w:t>
      </w:r>
      <w:r>
        <w:rPr>
          <w:rFonts w:ascii="Songti SC" w:hAnsi="Songti SC" w:eastAsia="Songti SC" w:cs="Songti SC"/>
          <w:b/>
          <w:color w:val="000000"/>
        </w:rPr>
        <w:t>内容</w:t>
      </w:r>
    </w:p>
    <w:p w14:paraId="2964F26C">
      <w:pPr>
        <w:ind w:firstLine="480"/>
        <w:rPr>
          <w:rFonts w:hint="eastAsia"/>
          <w:color w:val="000000"/>
        </w:rPr>
      </w:pPr>
      <w:r>
        <w:rPr>
          <w:rFonts w:ascii="Songti SC" w:hAnsi="Songti SC" w:eastAsia="Songti SC" w:cs="Songti SC"/>
          <w:color w:val="000000"/>
        </w:rPr>
        <w:t>确认前置库表结构、字段口径、状态枚举和处理周期。</w:t>
      </w:r>
    </w:p>
    <w:p w14:paraId="20B4F28D">
      <w:pPr>
        <w:ind w:firstLine="480"/>
        <w:rPr>
          <w:rFonts w:hint="eastAsia"/>
          <w:color w:val="000000"/>
        </w:rPr>
      </w:pPr>
      <w:r>
        <w:rPr>
          <w:rFonts w:ascii="Songti SC" w:hAnsi="Songti SC" w:eastAsia="Songti SC" w:cs="Songti SC"/>
          <w:color w:val="000000"/>
        </w:rPr>
        <w:t>适配数据库访问驱动、连接池、事务和异常处理。</w:t>
      </w:r>
    </w:p>
    <w:p w14:paraId="58C9D27A">
      <w:pPr>
        <w:ind w:firstLine="480"/>
        <w:rPr>
          <w:rFonts w:hint="eastAsia"/>
          <w:color w:val="000000"/>
        </w:rPr>
      </w:pPr>
      <w:r>
        <w:rPr>
          <w:rFonts w:ascii="Songti SC" w:hAnsi="Songti SC" w:eastAsia="Songti SC" w:cs="Songti SC"/>
          <w:color w:val="000000"/>
        </w:rPr>
        <w:t>对未处理、处理中、成功、失败、异常等状态进行闭环处理。</w:t>
      </w:r>
    </w:p>
    <w:p w14:paraId="519C888E">
      <w:pPr>
        <w:ind w:firstLine="482"/>
        <w:rPr>
          <w:rFonts w:hint="eastAsia"/>
          <w:color w:val="000000"/>
        </w:rPr>
      </w:pPr>
      <w:r>
        <w:rPr>
          <w:rFonts w:hint="eastAsia" w:ascii="Songti SC" w:hAnsi="Songti SC" w:eastAsia="Songti SC" w:cs="Songti SC"/>
          <w:b/>
          <w:color w:val="000000"/>
        </w:rPr>
        <w:t>2.</w:t>
      </w:r>
      <w:r>
        <w:rPr>
          <w:rFonts w:ascii="Songti SC" w:hAnsi="Songti SC" w:eastAsia="Songti SC" w:cs="Songti SC"/>
          <w:b/>
          <w:color w:val="000000"/>
        </w:rPr>
        <w:t>适配做法</w:t>
      </w:r>
    </w:p>
    <w:p w14:paraId="7D2FA18C">
      <w:pPr>
        <w:ind w:firstLine="480"/>
        <w:rPr>
          <w:rFonts w:hint="eastAsia"/>
          <w:color w:val="000000"/>
        </w:rPr>
      </w:pPr>
      <w:r>
        <w:rPr>
          <w:rFonts w:ascii="Songti SC" w:hAnsi="Songti SC" w:eastAsia="Songti SC" w:cs="Songti SC"/>
          <w:color w:val="000000"/>
        </w:rPr>
        <w:t>前置库只作为交互通道，不作为最终账务依据。</w:t>
      </w:r>
    </w:p>
    <w:p w14:paraId="275582A1">
      <w:pPr>
        <w:ind w:firstLine="480"/>
        <w:rPr>
          <w:rFonts w:hint="eastAsia"/>
          <w:color w:val="000000"/>
        </w:rPr>
      </w:pPr>
      <w:r>
        <w:rPr>
          <w:rFonts w:ascii="Songti SC" w:hAnsi="Songti SC" w:eastAsia="Songti SC" w:cs="Songti SC"/>
          <w:color w:val="000000"/>
        </w:rPr>
        <w:t>平台订单、前置库记录和银行状态定期比对。</w:t>
      </w:r>
    </w:p>
    <w:p w14:paraId="16811D41">
      <w:pPr>
        <w:pStyle w:val="5"/>
        <w:rPr>
          <w:rFonts w:hint="eastAsia"/>
          <w:color w:val="000000"/>
        </w:rPr>
      </w:pPr>
      <w:r>
        <w:rPr>
          <w:rFonts w:ascii="Songti SC" w:hAnsi="Songti SC" w:eastAsia="Songti SC" w:cs="Songti SC"/>
          <w:color w:val="000000"/>
        </w:rPr>
        <w:t>消费机接口适配</w:t>
      </w:r>
    </w:p>
    <w:p w14:paraId="724BF404">
      <w:pPr>
        <w:ind w:firstLine="480"/>
        <w:rPr>
          <w:rFonts w:hint="eastAsia"/>
          <w:color w:val="000000"/>
        </w:rPr>
      </w:pPr>
      <w:r>
        <w:rPr>
          <w:rFonts w:ascii="Songti SC" w:hAnsi="Songti SC" w:eastAsia="Songti SC" w:cs="Songti SC"/>
          <w:color w:val="000000"/>
        </w:rPr>
        <w:t>消费机接口适配用于保障人员同步、参数获取、交易上传、补传和状态回传稳定。</w:t>
      </w:r>
    </w:p>
    <w:p w14:paraId="66DD4080">
      <w:pPr>
        <w:ind w:firstLine="482"/>
        <w:rPr>
          <w:rFonts w:hint="eastAsia"/>
          <w:color w:val="000000"/>
        </w:rPr>
      </w:pPr>
      <w:r>
        <w:rPr>
          <w:rFonts w:hint="eastAsia" w:ascii="Songti SC" w:hAnsi="Songti SC" w:eastAsia="Songti SC" w:cs="Songti SC"/>
          <w:b/>
          <w:color w:val="000000"/>
        </w:rPr>
        <w:t>1.改造</w:t>
      </w:r>
      <w:r>
        <w:rPr>
          <w:rFonts w:ascii="Songti SC" w:hAnsi="Songti SC" w:eastAsia="Songti SC" w:cs="Songti SC"/>
          <w:b/>
          <w:color w:val="000000"/>
        </w:rPr>
        <w:t>内容</w:t>
      </w:r>
    </w:p>
    <w:p w14:paraId="510062DD">
      <w:pPr>
        <w:ind w:firstLine="480"/>
        <w:rPr>
          <w:rFonts w:hint="eastAsia"/>
          <w:color w:val="000000"/>
        </w:rPr>
      </w:pPr>
      <w:r>
        <w:rPr>
          <w:rFonts w:ascii="Songti SC" w:hAnsi="Songti SC" w:eastAsia="Songti SC" w:cs="Songti SC"/>
          <w:color w:val="000000"/>
        </w:rPr>
        <w:t>统一接口地址、设备身份、请求参数、返回码和异常说明。</w:t>
      </w:r>
    </w:p>
    <w:p w14:paraId="16DD9580">
      <w:pPr>
        <w:ind w:firstLine="480"/>
        <w:rPr>
          <w:rFonts w:hint="eastAsia"/>
          <w:color w:val="000000"/>
        </w:rPr>
      </w:pPr>
      <w:r>
        <w:rPr>
          <w:rFonts w:ascii="Songti SC" w:hAnsi="Songti SC" w:eastAsia="Songti SC" w:cs="Songti SC"/>
          <w:color w:val="000000"/>
        </w:rPr>
        <w:t>消费机上传交易后后台返回明确处理结果。</w:t>
      </w:r>
    </w:p>
    <w:p w14:paraId="4DBD017A">
      <w:pPr>
        <w:ind w:firstLine="480"/>
        <w:rPr>
          <w:rFonts w:hint="eastAsia"/>
          <w:color w:val="000000"/>
        </w:rPr>
      </w:pPr>
      <w:r>
        <w:rPr>
          <w:rFonts w:ascii="Songti SC" w:hAnsi="Songti SC" w:eastAsia="Songti SC" w:cs="Songti SC"/>
          <w:color w:val="000000"/>
        </w:rPr>
        <w:t>人员和人脸同步支持全量、增量和失败重发。</w:t>
      </w:r>
    </w:p>
    <w:p w14:paraId="66EE8514">
      <w:pPr>
        <w:ind w:firstLine="482"/>
        <w:rPr>
          <w:rFonts w:hint="eastAsia"/>
          <w:color w:val="000000"/>
        </w:rPr>
      </w:pPr>
      <w:r>
        <w:rPr>
          <w:rFonts w:hint="eastAsia" w:ascii="Songti SC" w:hAnsi="Songti SC" w:eastAsia="Songti SC" w:cs="Songti SC"/>
          <w:b/>
          <w:color w:val="000000"/>
        </w:rPr>
        <w:t>2.</w:t>
      </w:r>
      <w:r>
        <w:rPr>
          <w:rFonts w:ascii="Songti SC" w:hAnsi="Songti SC" w:eastAsia="Songti SC" w:cs="Songti SC"/>
          <w:b/>
          <w:color w:val="000000"/>
        </w:rPr>
        <w:t>适配做法</w:t>
      </w:r>
    </w:p>
    <w:p w14:paraId="67742F59">
      <w:pPr>
        <w:ind w:firstLine="480"/>
        <w:rPr>
          <w:rFonts w:hint="eastAsia"/>
          <w:color w:val="000000"/>
        </w:rPr>
      </w:pPr>
      <w:r>
        <w:rPr>
          <w:rFonts w:ascii="Songti SC" w:hAnsi="Songti SC" w:eastAsia="Songti SC" w:cs="Songti SC"/>
          <w:color w:val="000000"/>
        </w:rPr>
        <w:t>消费机接口要优先保障高峰期交易处理。</w:t>
      </w:r>
    </w:p>
    <w:p w14:paraId="6F49566D">
      <w:pPr>
        <w:ind w:firstLine="480"/>
        <w:rPr>
          <w:rFonts w:hint="eastAsia"/>
          <w:color w:val="000000"/>
        </w:rPr>
      </w:pPr>
      <w:r>
        <w:rPr>
          <w:rFonts w:ascii="Songti SC" w:hAnsi="Songti SC" w:eastAsia="Songti SC" w:cs="Songti SC"/>
          <w:color w:val="000000"/>
        </w:rPr>
        <w:t>接口异常不影响已成功订单的账务一致性。</w:t>
      </w:r>
    </w:p>
    <w:p w14:paraId="6B857F6B">
      <w:pPr>
        <w:pStyle w:val="4"/>
        <w:rPr>
          <w:rFonts w:hint="eastAsia"/>
          <w:color w:val="000000"/>
        </w:rPr>
      </w:pPr>
      <w:bookmarkStart w:id="376" w:name="_Toc2144410183"/>
      <w:bookmarkStart w:id="377" w:name="_Toc359817535"/>
      <w:bookmarkStart w:id="378" w:name="_Toc226102945"/>
      <w:r>
        <w:rPr>
          <w:rFonts w:ascii="Songti SC" w:hAnsi="Songti SC" w:eastAsia="Songti SC" w:cs="Songti SC"/>
          <w:color w:val="000000"/>
        </w:rPr>
        <w:t>多浏览器兼容适配</w:t>
      </w:r>
      <w:bookmarkEnd w:id="376"/>
      <w:bookmarkEnd w:id="377"/>
      <w:bookmarkEnd w:id="378"/>
    </w:p>
    <w:p w14:paraId="7B761465">
      <w:pPr>
        <w:ind w:firstLine="480"/>
        <w:rPr>
          <w:rFonts w:hint="eastAsia"/>
          <w:color w:val="000000"/>
        </w:rPr>
      </w:pPr>
      <w:r>
        <w:rPr>
          <w:rFonts w:ascii="Songti SC" w:hAnsi="Songti SC" w:eastAsia="Songti SC" w:cs="Songti SC"/>
          <w:color w:val="000000"/>
        </w:rPr>
        <w:t>多浏览器兼容适配重点保障政府办公环境下 PC 管理端可正常使用。适配范围包括登录、菜单、查询、表单、弹窗、日期选择、文件上传、Excel 导入、报表导出、打印预览、权限菜单和页面布局。</w:t>
      </w:r>
    </w:p>
    <w:p w14:paraId="7BF94F83">
      <w:pPr>
        <w:ind w:firstLine="480"/>
        <w:rPr>
          <w:rFonts w:hint="eastAsia"/>
          <w:color w:val="000000"/>
        </w:rPr>
      </w:pPr>
      <w:r>
        <w:rPr>
          <w:rFonts w:ascii="Songti SC" w:hAnsi="Songti SC" w:eastAsia="Songti SC" w:cs="Songti SC"/>
          <w:color w:val="000000"/>
        </w:rPr>
        <w:t>登录与会话：验证账号登录、退出、会话超时、重复登录和权限菜单加载。</w:t>
      </w:r>
    </w:p>
    <w:p w14:paraId="266C594A">
      <w:pPr>
        <w:ind w:firstLine="480"/>
        <w:rPr>
          <w:rFonts w:hint="eastAsia"/>
          <w:color w:val="000000"/>
        </w:rPr>
      </w:pPr>
      <w:r>
        <w:rPr>
          <w:rFonts w:ascii="Songti SC" w:hAnsi="Songti SC" w:eastAsia="Songti SC" w:cs="Songti SC"/>
          <w:color w:val="000000"/>
        </w:rPr>
        <w:t>基础资料维护：验证人员、部门、身份类别、餐厅、菜品、餐次等表单新增和修改。</w:t>
      </w:r>
    </w:p>
    <w:p w14:paraId="25AA39BC">
      <w:pPr>
        <w:ind w:firstLine="480"/>
        <w:rPr>
          <w:rFonts w:hint="eastAsia"/>
          <w:color w:val="000000"/>
        </w:rPr>
      </w:pPr>
      <w:r>
        <w:rPr>
          <w:rFonts w:ascii="Songti SC" w:hAnsi="Songti SC" w:eastAsia="Songti SC" w:cs="Songti SC"/>
          <w:color w:val="000000"/>
        </w:rPr>
        <w:t>批量导入导出：验证 Excel 模板下载、文件上传、错误清单下载和报表导出。</w:t>
      </w:r>
    </w:p>
    <w:p w14:paraId="0E75B093">
      <w:pPr>
        <w:ind w:firstLine="480"/>
        <w:rPr>
          <w:rFonts w:hint="eastAsia"/>
          <w:color w:val="000000"/>
        </w:rPr>
      </w:pPr>
      <w:r>
        <w:rPr>
          <w:rFonts w:ascii="Songti SC" w:hAnsi="Songti SC" w:eastAsia="Songti SC" w:cs="Songti SC"/>
          <w:color w:val="000000"/>
        </w:rPr>
        <w:t>财务业务：验证充值、批量充值、退款、补贴发放和账户流水查询。</w:t>
      </w:r>
    </w:p>
    <w:p w14:paraId="5403B19F">
      <w:pPr>
        <w:ind w:firstLine="480"/>
        <w:rPr>
          <w:rFonts w:hint="eastAsia"/>
          <w:color w:val="000000"/>
        </w:rPr>
      </w:pPr>
      <w:r>
        <w:rPr>
          <w:rFonts w:ascii="Songti SC" w:hAnsi="Songti SC" w:eastAsia="Songti SC" w:cs="Songti SC"/>
          <w:color w:val="000000"/>
        </w:rPr>
        <w:t>报表查询：验证日期选择、组合筛选、分页、汇总、下钻和导出。</w:t>
      </w:r>
    </w:p>
    <w:p w14:paraId="2CC1FFC6">
      <w:pPr>
        <w:ind w:firstLine="480"/>
        <w:rPr>
          <w:rFonts w:hint="eastAsia"/>
          <w:color w:val="000000"/>
        </w:rPr>
      </w:pPr>
      <w:r>
        <w:rPr>
          <w:rFonts w:ascii="Songti SC" w:hAnsi="Songti SC" w:eastAsia="Songti SC" w:cs="Songti SC"/>
          <w:color w:val="000000"/>
        </w:rPr>
        <w:t>消费机管理：验证消费机台账、状态查询、参数下发、同步记录和异常日志展示。</w:t>
      </w:r>
    </w:p>
    <w:p w14:paraId="297E0EB2">
      <w:pPr>
        <w:pStyle w:val="4"/>
        <w:rPr>
          <w:rFonts w:hint="eastAsia"/>
          <w:color w:val="000000"/>
          <w:lang w:eastAsia="zh-CN"/>
        </w:rPr>
      </w:pPr>
      <w:bookmarkStart w:id="379" w:name="_Toc1213625072"/>
      <w:bookmarkStart w:id="380" w:name="_Toc139360793"/>
      <w:bookmarkStart w:id="381" w:name="_Toc2031381727"/>
      <w:r>
        <w:rPr>
          <w:rFonts w:ascii="Songti SC" w:hAnsi="Songti SC" w:eastAsia="Songti SC" w:cs="Songti SC"/>
          <w:color w:val="000000"/>
          <w:lang w:eastAsia="zh-CN"/>
        </w:rPr>
        <w:t>安全与商用密码应用适配</w:t>
      </w:r>
      <w:bookmarkEnd w:id="379"/>
      <w:bookmarkEnd w:id="380"/>
      <w:bookmarkEnd w:id="381"/>
    </w:p>
    <w:p w14:paraId="64068C3E">
      <w:pPr>
        <w:ind w:firstLine="480"/>
        <w:rPr>
          <w:rFonts w:hint="eastAsia"/>
          <w:color w:val="000000"/>
        </w:rPr>
      </w:pPr>
      <w:r>
        <w:rPr>
          <w:rFonts w:ascii="Songti SC" w:hAnsi="Songti SC" w:eastAsia="Songti SC" w:cs="Songti SC"/>
          <w:color w:val="000000"/>
        </w:rPr>
        <w:t>安全与商用密码应用适配围绕身份鉴别、访问控制、通信保护、数据保护、操作留痕和运行监控展开。方案重点是把安全要求落实到系统日常业务中，使人员信息、账户余额、充值记录、消费记录、人脸信息和接口交互得到保护。</w:t>
      </w:r>
    </w:p>
    <w:p w14:paraId="6A3F0E99">
      <w:pPr>
        <w:ind w:firstLine="480"/>
        <w:rPr>
          <w:rFonts w:hint="eastAsia"/>
          <w:color w:val="000000"/>
        </w:rPr>
      </w:pPr>
      <w:r>
        <w:rPr>
          <w:rFonts w:ascii="Songti SC" w:hAnsi="Songti SC" w:eastAsia="Songti SC" w:cs="Songti SC"/>
          <w:color w:val="000000"/>
        </w:rPr>
        <w:t>身份鉴别：管理端账号按岗位分配，关键账号加强密码和登录限制；消费机访问通过设备身份控制。</w:t>
      </w:r>
    </w:p>
    <w:p w14:paraId="101FE8E3">
      <w:pPr>
        <w:ind w:firstLine="480"/>
        <w:rPr>
          <w:rFonts w:hint="eastAsia"/>
          <w:color w:val="000000"/>
        </w:rPr>
      </w:pPr>
      <w:r>
        <w:rPr>
          <w:rFonts w:ascii="Songti SC" w:hAnsi="Songti SC" w:eastAsia="Songti SC" w:cs="Songti SC"/>
          <w:color w:val="000000"/>
        </w:rPr>
        <w:t>访问控制：按角色、办公区、部门、餐厅、和功能菜单控制访问范围。</w:t>
      </w:r>
    </w:p>
    <w:p w14:paraId="3336161F">
      <w:pPr>
        <w:ind w:firstLine="480"/>
        <w:rPr>
          <w:rFonts w:hint="eastAsia"/>
          <w:color w:val="000000"/>
        </w:rPr>
      </w:pPr>
      <w:r>
        <w:rPr>
          <w:rFonts w:ascii="Songti SC" w:hAnsi="Songti SC" w:eastAsia="Songti SC" w:cs="Songti SC"/>
          <w:color w:val="000000"/>
        </w:rPr>
        <w:t>通信保护：管理端、小程序端、消费机和外部接口采用安全通信方式，接口请求支持时间戳、签名或防重放机制。</w:t>
      </w:r>
    </w:p>
    <w:p w14:paraId="3CFB6BF1">
      <w:pPr>
        <w:ind w:firstLine="480"/>
        <w:rPr>
          <w:rFonts w:hint="eastAsia"/>
          <w:color w:val="000000"/>
        </w:rPr>
      </w:pPr>
      <w:r>
        <w:rPr>
          <w:rFonts w:ascii="Songti SC" w:hAnsi="Songti SC" w:eastAsia="Songti SC" w:cs="Songti SC"/>
          <w:color w:val="000000"/>
        </w:rPr>
        <w:t>数据保护：人员、手机号、卡号、人脸、余额、交易照片等敏感信息按权限展示，导出操作留痕。</w:t>
      </w:r>
    </w:p>
    <w:p w14:paraId="1468DDBC">
      <w:pPr>
        <w:ind w:firstLine="480"/>
        <w:rPr>
          <w:rFonts w:hint="eastAsia"/>
          <w:color w:val="000000"/>
        </w:rPr>
      </w:pPr>
      <w:r>
        <w:rPr>
          <w:rFonts w:ascii="Songti SC" w:hAnsi="Songti SC" w:eastAsia="Songti SC" w:cs="Songti SC"/>
          <w:color w:val="000000"/>
        </w:rPr>
        <w:t>操作留痕：登录、导入、充值、退款、补贴、策略调整、消费机参数调整、异常处理等关键动作记录完整。</w:t>
      </w:r>
    </w:p>
    <w:p w14:paraId="160F3F54">
      <w:pPr>
        <w:ind w:firstLine="480"/>
        <w:rPr>
          <w:rFonts w:hint="eastAsia"/>
          <w:color w:val="000000"/>
        </w:rPr>
      </w:pPr>
      <w:r>
        <w:rPr>
          <w:rFonts w:ascii="Songti SC" w:hAnsi="Songti SC" w:eastAsia="Songti SC" w:cs="Songti SC"/>
          <w:color w:val="000000"/>
        </w:rPr>
        <w:t>备份恢复：对数据库、配置文件、上传文件、人脸文件、报表文件和日志文件建立备份策略。</w:t>
      </w:r>
    </w:p>
    <w:p w14:paraId="61FD3EAC">
      <w:pPr>
        <w:ind w:firstLine="480"/>
        <w:rPr>
          <w:rFonts w:hint="eastAsia"/>
          <w:color w:val="000000"/>
        </w:rPr>
      </w:pPr>
      <w:r>
        <w:rPr>
          <w:rFonts w:ascii="Songti SC" w:hAnsi="Songti SC" w:eastAsia="Songti SC" w:cs="Songti SC"/>
          <w:color w:val="000000"/>
        </w:rPr>
        <w:t>监控告警：关注服务状态、数据库状态、接口异常、消费机离线、补传积压、对账差异和任务失败。</w:t>
      </w:r>
    </w:p>
    <w:p w14:paraId="4B5A3F6D">
      <w:pPr>
        <w:ind w:firstLine="480"/>
        <w:rPr>
          <w:rFonts w:hint="eastAsia"/>
          <w:color w:val="000000"/>
        </w:rPr>
      </w:pPr>
      <w:r>
        <w:rPr>
          <w:rFonts w:ascii="Songti SC" w:hAnsi="Songti SC" w:eastAsia="Songti SC" w:cs="Songti SC"/>
          <w:color w:val="000000"/>
        </w:rPr>
        <w:br w:type="page"/>
      </w:r>
    </w:p>
    <w:p w14:paraId="60400480">
      <w:pPr>
        <w:pStyle w:val="3"/>
        <w:rPr>
          <w:rFonts w:hint="eastAsia"/>
          <w:color w:val="000000"/>
          <w:lang w:eastAsia="zh-CN"/>
        </w:rPr>
      </w:pPr>
      <w:bookmarkStart w:id="382" w:name="_Toc1479672721"/>
      <w:bookmarkStart w:id="383" w:name="_Toc596905898"/>
      <w:bookmarkStart w:id="384" w:name="_Toc737665683"/>
      <w:r>
        <w:rPr>
          <w:rFonts w:ascii="Songti SC" w:hAnsi="Songti SC" w:eastAsia="Songti SC" w:cs="Songti SC"/>
          <w:color w:val="000000"/>
          <w:lang w:eastAsia="zh-CN"/>
        </w:rPr>
        <w:t>上线切换与运行保障方案</w:t>
      </w:r>
      <w:bookmarkEnd w:id="382"/>
      <w:bookmarkEnd w:id="383"/>
      <w:bookmarkEnd w:id="384"/>
    </w:p>
    <w:p w14:paraId="12F97C6B">
      <w:pPr>
        <w:pStyle w:val="4"/>
        <w:rPr>
          <w:rFonts w:hint="eastAsia"/>
          <w:color w:val="000000"/>
        </w:rPr>
      </w:pPr>
      <w:bookmarkStart w:id="385" w:name="_Toc524040050"/>
      <w:bookmarkStart w:id="386" w:name="_Toc1301312549"/>
      <w:bookmarkStart w:id="387" w:name="_Toc998789587"/>
      <w:r>
        <w:rPr>
          <w:rFonts w:ascii="Songti SC" w:hAnsi="Songti SC" w:eastAsia="Songti SC" w:cs="Songti SC"/>
          <w:color w:val="000000"/>
        </w:rPr>
        <w:t>实施阶段安排</w:t>
      </w:r>
      <w:bookmarkEnd w:id="385"/>
      <w:bookmarkEnd w:id="386"/>
      <w:bookmarkEnd w:id="387"/>
    </w:p>
    <w:p w14:paraId="0826C727">
      <w:pPr>
        <w:pStyle w:val="5"/>
        <w:rPr>
          <w:rFonts w:hint="eastAsia"/>
          <w:color w:val="000000"/>
        </w:rPr>
      </w:pPr>
      <w:r>
        <w:rPr>
          <w:rFonts w:ascii="Songti SC" w:hAnsi="Songti SC" w:eastAsia="Songti SC" w:cs="Songti SC"/>
          <w:color w:val="000000"/>
        </w:rPr>
        <w:t>启动与范围确认</w:t>
      </w:r>
    </w:p>
    <w:p w14:paraId="52B2D213">
      <w:pPr>
        <w:ind w:firstLine="480"/>
        <w:rPr>
          <w:rFonts w:hint="eastAsia"/>
          <w:color w:val="000000"/>
        </w:rPr>
      </w:pPr>
      <w:r>
        <w:rPr>
          <w:rFonts w:ascii="Songti SC" w:hAnsi="Songti SC" w:eastAsia="Songti SC" w:cs="Songti SC"/>
          <w:color w:val="000000"/>
        </w:rPr>
        <w:t>确认办公区范围、服务人数、现有消费终端台账、终端更新范围、接口边界、历史数据承接范围和上线窗口。</w:t>
      </w:r>
    </w:p>
    <w:p w14:paraId="3131F181">
      <w:pPr>
        <w:ind w:firstLine="482"/>
        <w:rPr>
          <w:rFonts w:hint="eastAsia"/>
          <w:color w:val="000000"/>
        </w:rPr>
      </w:pPr>
      <w:r>
        <w:rPr>
          <w:rFonts w:hint="eastAsia" w:ascii="Songti SC" w:hAnsi="Songti SC" w:eastAsia="Songti SC" w:cs="Songti SC"/>
          <w:b/>
          <w:color w:val="000000"/>
        </w:rPr>
        <w:t>1.实施</w:t>
      </w:r>
      <w:r>
        <w:rPr>
          <w:rFonts w:ascii="Songti SC" w:hAnsi="Songti SC" w:eastAsia="Songti SC" w:cs="Songti SC"/>
          <w:b/>
          <w:color w:val="000000"/>
        </w:rPr>
        <w:t>内容</w:t>
      </w:r>
    </w:p>
    <w:p w14:paraId="640AAA18">
      <w:pPr>
        <w:ind w:firstLine="480"/>
        <w:rPr>
          <w:rFonts w:hint="eastAsia"/>
          <w:color w:val="000000"/>
        </w:rPr>
      </w:pPr>
      <w:r>
        <w:rPr>
          <w:rFonts w:ascii="Songti SC" w:hAnsi="Songti SC" w:eastAsia="Songti SC" w:cs="Songti SC"/>
          <w:color w:val="000000"/>
        </w:rPr>
        <w:t>形成办公区、餐厅、人员、消费机和接口清单。</w:t>
      </w:r>
    </w:p>
    <w:p w14:paraId="082C3875">
      <w:pPr>
        <w:ind w:firstLine="480"/>
        <w:rPr>
          <w:rFonts w:hint="eastAsia"/>
          <w:color w:val="000000"/>
        </w:rPr>
      </w:pPr>
      <w:r>
        <w:rPr>
          <w:rFonts w:ascii="Songti SC" w:hAnsi="Songti SC" w:eastAsia="Songti SC" w:cs="Songti SC"/>
          <w:color w:val="000000"/>
        </w:rPr>
        <w:t>确认55台消费终端的更新方式、接入要求和分批实施安排。</w:t>
      </w:r>
    </w:p>
    <w:p w14:paraId="237E9CE6">
      <w:pPr>
        <w:ind w:firstLine="480"/>
        <w:rPr>
          <w:rFonts w:hint="eastAsia"/>
          <w:color w:val="000000"/>
        </w:rPr>
      </w:pPr>
      <w:r>
        <w:rPr>
          <w:rFonts w:ascii="Songti SC" w:hAnsi="Songti SC" w:eastAsia="Songti SC" w:cs="Songti SC"/>
          <w:color w:val="000000"/>
        </w:rPr>
        <w:t>确认工商银行和大数据平台交互不改变业务边界。</w:t>
      </w:r>
    </w:p>
    <w:p w14:paraId="4B55E677">
      <w:pPr>
        <w:ind w:firstLine="482"/>
        <w:rPr>
          <w:rFonts w:hint="eastAsia"/>
          <w:color w:val="000000"/>
        </w:rPr>
      </w:pPr>
      <w:r>
        <w:rPr>
          <w:rFonts w:hint="eastAsia" w:ascii="Songti SC" w:hAnsi="Songti SC" w:eastAsia="Songti SC" w:cs="Songti SC"/>
          <w:b/>
          <w:color w:val="000000"/>
        </w:rPr>
        <w:t>2.</w:t>
      </w:r>
      <w:r>
        <w:rPr>
          <w:rFonts w:ascii="Songti SC" w:hAnsi="Songti SC" w:eastAsia="Songti SC" w:cs="Songti SC"/>
          <w:b/>
          <w:color w:val="000000"/>
        </w:rPr>
        <w:t>适配做法</w:t>
      </w:r>
    </w:p>
    <w:p w14:paraId="397744F0">
      <w:pPr>
        <w:ind w:firstLine="480"/>
        <w:rPr>
          <w:rFonts w:hint="eastAsia"/>
          <w:color w:val="000000"/>
        </w:rPr>
      </w:pPr>
      <w:r>
        <w:rPr>
          <w:rFonts w:ascii="Songti SC" w:hAnsi="Songti SC" w:eastAsia="Songti SC" w:cs="Songti SC"/>
          <w:color w:val="000000"/>
        </w:rPr>
        <w:t>范围确认后冻结方案口径，避免后续材料将项目表述为新建系统或单纯硬件采购项目。</w:t>
      </w:r>
    </w:p>
    <w:p w14:paraId="2F9C7FA2">
      <w:pPr>
        <w:ind w:firstLine="480"/>
        <w:rPr>
          <w:rFonts w:hint="eastAsia"/>
          <w:color w:val="000000"/>
        </w:rPr>
      </w:pPr>
      <w:r>
        <w:rPr>
          <w:rFonts w:ascii="Songti SC" w:hAnsi="Songti SC" w:eastAsia="Songti SC" w:cs="Songti SC"/>
          <w:color w:val="000000"/>
        </w:rPr>
        <w:t>启动阶段同步确认联系人和沟通机制。</w:t>
      </w:r>
    </w:p>
    <w:p w14:paraId="21D93887">
      <w:pPr>
        <w:pStyle w:val="5"/>
        <w:rPr>
          <w:rFonts w:hint="eastAsia"/>
          <w:color w:val="000000"/>
        </w:rPr>
      </w:pPr>
      <w:r>
        <w:rPr>
          <w:rFonts w:ascii="Songti SC" w:hAnsi="Songti SC" w:eastAsia="Songti SC" w:cs="Songti SC"/>
          <w:color w:val="000000"/>
        </w:rPr>
        <w:t>目标运行环境部署</w:t>
      </w:r>
    </w:p>
    <w:p w14:paraId="255A623E">
      <w:pPr>
        <w:ind w:firstLine="480"/>
        <w:rPr>
          <w:rFonts w:hint="eastAsia"/>
          <w:color w:val="000000"/>
        </w:rPr>
      </w:pPr>
      <w:r>
        <w:rPr>
          <w:rFonts w:ascii="Songti SC" w:hAnsi="Songti SC" w:eastAsia="Songti SC" w:cs="Songti SC"/>
          <w:color w:val="000000"/>
        </w:rPr>
        <w:t>完成政务云资源、目标国产服务器操作系统、GBase 8s V8.8、金蝶中间件及PHP应用运行环境部署。</w:t>
      </w:r>
    </w:p>
    <w:p w14:paraId="1777BE24">
      <w:pPr>
        <w:ind w:firstLine="482"/>
        <w:rPr>
          <w:rFonts w:hint="eastAsia"/>
          <w:color w:val="000000"/>
        </w:rPr>
      </w:pPr>
      <w:r>
        <w:rPr>
          <w:rFonts w:hint="eastAsia" w:ascii="Songti SC" w:hAnsi="Songti SC" w:eastAsia="Songti SC" w:cs="Songti SC"/>
          <w:b/>
          <w:color w:val="000000"/>
        </w:rPr>
        <w:t>1.实施</w:t>
      </w:r>
      <w:r>
        <w:rPr>
          <w:rFonts w:ascii="Songti SC" w:hAnsi="Songti SC" w:eastAsia="Songti SC" w:cs="Songti SC"/>
          <w:b/>
          <w:color w:val="000000"/>
        </w:rPr>
        <w:t>内容</w:t>
      </w:r>
    </w:p>
    <w:p w14:paraId="67C627D8">
      <w:pPr>
        <w:ind w:firstLine="480"/>
        <w:rPr>
          <w:rFonts w:hint="eastAsia"/>
          <w:color w:val="000000"/>
        </w:rPr>
      </w:pPr>
      <w:r>
        <w:rPr>
          <w:rFonts w:ascii="Songti SC" w:hAnsi="Songti SC" w:eastAsia="Songti SC" w:cs="Songti SC"/>
          <w:color w:val="000000"/>
        </w:rPr>
        <w:t>配置网络、安全策略、证书、目录、账户、备份空间和日志路径。</w:t>
      </w:r>
    </w:p>
    <w:p w14:paraId="37F36F39">
      <w:pPr>
        <w:ind w:firstLine="480"/>
        <w:rPr>
          <w:rFonts w:hint="eastAsia"/>
          <w:color w:val="000000"/>
        </w:rPr>
      </w:pPr>
      <w:r>
        <w:rPr>
          <w:rFonts w:ascii="Songti SC" w:hAnsi="Songti SC" w:eastAsia="Songti SC" w:cs="Songti SC"/>
          <w:color w:val="000000"/>
        </w:rPr>
        <w:t>部署 PC 管理端、小程序接口、消费机接口和后台任务。</w:t>
      </w:r>
    </w:p>
    <w:p w14:paraId="10FEAAD0">
      <w:pPr>
        <w:ind w:firstLine="480"/>
        <w:rPr>
          <w:rFonts w:hint="eastAsia"/>
          <w:color w:val="000000"/>
        </w:rPr>
      </w:pPr>
      <w:r>
        <w:rPr>
          <w:rFonts w:ascii="Songti SC" w:hAnsi="Songti SC" w:eastAsia="Songti SC" w:cs="Songti SC"/>
          <w:color w:val="000000"/>
        </w:rPr>
        <w:t>完成基础访问和健康检查。</w:t>
      </w:r>
    </w:p>
    <w:p w14:paraId="14EB9D85">
      <w:pPr>
        <w:ind w:firstLine="482"/>
        <w:rPr>
          <w:rFonts w:hint="eastAsia"/>
          <w:color w:val="000000"/>
        </w:rPr>
      </w:pPr>
      <w:r>
        <w:rPr>
          <w:rFonts w:hint="eastAsia" w:ascii="Songti SC" w:hAnsi="Songti SC" w:eastAsia="Songti SC" w:cs="Songti SC"/>
          <w:b/>
          <w:color w:val="000000"/>
        </w:rPr>
        <w:t>2.</w:t>
      </w:r>
      <w:r>
        <w:rPr>
          <w:rFonts w:ascii="Songti SC" w:hAnsi="Songti SC" w:eastAsia="Songti SC" w:cs="Songti SC"/>
          <w:b/>
          <w:color w:val="000000"/>
        </w:rPr>
        <w:t>适配做法</w:t>
      </w:r>
    </w:p>
    <w:p w14:paraId="2E06B462">
      <w:pPr>
        <w:ind w:firstLine="480"/>
        <w:rPr>
          <w:rFonts w:hint="eastAsia"/>
          <w:color w:val="000000"/>
        </w:rPr>
      </w:pPr>
      <w:r>
        <w:rPr>
          <w:rFonts w:ascii="Songti SC" w:hAnsi="Songti SC" w:eastAsia="Songti SC" w:cs="Songti SC"/>
          <w:color w:val="000000"/>
        </w:rPr>
        <w:t>环境部署后先验证系统可启动、页面可访问、接口可通、日志可写。</w:t>
      </w:r>
    </w:p>
    <w:p w14:paraId="5242EEDD">
      <w:pPr>
        <w:ind w:firstLine="480"/>
        <w:rPr>
          <w:rFonts w:hint="eastAsia"/>
          <w:color w:val="000000"/>
        </w:rPr>
      </w:pPr>
      <w:r>
        <w:rPr>
          <w:rFonts w:ascii="Songti SC" w:hAnsi="Songti SC" w:eastAsia="Songti SC" w:cs="Songti SC"/>
          <w:color w:val="000000"/>
        </w:rPr>
        <w:t>所有环境参数纳入配置管理。</w:t>
      </w:r>
    </w:p>
    <w:p w14:paraId="6CD27743">
      <w:pPr>
        <w:pStyle w:val="5"/>
        <w:rPr>
          <w:rFonts w:hint="eastAsia"/>
          <w:color w:val="000000"/>
        </w:rPr>
      </w:pPr>
      <w:r>
        <w:rPr>
          <w:rFonts w:ascii="Songti SC" w:hAnsi="Songti SC" w:eastAsia="Songti SC" w:cs="Songti SC"/>
          <w:color w:val="000000"/>
        </w:rPr>
        <w:t>平台功能适配</w:t>
      </w:r>
    </w:p>
    <w:p w14:paraId="61364384">
      <w:pPr>
        <w:ind w:firstLine="480"/>
        <w:rPr>
          <w:rFonts w:hint="eastAsia"/>
          <w:color w:val="000000"/>
        </w:rPr>
      </w:pPr>
      <w:r>
        <w:rPr>
          <w:rFonts w:ascii="Songti SC" w:hAnsi="Songti SC" w:eastAsia="Songti SC" w:cs="Songti SC"/>
          <w:color w:val="000000"/>
        </w:rPr>
        <w:t>完成 PC 管理端、小程序端、财务、报表、权限、日志等功能适配。</w:t>
      </w:r>
    </w:p>
    <w:p w14:paraId="79C91AA8">
      <w:pPr>
        <w:ind w:firstLine="482"/>
        <w:rPr>
          <w:rFonts w:hint="eastAsia"/>
          <w:color w:val="000000"/>
        </w:rPr>
      </w:pPr>
      <w:r>
        <w:rPr>
          <w:rFonts w:hint="eastAsia" w:ascii="Songti SC" w:hAnsi="Songti SC" w:eastAsia="Songti SC" w:cs="Songti SC"/>
          <w:b/>
          <w:color w:val="000000"/>
        </w:rPr>
        <w:t>1.实施</w:t>
      </w:r>
      <w:r>
        <w:rPr>
          <w:rFonts w:ascii="Songti SC" w:hAnsi="Songti SC" w:eastAsia="Songti SC" w:cs="Songti SC"/>
          <w:b/>
          <w:color w:val="000000"/>
        </w:rPr>
        <w:t>内容</w:t>
      </w:r>
    </w:p>
    <w:p w14:paraId="33109AF7">
      <w:pPr>
        <w:ind w:firstLine="480"/>
        <w:rPr>
          <w:rFonts w:hint="eastAsia"/>
          <w:color w:val="000000"/>
        </w:rPr>
      </w:pPr>
      <w:r>
        <w:rPr>
          <w:rFonts w:ascii="Songti SC" w:hAnsi="Songti SC" w:eastAsia="Songti SC" w:cs="Songti SC"/>
          <w:color w:val="000000"/>
        </w:rPr>
        <w:t>逐项验证人员、账户、充值、补贴、消费、订单、报表和权限。</w:t>
      </w:r>
    </w:p>
    <w:p w14:paraId="1F15B9FE">
      <w:pPr>
        <w:ind w:firstLine="480"/>
        <w:rPr>
          <w:rFonts w:hint="eastAsia"/>
          <w:color w:val="000000"/>
        </w:rPr>
      </w:pPr>
      <w:r>
        <w:rPr>
          <w:rFonts w:ascii="Songti SC" w:hAnsi="Songti SC" w:eastAsia="Songti SC" w:cs="Songti SC"/>
          <w:color w:val="000000"/>
        </w:rPr>
        <w:t>验证导入导出、图片访问、报表生成和消息通知。</w:t>
      </w:r>
    </w:p>
    <w:p w14:paraId="1F8D0AF6">
      <w:pPr>
        <w:ind w:firstLine="480"/>
        <w:rPr>
          <w:rFonts w:hint="eastAsia"/>
          <w:color w:val="000000"/>
        </w:rPr>
      </w:pPr>
      <w:r>
        <w:rPr>
          <w:rFonts w:ascii="Songti SC" w:hAnsi="Songti SC" w:eastAsia="Songti SC" w:cs="Songti SC"/>
          <w:color w:val="000000"/>
        </w:rPr>
        <w:t>验证现有办公浏览器兼容性。</w:t>
      </w:r>
    </w:p>
    <w:p w14:paraId="00EA3000">
      <w:pPr>
        <w:ind w:firstLine="482"/>
        <w:rPr>
          <w:rFonts w:hint="eastAsia"/>
          <w:color w:val="000000"/>
        </w:rPr>
      </w:pPr>
      <w:r>
        <w:rPr>
          <w:rFonts w:hint="eastAsia" w:ascii="Songti SC" w:hAnsi="Songti SC" w:eastAsia="Songti SC" w:cs="Songti SC"/>
          <w:b/>
          <w:color w:val="000000"/>
        </w:rPr>
        <w:t>2.</w:t>
      </w:r>
      <w:r>
        <w:rPr>
          <w:rFonts w:ascii="Songti SC" w:hAnsi="Songti SC" w:eastAsia="Songti SC" w:cs="Songti SC"/>
          <w:b/>
          <w:color w:val="000000"/>
        </w:rPr>
        <w:t>适配做法</w:t>
      </w:r>
    </w:p>
    <w:p w14:paraId="33401F0E">
      <w:pPr>
        <w:ind w:firstLine="480"/>
        <w:rPr>
          <w:rFonts w:hint="eastAsia"/>
          <w:color w:val="000000"/>
        </w:rPr>
      </w:pPr>
      <w:r>
        <w:rPr>
          <w:rFonts w:ascii="Songti SC" w:hAnsi="Songti SC" w:eastAsia="Songti SC" w:cs="Songti SC"/>
          <w:color w:val="000000"/>
        </w:rPr>
        <w:t>优先保障高频业务和财务链路，再处理低频统计优化。</w:t>
      </w:r>
    </w:p>
    <w:p w14:paraId="3DF438A0">
      <w:pPr>
        <w:ind w:firstLine="480"/>
        <w:rPr>
          <w:rFonts w:hint="eastAsia"/>
          <w:color w:val="000000"/>
        </w:rPr>
      </w:pPr>
      <w:r>
        <w:rPr>
          <w:rFonts w:ascii="Songti SC" w:hAnsi="Songti SC" w:eastAsia="Songti SC" w:cs="Songti SC"/>
          <w:color w:val="000000"/>
        </w:rPr>
        <w:t>功能问题按影响范围排序处理。</w:t>
      </w:r>
    </w:p>
    <w:p w14:paraId="5D2D1D9D">
      <w:pPr>
        <w:pStyle w:val="5"/>
        <w:rPr>
          <w:rFonts w:hint="eastAsia"/>
          <w:color w:val="000000"/>
        </w:rPr>
      </w:pPr>
      <w:r>
        <w:rPr>
          <w:rFonts w:ascii="Songti SC" w:hAnsi="Songti SC" w:eastAsia="Songti SC" w:cs="Songti SC"/>
          <w:color w:val="000000"/>
        </w:rPr>
        <w:t>接口与消费机联调</w:t>
      </w:r>
    </w:p>
    <w:p w14:paraId="26D5FD22">
      <w:pPr>
        <w:ind w:firstLine="480"/>
        <w:rPr>
          <w:rFonts w:hint="eastAsia"/>
          <w:color w:val="000000"/>
        </w:rPr>
      </w:pPr>
      <w:r>
        <w:rPr>
          <w:rFonts w:ascii="Songti SC" w:hAnsi="Songti SC" w:eastAsia="Songti SC" w:cs="Songti SC"/>
          <w:color w:val="000000"/>
        </w:rPr>
        <w:t>完成工商银行、</w:t>
      </w:r>
      <w:r>
        <w:rPr>
          <w:rFonts w:hint="eastAsia" w:ascii="Songti SC" w:hAnsi="Songti SC" w:eastAsia="Songti SC" w:cs="Songti SC"/>
          <w:color w:val="000000"/>
          <w:lang w:eastAsia="zh-CN"/>
        </w:rPr>
        <w:t>大数据交互平台</w:t>
      </w:r>
      <w:r>
        <w:rPr>
          <w:rFonts w:ascii="Songti SC" w:hAnsi="Songti SC" w:eastAsia="Songti SC" w:cs="Songti SC"/>
          <w:color w:val="000000"/>
        </w:rPr>
        <w:t>、前置库和消费机软件功能联调。</w:t>
      </w:r>
    </w:p>
    <w:p w14:paraId="7A5CC6CF">
      <w:pPr>
        <w:ind w:firstLine="482"/>
        <w:rPr>
          <w:rFonts w:hint="eastAsia"/>
          <w:color w:val="000000"/>
        </w:rPr>
      </w:pPr>
      <w:r>
        <w:rPr>
          <w:rFonts w:hint="eastAsia" w:ascii="Songti SC" w:hAnsi="Songti SC" w:eastAsia="Songti SC" w:cs="Songti SC"/>
          <w:b/>
          <w:color w:val="000000"/>
        </w:rPr>
        <w:t>1.实施</w:t>
      </w:r>
      <w:r>
        <w:rPr>
          <w:rFonts w:ascii="Songti SC" w:hAnsi="Songti SC" w:eastAsia="Songti SC" w:cs="Songti SC"/>
          <w:b/>
          <w:color w:val="000000"/>
        </w:rPr>
        <w:t>内容</w:t>
      </w:r>
    </w:p>
    <w:p w14:paraId="5443DBA6">
      <w:pPr>
        <w:ind w:firstLine="480"/>
        <w:rPr>
          <w:rFonts w:hint="eastAsia"/>
          <w:color w:val="000000"/>
        </w:rPr>
      </w:pPr>
      <w:r>
        <w:rPr>
          <w:rFonts w:ascii="Songti SC" w:hAnsi="Songti SC" w:eastAsia="Songti SC" w:cs="Songti SC"/>
          <w:color w:val="000000"/>
        </w:rPr>
        <w:t>验证充值发起、回调、回查、对账和异常处理。</w:t>
      </w:r>
    </w:p>
    <w:p w14:paraId="4A4E513C">
      <w:pPr>
        <w:ind w:firstLine="480"/>
        <w:rPr>
          <w:rFonts w:hint="eastAsia"/>
          <w:color w:val="000000"/>
        </w:rPr>
      </w:pPr>
      <w:r>
        <w:rPr>
          <w:rFonts w:ascii="Songti SC" w:hAnsi="Songti SC" w:eastAsia="Songti SC" w:cs="Songti SC"/>
          <w:color w:val="000000"/>
        </w:rPr>
        <w:t>验证消费机人员同步、人脸同步、刷卡、扫码、人脸、离线补传和状态监测。</w:t>
      </w:r>
    </w:p>
    <w:p w14:paraId="398F5426">
      <w:pPr>
        <w:ind w:firstLine="480"/>
        <w:rPr>
          <w:rFonts w:hint="eastAsia"/>
          <w:color w:val="000000"/>
        </w:rPr>
      </w:pPr>
      <w:r>
        <w:rPr>
          <w:rFonts w:ascii="Songti SC" w:hAnsi="Songti SC" w:eastAsia="Songti SC" w:cs="Songti SC"/>
          <w:color w:val="000000"/>
        </w:rPr>
        <w:t>按办公区逐步确认消费机接入状态。</w:t>
      </w:r>
    </w:p>
    <w:p w14:paraId="4A9BF81E">
      <w:pPr>
        <w:ind w:firstLine="482"/>
        <w:rPr>
          <w:rFonts w:hint="eastAsia"/>
          <w:color w:val="000000"/>
        </w:rPr>
      </w:pPr>
      <w:r>
        <w:rPr>
          <w:rFonts w:hint="eastAsia" w:ascii="Songti SC" w:hAnsi="Songti SC" w:eastAsia="Songti SC" w:cs="Songti SC"/>
          <w:b/>
          <w:color w:val="000000"/>
        </w:rPr>
        <w:t>2.</w:t>
      </w:r>
      <w:r>
        <w:rPr>
          <w:rFonts w:ascii="Songti SC" w:hAnsi="Songti SC" w:eastAsia="Songti SC" w:cs="Songti SC"/>
          <w:b/>
          <w:color w:val="000000"/>
        </w:rPr>
        <w:t>适配做法</w:t>
      </w:r>
    </w:p>
    <w:p w14:paraId="5C8A6738">
      <w:pPr>
        <w:ind w:firstLine="480"/>
        <w:rPr>
          <w:rFonts w:hint="eastAsia"/>
          <w:color w:val="000000"/>
        </w:rPr>
      </w:pPr>
      <w:r>
        <w:rPr>
          <w:rFonts w:ascii="Songti SC" w:hAnsi="Songti SC" w:eastAsia="Songti SC" w:cs="Songti SC"/>
          <w:color w:val="000000"/>
        </w:rPr>
        <w:t>消费终端联调应覆盖更新后的设备接入、参数配置和业务功能验证。</w:t>
      </w:r>
    </w:p>
    <w:p w14:paraId="44A6C4C2">
      <w:pPr>
        <w:ind w:firstLine="480"/>
        <w:rPr>
          <w:rFonts w:hint="eastAsia"/>
          <w:color w:val="000000"/>
        </w:rPr>
      </w:pPr>
      <w:r>
        <w:rPr>
          <w:rFonts w:ascii="Songti SC" w:hAnsi="Songti SC" w:eastAsia="Songti SC" w:cs="Songti SC"/>
          <w:color w:val="000000"/>
        </w:rPr>
        <w:t>充值和消费链路必须形成完整流水。</w:t>
      </w:r>
    </w:p>
    <w:p w14:paraId="4CD71227">
      <w:pPr>
        <w:pStyle w:val="5"/>
        <w:rPr>
          <w:rFonts w:hint="eastAsia"/>
          <w:color w:val="000000"/>
        </w:rPr>
      </w:pPr>
      <w:r>
        <w:rPr>
          <w:rFonts w:ascii="Songti SC" w:hAnsi="Songti SC" w:eastAsia="Songti SC" w:cs="Songti SC"/>
          <w:color w:val="000000"/>
        </w:rPr>
        <w:t>上线切换与试运行</w:t>
      </w:r>
    </w:p>
    <w:p w14:paraId="71E04D8A">
      <w:pPr>
        <w:ind w:firstLine="480"/>
        <w:rPr>
          <w:rFonts w:hint="eastAsia"/>
          <w:color w:val="000000"/>
        </w:rPr>
      </w:pPr>
      <w:r>
        <w:rPr>
          <w:rFonts w:ascii="Songti SC" w:hAnsi="Songti SC" w:eastAsia="Songti SC" w:cs="Songti SC"/>
          <w:color w:val="000000"/>
        </w:rPr>
        <w:t>在业务低峰窗口完成正式切换，并在试运行期进行重点保障。</w:t>
      </w:r>
    </w:p>
    <w:p w14:paraId="450B8C23">
      <w:pPr>
        <w:ind w:firstLine="482"/>
        <w:rPr>
          <w:rFonts w:hint="eastAsia"/>
          <w:color w:val="000000"/>
        </w:rPr>
      </w:pPr>
      <w:r>
        <w:rPr>
          <w:rFonts w:hint="eastAsia" w:ascii="Songti SC" w:hAnsi="Songti SC" w:eastAsia="Songti SC" w:cs="Songti SC"/>
          <w:b/>
          <w:color w:val="000000"/>
        </w:rPr>
        <w:t>1.实施</w:t>
      </w:r>
      <w:r>
        <w:rPr>
          <w:rFonts w:ascii="Songti SC" w:hAnsi="Songti SC" w:eastAsia="Songti SC" w:cs="Songti SC"/>
          <w:b/>
          <w:color w:val="000000"/>
        </w:rPr>
        <w:t>内容</w:t>
      </w:r>
    </w:p>
    <w:p w14:paraId="670BEEDB">
      <w:pPr>
        <w:ind w:firstLine="480"/>
        <w:rPr>
          <w:rFonts w:hint="eastAsia"/>
          <w:color w:val="000000"/>
        </w:rPr>
      </w:pPr>
      <w:r>
        <w:rPr>
          <w:rFonts w:ascii="Songti SC" w:hAnsi="Songti SC" w:eastAsia="Songti SC" w:cs="Songti SC"/>
          <w:color w:val="000000"/>
        </w:rPr>
        <w:t>切换前完成备份、配置确认、联系人确认和回退准备。</w:t>
      </w:r>
    </w:p>
    <w:p w14:paraId="4FD74716">
      <w:pPr>
        <w:ind w:firstLine="480"/>
        <w:rPr>
          <w:rFonts w:hint="eastAsia"/>
          <w:color w:val="000000"/>
        </w:rPr>
      </w:pPr>
      <w:r>
        <w:rPr>
          <w:rFonts w:ascii="Songti SC" w:hAnsi="Songti SC" w:eastAsia="Songti SC" w:cs="Songti SC"/>
          <w:color w:val="000000"/>
        </w:rPr>
        <w:t>切换后重点观察登录、充值、消费、余额、报表、消费机在线和补传情况。</w:t>
      </w:r>
    </w:p>
    <w:p w14:paraId="10CEF6AE">
      <w:pPr>
        <w:ind w:firstLine="480"/>
        <w:rPr>
          <w:rFonts w:hint="eastAsia"/>
          <w:color w:val="000000"/>
        </w:rPr>
      </w:pPr>
      <w:r>
        <w:rPr>
          <w:rFonts w:ascii="Songti SC" w:hAnsi="Songti SC" w:eastAsia="Songti SC" w:cs="Songti SC"/>
          <w:color w:val="000000"/>
        </w:rPr>
        <w:t>试运行期间每日处理问题并更新运行记录。</w:t>
      </w:r>
    </w:p>
    <w:p w14:paraId="6EDA22F6">
      <w:pPr>
        <w:ind w:firstLine="482"/>
        <w:rPr>
          <w:rFonts w:hint="eastAsia"/>
          <w:color w:val="000000"/>
        </w:rPr>
      </w:pPr>
      <w:r>
        <w:rPr>
          <w:rFonts w:hint="eastAsia" w:ascii="Songti SC" w:hAnsi="Songti SC" w:eastAsia="Songti SC" w:cs="Songti SC"/>
          <w:b/>
          <w:color w:val="000000"/>
        </w:rPr>
        <w:t>2.</w:t>
      </w:r>
      <w:r>
        <w:rPr>
          <w:rFonts w:ascii="Songti SC" w:hAnsi="Songti SC" w:eastAsia="Songti SC" w:cs="Songti SC"/>
          <w:b/>
          <w:color w:val="000000"/>
        </w:rPr>
        <w:t>适配做法</w:t>
      </w:r>
    </w:p>
    <w:p w14:paraId="417C2896">
      <w:pPr>
        <w:ind w:firstLine="480"/>
        <w:rPr>
          <w:rFonts w:hint="eastAsia"/>
          <w:color w:val="000000"/>
        </w:rPr>
      </w:pPr>
      <w:r>
        <w:rPr>
          <w:rFonts w:ascii="Songti SC" w:hAnsi="Songti SC" w:eastAsia="Songti SC" w:cs="Songti SC"/>
          <w:color w:val="000000"/>
        </w:rPr>
        <w:t>试运行关注业务连续，不把日常问题扩大为新建设范围。</w:t>
      </w:r>
    </w:p>
    <w:p w14:paraId="532DC7A6">
      <w:pPr>
        <w:ind w:firstLine="480"/>
        <w:rPr>
          <w:rFonts w:hint="eastAsia"/>
          <w:color w:val="000000"/>
        </w:rPr>
      </w:pPr>
      <w:r>
        <w:rPr>
          <w:rFonts w:ascii="Songti SC" w:hAnsi="Songti SC" w:eastAsia="Songti SC" w:cs="Songti SC"/>
          <w:color w:val="000000"/>
        </w:rPr>
        <w:t>重大问题先止损、再定位、再修复。</w:t>
      </w:r>
    </w:p>
    <w:p w14:paraId="1E511E3F">
      <w:pPr>
        <w:pStyle w:val="4"/>
        <w:rPr>
          <w:rFonts w:hint="eastAsia"/>
          <w:color w:val="000000"/>
        </w:rPr>
      </w:pPr>
      <w:bookmarkStart w:id="388" w:name="_Toc1186549995"/>
      <w:bookmarkStart w:id="389" w:name="_Toc1924403757"/>
      <w:bookmarkStart w:id="390" w:name="_Toc710684003"/>
      <w:r>
        <w:rPr>
          <w:rFonts w:ascii="Songti SC" w:hAnsi="Songti SC" w:eastAsia="Songti SC" w:cs="Songti SC"/>
          <w:color w:val="000000"/>
        </w:rPr>
        <w:t>组织协同安排</w:t>
      </w:r>
      <w:bookmarkEnd w:id="388"/>
      <w:bookmarkEnd w:id="389"/>
      <w:bookmarkEnd w:id="390"/>
    </w:p>
    <w:p w14:paraId="290222CA">
      <w:pPr>
        <w:ind w:firstLine="480"/>
        <w:rPr>
          <w:rFonts w:hint="eastAsia"/>
          <w:color w:val="000000"/>
        </w:rPr>
      </w:pPr>
      <w:r>
        <w:rPr>
          <w:rFonts w:ascii="Songti SC" w:hAnsi="Songti SC" w:eastAsia="Songti SC" w:cs="Songti SC"/>
          <w:color w:val="000000"/>
        </w:rPr>
        <w:t>项目推进需要建设单位、运维单位、系统实施单位、网络安全支撑单位、银行及大数据平台接口相关方协同。各方围绕业务连续、账务一致、接口联通和消费机可用开展工作，避免职责交叉造成问题无人闭环。</w:t>
      </w:r>
    </w:p>
    <w:p w14:paraId="51FD794C">
      <w:pPr>
        <w:ind w:firstLine="480"/>
        <w:rPr>
          <w:rFonts w:hint="eastAsia"/>
          <w:color w:val="000000"/>
        </w:rPr>
      </w:pPr>
      <w:r>
        <w:rPr>
          <w:rFonts w:ascii="Songti SC" w:hAnsi="Songti SC" w:eastAsia="Songti SC" w:cs="Songti SC"/>
          <w:color w:val="000000"/>
        </w:rPr>
        <w:t>业务管理组负责确认人员、部门、身份类别、餐厅、消费策略、补贴规则和报表口径。</w:t>
      </w:r>
    </w:p>
    <w:p w14:paraId="04233141">
      <w:pPr>
        <w:ind w:firstLine="480"/>
        <w:rPr>
          <w:rFonts w:hint="eastAsia"/>
          <w:color w:val="000000"/>
        </w:rPr>
      </w:pPr>
      <w:r>
        <w:rPr>
          <w:rFonts w:ascii="Songti SC" w:hAnsi="Songti SC" w:eastAsia="Songti SC" w:cs="Songti SC"/>
          <w:color w:val="000000"/>
        </w:rPr>
        <w:t>财务管理组负责确认充值、退款、补贴、余额、对账和结算口径。</w:t>
      </w:r>
    </w:p>
    <w:p w14:paraId="55253984">
      <w:pPr>
        <w:ind w:firstLine="480"/>
        <w:rPr>
          <w:rFonts w:hint="eastAsia"/>
          <w:color w:val="000000"/>
        </w:rPr>
      </w:pPr>
      <w:r>
        <w:rPr>
          <w:rFonts w:ascii="Songti SC" w:hAnsi="Songti SC" w:eastAsia="Songti SC" w:cs="Songti SC"/>
          <w:color w:val="000000"/>
        </w:rPr>
        <w:t>系统实施组负责兼容适配、应用部署、功能改造、数据承接和问题处理。</w:t>
      </w:r>
    </w:p>
    <w:p w14:paraId="101C71EB">
      <w:pPr>
        <w:ind w:firstLine="480"/>
        <w:rPr>
          <w:rFonts w:hint="eastAsia"/>
          <w:color w:val="000000"/>
        </w:rPr>
      </w:pPr>
      <w:r>
        <w:rPr>
          <w:rFonts w:ascii="Songti SC" w:hAnsi="Songti SC" w:eastAsia="Songti SC" w:cs="Songti SC"/>
          <w:color w:val="000000"/>
        </w:rPr>
        <w:t>接口联调组负责工商银行、</w:t>
      </w:r>
      <w:r>
        <w:rPr>
          <w:rFonts w:hint="eastAsia" w:ascii="Songti SC" w:hAnsi="Songti SC" w:eastAsia="Songti SC" w:cs="Songti SC"/>
          <w:color w:val="000000"/>
          <w:lang w:eastAsia="zh-CN"/>
        </w:rPr>
        <w:t>大数据交互平台</w:t>
      </w:r>
      <w:r>
        <w:rPr>
          <w:rFonts w:ascii="Songti SC" w:hAnsi="Songti SC" w:eastAsia="Songti SC" w:cs="Songti SC"/>
          <w:color w:val="000000"/>
        </w:rPr>
        <w:t>、前置库和小程序充值链路联通。</w:t>
      </w:r>
    </w:p>
    <w:p w14:paraId="2E4B0C9A">
      <w:pPr>
        <w:ind w:firstLine="480"/>
        <w:rPr>
          <w:rFonts w:hint="eastAsia"/>
          <w:color w:val="000000"/>
        </w:rPr>
      </w:pPr>
      <w:r>
        <w:rPr>
          <w:rFonts w:ascii="Songti SC" w:hAnsi="Songti SC" w:eastAsia="Songti SC" w:cs="Songti SC"/>
          <w:color w:val="000000"/>
        </w:rPr>
        <w:t>消费机联通组负责消费机台账、服务地址、参数、同步、交易、补传和状态监测。</w:t>
      </w:r>
    </w:p>
    <w:p w14:paraId="102F4DAF">
      <w:pPr>
        <w:ind w:firstLine="480"/>
        <w:rPr>
          <w:rFonts w:hint="eastAsia"/>
          <w:color w:val="000000"/>
        </w:rPr>
      </w:pPr>
      <w:r>
        <w:rPr>
          <w:rFonts w:ascii="Songti SC" w:hAnsi="Songti SC" w:eastAsia="Songti SC" w:cs="Songti SC"/>
          <w:color w:val="000000"/>
        </w:rPr>
        <w:t>安全运维组负责账号权限、网络策略、证书、日志、备份、监控和应急处理。</w:t>
      </w:r>
    </w:p>
    <w:p w14:paraId="01C3EEF8">
      <w:pPr>
        <w:pStyle w:val="4"/>
        <w:rPr>
          <w:rFonts w:hint="eastAsia"/>
          <w:color w:val="000000"/>
        </w:rPr>
      </w:pPr>
      <w:bookmarkStart w:id="391" w:name="_Toc161993807"/>
      <w:bookmarkStart w:id="392" w:name="_Toc202736432"/>
      <w:bookmarkStart w:id="393" w:name="_Toc812619923"/>
      <w:r>
        <w:rPr>
          <w:rFonts w:ascii="Songti SC" w:hAnsi="Songti SC" w:eastAsia="Songti SC" w:cs="Songti SC"/>
          <w:color w:val="000000"/>
        </w:rPr>
        <w:t>运行监测安排</w:t>
      </w:r>
      <w:bookmarkEnd w:id="391"/>
      <w:bookmarkEnd w:id="392"/>
      <w:bookmarkEnd w:id="393"/>
    </w:p>
    <w:p w14:paraId="54B36301">
      <w:pPr>
        <w:ind w:firstLine="480"/>
        <w:rPr>
          <w:rFonts w:hint="eastAsia"/>
          <w:color w:val="000000"/>
        </w:rPr>
      </w:pPr>
      <w:r>
        <w:rPr>
          <w:rFonts w:ascii="Songti SC" w:hAnsi="Songti SC" w:eastAsia="Songti SC" w:cs="Songti SC"/>
          <w:color w:val="000000"/>
        </w:rPr>
        <w:t>上线后运行监测围绕系统服务、数据库、接口、消费机、充值、消费、报表和后台任务展开。监测结果用于及时发现问题、定位问题和闭环处理，保障系统在集中办公区日常就餐场景中稳定运行。</w:t>
      </w:r>
    </w:p>
    <w:p w14:paraId="00E9FF14">
      <w:pPr>
        <w:ind w:firstLine="480"/>
        <w:rPr>
          <w:rFonts w:hint="eastAsia"/>
          <w:color w:val="000000"/>
        </w:rPr>
      </w:pPr>
      <w:r>
        <w:rPr>
          <w:rFonts w:ascii="Songti SC" w:hAnsi="Songti SC" w:eastAsia="Songti SC" w:cs="Songti SC"/>
          <w:color w:val="000000"/>
        </w:rPr>
        <w:t>系统服务监测：关注服务是否可访问、响应是否正常、错误日志是否增长。</w:t>
      </w:r>
    </w:p>
    <w:p w14:paraId="2BEB40FD">
      <w:pPr>
        <w:ind w:firstLine="480"/>
        <w:rPr>
          <w:rFonts w:hint="eastAsia"/>
          <w:color w:val="000000"/>
        </w:rPr>
      </w:pPr>
      <w:r>
        <w:rPr>
          <w:rFonts w:ascii="Songti SC" w:hAnsi="Songti SC" w:eastAsia="Songti SC" w:cs="Songti SC"/>
          <w:color w:val="000000"/>
        </w:rPr>
        <w:t>数据库监测：关注连接数、慢查询、备份任务、表空间和关键报表查询。</w:t>
      </w:r>
    </w:p>
    <w:p w14:paraId="7B28EF84">
      <w:pPr>
        <w:ind w:firstLine="480"/>
        <w:rPr>
          <w:rFonts w:hint="eastAsia"/>
          <w:color w:val="000000"/>
        </w:rPr>
      </w:pPr>
      <w:r>
        <w:rPr>
          <w:rFonts w:ascii="Songti SC" w:hAnsi="Songti SC" w:eastAsia="Songti SC" w:cs="Songti SC"/>
          <w:color w:val="000000"/>
        </w:rPr>
        <w:t>接口监测：关注银行充值、大数据平台、前置库、消费机接口成功率和异常原因。</w:t>
      </w:r>
    </w:p>
    <w:p w14:paraId="6C799CD7">
      <w:pPr>
        <w:ind w:firstLine="480"/>
        <w:rPr>
          <w:rFonts w:hint="eastAsia"/>
          <w:color w:val="000000"/>
        </w:rPr>
      </w:pPr>
      <w:r>
        <w:rPr>
          <w:rFonts w:ascii="Songti SC" w:hAnsi="Songti SC" w:eastAsia="Songti SC" w:cs="Songti SC"/>
          <w:color w:val="000000"/>
        </w:rPr>
        <w:t>消费机监测：关注在线率、最近心跳、最近交易、离线补传积压和异常码。</w:t>
      </w:r>
    </w:p>
    <w:p w14:paraId="1082CC55">
      <w:pPr>
        <w:ind w:firstLine="480"/>
        <w:rPr>
          <w:rFonts w:hint="eastAsia"/>
          <w:color w:val="000000"/>
        </w:rPr>
      </w:pPr>
      <w:r>
        <w:rPr>
          <w:rFonts w:ascii="Songti SC" w:hAnsi="Songti SC" w:eastAsia="Songti SC" w:cs="Songti SC"/>
          <w:color w:val="000000"/>
        </w:rPr>
        <w:t>账务监测：关注充值未完成订单、对账差异、余额异常、重复扣款和退款处理。</w:t>
      </w:r>
    </w:p>
    <w:p w14:paraId="04E5A5D6">
      <w:pPr>
        <w:ind w:firstLine="480"/>
        <w:rPr>
          <w:rFonts w:hint="eastAsia"/>
          <w:color w:val="000000"/>
        </w:rPr>
      </w:pPr>
      <w:r>
        <w:rPr>
          <w:rFonts w:ascii="Songti SC" w:hAnsi="Songti SC" w:eastAsia="Songti SC" w:cs="Songti SC"/>
          <w:color w:val="000000"/>
        </w:rPr>
        <w:t>任务监测：关注补贴发放、补贴失效、订单结算、导出任务、清理任务和备份任务。</w:t>
      </w:r>
    </w:p>
    <w:p w14:paraId="7917A4C2">
      <w:pPr>
        <w:pStyle w:val="4"/>
        <w:rPr>
          <w:rFonts w:hint="eastAsia"/>
          <w:color w:val="000000"/>
        </w:rPr>
      </w:pPr>
      <w:bookmarkStart w:id="394" w:name="_Toc1854534588"/>
      <w:bookmarkStart w:id="395" w:name="_Toc1482148482"/>
      <w:bookmarkStart w:id="396" w:name="_Toc1768133500"/>
      <w:r>
        <w:rPr>
          <w:rFonts w:ascii="Songti SC" w:hAnsi="Songti SC" w:eastAsia="Songti SC" w:cs="Songti SC"/>
          <w:color w:val="000000"/>
        </w:rPr>
        <w:t>培训与交接安排</w:t>
      </w:r>
      <w:bookmarkEnd w:id="394"/>
      <w:bookmarkEnd w:id="395"/>
      <w:bookmarkEnd w:id="396"/>
    </w:p>
    <w:p w14:paraId="1B189227">
      <w:pPr>
        <w:ind w:firstLine="480"/>
        <w:rPr>
          <w:rFonts w:hint="eastAsia"/>
          <w:color w:val="000000"/>
        </w:rPr>
      </w:pPr>
      <w:r>
        <w:rPr>
          <w:rFonts w:ascii="Songti SC" w:hAnsi="Songti SC" w:eastAsia="Songti SC" w:cs="Songti SC"/>
          <w:color w:val="000000"/>
        </w:rPr>
        <w:t>培训与交接面向业务管理人员、财务人员、运维人员和现场支持人员开展。培训内容以实际工作场景为主，避免过度技术化表达，使建设单位业务与后勤管理人员能够理解系统变化、办理日常业务、识别常见问题。</w:t>
      </w:r>
    </w:p>
    <w:p w14:paraId="18AB9665">
      <w:pPr>
        <w:ind w:firstLine="480"/>
        <w:rPr>
          <w:rFonts w:hint="eastAsia"/>
          <w:color w:val="000000"/>
        </w:rPr>
      </w:pPr>
      <w:r>
        <w:rPr>
          <w:rFonts w:ascii="Songti SC" w:hAnsi="Songti SC" w:eastAsia="Songti SC" w:cs="Songti SC"/>
          <w:color w:val="000000"/>
        </w:rPr>
        <w:t>业务管理培训：人员注册、批量导入、身份类别、挂失、离职、消费权限和消费机同步状态查询。</w:t>
      </w:r>
    </w:p>
    <w:p w14:paraId="09B56B53">
      <w:pPr>
        <w:ind w:firstLine="480"/>
        <w:rPr>
          <w:rFonts w:hint="eastAsia"/>
          <w:color w:val="000000"/>
        </w:rPr>
      </w:pPr>
      <w:r>
        <w:rPr>
          <w:rFonts w:ascii="Songti SC" w:hAnsi="Songti SC" w:eastAsia="Songti SC" w:cs="Songti SC"/>
          <w:color w:val="000000"/>
        </w:rPr>
        <w:t>财务管理培训：充值、批量充值、补贴发放、退款、余额查询、对账和报表导出。</w:t>
      </w:r>
    </w:p>
    <w:p w14:paraId="0FE2FF56">
      <w:pPr>
        <w:ind w:firstLine="480"/>
        <w:rPr>
          <w:rFonts w:hint="eastAsia"/>
          <w:color w:val="000000"/>
        </w:rPr>
      </w:pPr>
      <w:r>
        <w:rPr>
          <w:rFonts w:ascii="Songti SC" w:hAnsi="Songti SC" w:eastAsia="Songti SC" w:cs="Songti SC"/>
          <w:color w:val="000000"/>
        </w:rPr>
        <w:t>运行维护培训：系统登录、账号权限、配置参数、日志查询、消费机状态、接口异常和备份检查。</w:t>
      </w:r>
    </w:p>
    <w:p w14:paraId="126A31DB">
      <w:pPr>
        <w:ind w:firstLine="480"/>
        <w:rPr>
          <w:rFonts w:hint="eastAsia"/>
          <w:color w:val="000000"/>
        </w:rPr>
      </w:pPr>
      <w:r>
        <w:rPr>
          <w:rFonts w:ascii="Songti SC" w:hAnsi="Songti SC" w:eastAsia="Songti SC" w:cs="Songti SC"/>
          <w:color w:val="000000"/>
        </w:rPr>
        <w:t>现场支持培训：消费机服务地址、人员同步、交易失败、离线补传、状态上报和常见故障定位。</w:t>
      </w:r>
    </w:p>
    <w:p w14:paraId="0F074719">
      <w:pPr>
        <w:ind w:firstLine="480"/>
        <w:rPr>
          <w:rFonts w:hint="eastAsia"/>
          <w:color w:val="000000"/>
        </w:rPr>
      </w:pPr>
      <w:r>
        <w:rPr>
          <w:rFonts w:ascii="Songti SC" w:hAnsi="Songti SC" w:eastAsia="Songti SC" w:cs="Songti SC"/>
          <w:color w:val="000000"/>
        </w:rPr>
        <w:t>领导汇报支持：提供经营概览、餐厅消费汇总、部门消费统计、消费机运行情况和充值消费趋势的查询路径。</w:t>
      </w:r>
    </w:p>
    <w:p w14:paraId="253F47D3">
      <w:pPr>
        <w:pStyle w:val="4"/>
        <w:rPr>
          <w:rFonts w:hint="eastAsia"/>
          <w:color w:val="000000"/>
        </w:rPr>
      </w:pPr>
      <w:bookmarkStart w:id="397" w:name="_Toc1806715421"/>
      <w:bookmarkStart w:id="398" w:name="_Toc141027314"/>
      <w:bookmarkStart w:id="399" w:name="_Toc585167958"/>
      <w:r>
        <w:rPr>
          <w:rFonts w:ascii="Songti SC" w:hAnsi="Songti SC" w:eastAsia="Songti SC" w:cs="Songti SC"/>
          <w:color w:val="000000"/>
        </w:rPr>
        <w:t>风险控制安排</w:t>
      </w:r>
      <w:bookmarkEnd w:id="397"/>
      <w:bookmarkEnd w:id="398"/>
      <w:bookmarkEnd w:id="399"/>
    </w:p>
    <w:p w14:paraId="07B336E8">
      <w:pPr>
        <w:ind w:firstLine="480"/>
        <w:rPr>
          <w:rFonts w:hint="eastAsia"/>
          <w:color w:val="000000"/>
        </w:rPr>
      </w:pPr>
      <w:r>
        <w:rPr>
          <w:rFonts w:ascii="Songti SC" w:hAnsi="Songti SC" w:eastAsia="Songti SC" w:cs="Songti SC"/>
          <w:color w:val="000000"/>
        </w:rPr>
        <w:t>风险控制围绕建设过程中最容易影响服务的环节展开，包括数据承接、充值接口、消费机联通、数据库性能、人员状态同步和上线切换。每类风险都应提前设置预防措施和处置路径。</w:t>
      </w:r>
    </w:p>
    <w:p w14:paraId="014E202D">
      <w:pPr>
        <w:ind w:firstLine="480"/>
        <w:rPr>
          <w:rFonts w:hint="eastAsia"/>
          <w:color w:val="000000"/>
        </w:rPr>
      </w:pPr>
      <w:r>
        <w:rPr>
          <w:rFonts w:ascii="Songti SC" w:hAnsi="Songti SC" w:eastAsia="Songti SC" w:cs="Songti SC"/>
          <w:color w:val="000000"/>
        </w:rPr>
        <w:t>数据风险：通过承接校验、全量核对、增量同步和多口径核对降低数据差异风险。</w:t>
      </w:r>
    </w:p>
    <w:p w14:paraId="2D35132C">
      <w:pPr>
        <w:ind w:firstLine="480"/>
        <w:rPr>
          <w:rFonts w:hint="eastAsia"/>
          <w:color w:val="000000"/>
        </w:rPr>
      </w:pPr>
      <w:r>
        <w:rPr>
          <w:rFonts w:ascii="Songti SC" w:hAnsi="Songti SC" w:eastAsia="Songti SC" w:cs="Songti SC"/>
          <w:color w:val="000000"/>
        </w:rPr>
        <w:t>账务风险：对充值、消费、退款、补贴和补传设置唯一流水和状态闭环，防止重复入账或漏入账。</w:t>
      </w:r>
    </w:p>
    <w:p w14:paraId="682D5AFF">
      <w:pPr>
        <w:ind w:firstLine="480"/>
        <w:rPr>
          <w:rFonts w:hint="eastAsia"/>
          <w:color w:val="000000"/>
        </w:rPr>
      </w:pPr>
      <w:r>
        <w:rPr>
          <w:rFonts w:ascii="Songti SC" w:hAnsi="Songti SC" w:eastAsia="Songti SC" w:cs="Songti SC"/>
          <w:color w:val="000000"/>
        </w:rPr>
        <w:t>接口风险：对银行和大数据平台交互设置超时、重试、回查、对账和异常清单。</w:t>
      </w:r>
    </w:p>
    <w:p w14:paraId="2F08D014">
      <w:pPr>
        <w:ind w:firstLine="480"/>
        <w:rPr>
          <w:rFonts w:hint="eastAsia"/>
          <w:color w:val="000000"/>
        </w:rPr>
      </w:pPr>
      <w:r>
        <w:rPr>
          <w:rFonts w:ascii="Songti SC" w:hAnsi="Songti SC" w:eastAsia="Songti SC" w:cs="Songti SC"/>
          <w:color w:val="000000"/>
        </w:rPr>
        <w:t>消费机风险：按办公区逐台确认服务地址、心跳、人员同步、交易和补传，避免集中切换后大面积不可用。</w:t>
      </w:r>
    </w:p>
    <w:p w14:paraId="00234C90">
      <w:pPr>
        <w:ind w:firstLine="480"/>
        <w:rPr>
          <w:rFonts w:hint="eastAsia"/>
          <w:color w:val="000000"/>
        </w:rPr>
      </w:pPr>
      <w:r>
        <w:rPr>
          <w:rFonts w:ascii="Songti SC" w:hAnsi="Songti SC" w:eastAsia="Songti SC" w:cs="Songti SC"/>
          <w:color w:val="000000"/>
        </w:rPr>
        <w:t>性能风险：对高频查询、报表导出、导入任务和交易高峰进行优化和分时处理。</w:t>
      </w:r>
    </w:p>
    <w:p w14:paraId="653CD3C0">
      <w:pPr>
        <w:ind w:firstLine="480"/>
        <w:rPr>
          <w:rFonts w:hint="eastAsia"/>
          <w:color w:val="000000"/>
        </w:rPr>
      </w:pPr>
      <w:r>
        <w:rPr>
          <w:rFonts w:ascii="Songti SC" w:hAnsi="Songti SC" w:eastAsia="Songti SC" w:cs="Songti SC"/>
          <w:color w:val="000000"/>
        </w:rPr>
        <w:t>操作风险：关键操作设置权限控制、二次确认和日志留痕，减少误导入、误充值、误离职和误改策略。</w:t>
      </w:r>
    </w:p>
    <w:p w14:paraId="699469BB">
      <w:pPr>
        <w:pStyle w:val="4"/>
        <w:rPr>
          <w:rFonts w:hint="eastAsia"/>
          <w:color w:val="000000"/>
        </w:rPr>
      </w:pPr>
      <w:bookmarkStart w:id="400" w:name="_Toc1590250493"/>
      <w:bookmarkStart w:id="401" w:name="_Toc47312167"/>
      <w:bookmarkStart w:id="402" w:name="_Toc1571603757"/>
      <w:r>
        <w:rPr>
          <w:rFonts w:ascii="Songti SC" w:hAnsi="Songti SC" w:eastAsia="Songti SC" w:cs="Songti SC"/>
          <w:color w:val="000000"/>
        </w:rPr>
        <w:t>详细落地工作分解</w:t>
      </w:r>
      <w:bookmarkEnd w:id="400"/>
      <w:bookmarkEnd w:id="401"/>
      <w:bookmarkEnd w:id="402"/>
    </w:p>
    <w:p w14:paraId="7DA91242">
      <w:pPr>
        <w:ind w:firstLine="480"/>
        <w:rPr>
          <w:rFonts w:hint="eastAsia"/>
          <w:color w:val="000000"/>
        </w:rPr>
      </w:pPr>
      <w:r>
        <w:rPr>
          <w:rFonts w:ascii="Songti SC" w:hAnsi="Songti SC" w:eastAsia="Songti SC" w:cs="Songti SC"/>
          <w:color w:val="000000"/>
        </w:rPr>
        <w:t>本节将前述建设内容进一步拆解为可执行工作项，作为项目实施时的任务拆解参考。</w:t>
      </w:r>
    </w:p>
    <w:p w14:paraId="5A2E5A52">
      <w:pPr>
        <w:numPr>
          <w:ilvl w:val="0"/>
          <w:numId w:val="47"/>
        </w:numPr>
        <w:ind w:firstLineChars="0"/>
        <w:rPr>
          <w:rFonts w:hint="eastAsia"/>
          <w:color w:val="000000"/>
        </w:rPr>
      </w:pPr>
      <w:r>
        <w:rPr>
          <w:rFonts w:ascii="Songti SC" w:hAnsi="Songti SC" w:eastAsia="Songti SC" w:cs="Songti SC"/>
          <w:b/>
          <w:color w:val="000000"/>
        </w:rPr>
        <w:t>建设范围确认</w:t>
      </w:r>
    </w:p>
    <w:p w14:paraId="3F4BEECE">
      <w:pPr>
        <w:ind w:firstLine="482"/>
        <w:rPr>
          <w:rFonts w:hint="eastAsia"/>
          <w:color w:val="000000"/>
        </w:rPr>
      </w:pPr>
      <w:r>
        <w:rPr>
          <w:rFonts w:ascii="Songti SC" w:hAnsi="Songti SC" w:eastAsia="Songti SC" w:cs="Songti SC"/>
          <w:b/>
          <w:color w:val="000000"/>
        </w:rPr>
        <w:t>工作目标：建设单位统筹目标国产基础软件兼容适配、业务平台替代升级及安全密码合规工作，督促承建单位落实技术措施、提交验证材料，并组织测评评估和结果复核。</w:t>
      </w:r>
    </w:p>
    <w:p w14:paraId="5F1527B4">
      <w:pPr>
        <w:ind w:firstLine="482"/>
        <w:rPr>
          <w:rFonts w:hint="eastAsia"/>
          <w:color w:val="000000"/>
        </w:rPr>
      </w:pPr>
      <w:r>
        <w:rPr>
          <w:rFonts w:ascii="Songti SC" w:hAnsi="Songti SC" w:eastAsia="Songti SC" w:cs="Songti SC"/>
          <w:b/>
          <w:color w:val="000000"/>
        </w:rPr>
        <w:t>具体做法</w:t>
      </w:r>
    </w:p>
    <w:p w14:paraId="49A1208C">
      <w:pPr>
        <w:ind w:firstLine="480"/>
        <w:rPr>
          <w:rFonts w:hint="eastAsia"/>
          <w:color w:val="000000"/>
        </w:rPr>
      </w:pPr>
      <w:r>
        <w:rPr>
          <w:rFonts w:ascii="Songti SC" w:hAnsi="Songti SC" w:eastAsia="Songti SC" w:cs="Songti SC"/>
          <w:color w:val="000000"/>
        </w:rPr>
        <w:t>确认服务范围覆盖 17 个集中办公区。</w:t>
      </w:r>
    </w:p>
    <w:p w14:paraId="456A73E0">
      <w:pPr>
        <w:ind w:firstLine="480"/>
        <w:rPr>
          <w:rFonts w:hint="eastAsia"/>
          <w:color w:val="000000"/>
        </w:rPr>
      </w:pPr>
      <w:r>
        <w:rPr>
          <w:rFonts w:ascii="Songti SC" w:hAnsi="Songti SC" w:eastAsia="Songti SC" w:cs="Songti SC"/>
          <w:color w:val="000000"/>
        </w:rPr>
        <w:t>确认核心业务包括人员、账户、充值、补贴、消费、订单、报表和财务结算。</w:t>
      </w:r>
    </w:p>
    <w:p w14:paraId="1FEC2A20">
      <w:pPr>
        <w:ind w:firstLine="480"/>
        <w:rPr>
          <w:rFonts w:hint="eastAsia"/>
          <w:color w:val="000000"/>
        </w:rPr>
      </w:pPr>
      <w:r>
        <w:rPr>
          <w:rFonts w:ascii="Songti SC" w:hAnsi="Songti SC" w:eastAsia="Songti SC" w:cs="Songti SC"/>
          <w:color w:val="000000"/>
        </w:rPr>
        <w:t>确认55台消费终端更新及软件功能适配方案。</w:t>
      </w:r>
    </w:p>
    <w:p w14:paraId="4218C79F">
      <w:pPr>
        <w:ind w:firstLine="482"/>
        <w:rPr>
          <w:rFonts w:hint="eastAsia"/>
          <w:color w:val="000000"/>
        </w:rPr>
      </w:pPr>
      <w:r>
        <w:rPr>
          <w:rFonts w:ascii="Songti SC" w:hAnsi="Songti SC" w:eastAsia="Songti SC" w:cs="Songti SC"/>
          <w:b/>
          <w:color w:val="000000"/>
        </w:rPr>
        <w:t>兼容适配关注</w:t>
      </w:r>
    </w:p>
    <w:p w14:paraId="4BAEE8DE">
      <w:pPr>
        <w:ind w:firstLine="480"/>
        <w:rPr>
          <w:rFonts w:hint="eastAsia"/>
          <w:color w:val="000000"/>
        </w:rPr>
      </w:pPr>
      <w:r>
        <w:rPr>
          <w:rFonts w:ascii="Songti SC" w:hAnsi="Songti SC" w:eastAsia="Songti SC" w:cs="Songti SC"/>
          <w:color w:val="000000"/>
        </w:rPr>
        <w:t>兼容适配范围包括操作系统、数据库、中间件、应用和接口适配，并同步完成55台消费终端更新及接入适配。</w:t>
      </w:r>
    </w:p>
    <w:p w14:paraId="102858C7">
      <w:pPr>
        <w:ind w:firstLine="482"/>
        <w:rPr>
          <w:rFonts w:hint="eastAsia"/>
          <w:color w:val="000000"/>
        </w:rPr>
      </w:pPr>
      <w:r>
        <w:rPr>
          <w:rFonts w:ascii="Songti SC" w:hAnsi="Songti SC" w:eastAsia="Songti SC" w:cs="Songti SC"/>
          <w:b/>
          <w:color w:val="000000"/>
        </w:rPr>
        <w:t>运行关注</w:t>
      </w:r>
    </w:p>
    <w:p w14:paraId="76E292BF">
      <w:pPr>
        <w:ind w:firstLine="480"/>
        <w:rPr>
          <w:rFonts w:hint="eastAsia"/>
          <w:color w:val="000000"/>
        </w:rPr>
      </w:pPr>
      <w:r>
        <w:rPr>
          <w:rFonts w:ascii="Songti SC" w:hAnsi="Songti SC" w:eastAsia="Songti SC" w:cs="Songti SC"/>
          <w:color w:val="000000"/>
        </w:rPr>
        <w:t>后续新增需求需单独评估，避免影响切换主线。</w:t>
      </w:r>
    </w:p>
    <w:p w14:paraId="6D249C06">
      <w:pPr>
        <w:ind w:firstLine="480"/>
        <w:rPr>
          <w:rFonts w:hint="eastAsia"/>
          <w:color w:val="000000"/>
        </w:rPr>
      </w:pPr>
      <w:r>
        <w:rPr>
          <w:rFonts w:ascii="Songti SC" w:hAnsi="Songti SC" w:eastAsia="Songti SC" w:cs="Songti SC"/>
          <w:color w:val="000000"/>
        </w:rPr>
        <w:t>范围变化应先评估对预算、工期和业务连续的影响。</w:t>
      </w:r>
    </w:p>
    <w:p w14:paraId="30828F16">
      <w:pPr>
        <w:numPr>
          <w:ilvl w:val="0"/>
          <w:numId w:val="47"/>
        </w:numPr>
        <w:ind w:firstLineChars="0"/>
        <w:rPr>
          <w:rFonts w:hint="eastAsia"/>
          <w:color w:val="000000"/>
        </w:rPr>
      </w:pPr>
      <w:r>
        <w:rPr>
          <w:rFonts w:ascii="Songti SC" w:hAnsi="Songti SC" w:eastAsia="Songti SC" w:cs="Songti SC"/>
          <w:b/>
          <w:color w:val="000000"/>
        </w:rPr>
        <w:t>办公区与食堂台账确认</w:t>
      </w:r>
    </w:p>
    <w:p w14:paraId="1BB8110B">
      <w:pPr>
        <w:ind w:firstLine="482"/>
        <w:rPr>
          <w:rFonts w:hint="eastAsia"/>
          <w:color w:val="000000"/>
        </w:rPr>
      </w:pPr>
      <w:r>
        <w:rPr>
          <w:rFonts w:ascii="Songti SC" w:hAnsi="Songti SC" w:eastAsia="Songti SC" w:cs="Songti SC"/>
          <w:b/>
          <w:color w:val="000000"/>
        </w:rPr>
        <w:t>工作目标：</w:t>
      </w:r>
      <w:r>
        <w:rPr>
          <w:rFonts w:ascii="Songti SC" w:hAnsi="Songti SC" w:eastAsia="Songti SC" w:cs="Songti SC"/>
          <w:color w:val="000000"/>
        </w:rPr>
        <w:t>建立集中办公区、食堂、餐厅和的基础台账，为权限、报表和消费机绑定提供依据。</w:t>
      </w:r>
    </w:p>
    <w:p w14:paraId="7F72827F">
      <w:pPr>
        <w:ind w:firstLine="482"/>
        <w:rPr>
          <w:rFonts w:hint="eastAsia"/>
          <w:color w:val="000000"/>
        </w:rPr>
      </w:pPr>
      <w:r>
        <w:rPr>
          <w:rFonts w:ascii="Songti SC" w:hAnsi="Songti SC" w:eastAsia="Songti SC" w:cs="Songti SC"/>
          <w:b/>
          <w:color w:val="000000"/>
        </w:rPr>
        <w:t>具体做法</w:t>
      </w:r>
    </w:p>
    <w:p w14:paraId="6705487B">
      <w:pPr>
        <w:ind w:firstLine="480"/>
        <w:rPr>
          <w:rFonts w:hint="eastAsia"/>
          <w:color w:val="000000"/>
        </w:rPr>
      </w:pPr>
      <w:r>
        <w:rPr>
          <w:rFonts w:ascii="Songti SC" w:hAnsi="Songti SC" w:eastAsia="Songti SC" w:cs="Songti SC"/>
          <w:color w:val="000000"/>
        </w:rPr>
        <w:t>核对 17 个集中办公区名称和编码。</w:t>
      </w:r>
    </w:p>
    <w:p w14:paraId="50BA8ABF">
      <w:pPr>
        <w:ind w:firstLine="480"/>
        <w:rPr>
          <w:rFonts w:hint="eastAsia"/>
          <w:color w:val="000000"/>
        </w:rPr>
      </w:pPr>
      <w:r>
        <w:rPr>
          <w:rFonts w:ascii="Songti SC" w:hAnsi="Songti SC" w:eastAsia="Songti SC" w:cs="Songti SC"/>
          <w:color w:val="000000"/>
        </w:rPr>
        <w:t>梳理每个办公区对应餐厅、和管理责任人。</w:t>
      </w:r>
    </w:p>
    <w:p w14:paraId="1F69A917">
      <w:pPr>
        <w:ind w:firstLine="480"/>
        <w:rPr>
          <w:rFonts w:hint="eastAsia"/>
          <w:color w:val="000000"/>
        </w:rPr>
      </w:pPr>
      <w:r>
        <w:rPr>
          <w:rFonts w:ascii="Songti SC" w:hAnsi="Songti SC" w:eastAsia="Songti SC" w:cs="Songti SC"/>
          <w:color w:val="000000"/>
        </w:rPr>
        <w:t>整理停用、合并、名称变更等历史情况。</w:t>
      </w:r>
    </w:p>
    <w:p w14:paraId="338899D1">
      <w:pPr>
        <w:ind w:firstLine="482"/>
        <w:rPr>
          <w:rFonts w:hint="eastAsia"/>
          <w:color w:val="000000"/>
        </w:rPr>
      </w:pPr>
      <w:r>
        <w:rPr>
          <w:rFonts w:ascii="Songti SC" w:hAnsi="Songti SC" w:eastAsia="Songti SC" w:cs="Songti SC"/>
          <w:b/>
          <w:color w:val="000000"/>
        </w:rPr>
        <w:t>兼容适配关注</w:t>
      </w:r>
    </w:p>
    <w:p w14:paraId="1A81C530">
      <w:pPr>
        <w:ind w:firstLine="480"/>
        <w:rPr>
          <w:rFonts w:hint="eastAsia"/>
          <w:color w:val="000000"/>
        </w:rPr>
      </w:pPr>
      <w:r>
        <w:rPr>
          <w:rFonts w:ascii="Songti SC" w:hAnsi="Songti SC" w:eastAsia="Songti SC" w:cs="Songti SC"/>
          <w:color w:val="000000"/>
        </w:rPr>
        <w:t>数据库中建立稳定编码，避免仅用名称关联造成历史报表错位。</w:t>
      </w:r>
    </w:p>
    <w:p w14:paraId="7F76893E">
      <w:pPr>
        <w:ind w:firstLine="480"/>
        <w:rPr>
          <w:rFonts w:hint="eastAsia"/>
          <w:color w:val="000000"/>
        </w:rPr>
      </w:pPr>
      <w:r>
        <w:rPr>
          <w:rFonts w:ascii="Songti SC" w:hAnsi="Songti SC" w:eastAsia="Songti SC" w:cs="Songti SC"/>
          <w:color w:val="000000"/>
        </w:rPr>
        <w:t>办公区名称涉及中文字符时统一编码和排序规则。</w:t>
      </w:r>
    </w:p>
    <w:p w14:paraId="017C0251">
      <w:pPr>
        <w:ind w:firstLine="482"/>
        <w:rPr>
          <w:rFonts w:hint="eastAsia"/>
          <w:color w:val="000000"/>
        </w:rPr>
      </w:pPr>
      <w:r>
        <w:rPr>
          <w:rFonts w:ascii="Songti SC" w:hAnsi="Songti SC" w:eastAsia="Songti SC" w:cs="Songti SC"/>
          <w:b/>
          <w:color w:val="000000"/>
        </w:rPr>
        <w:t>运行关注</w:t>
      </w:r>
    </w:p>
    <w:p w14:paraId="0D719B65">
      <w:pPr>
        <w:ind w:firstLine="480"/>
        <w:rPr>
          <w:rFonts w:hint="eastAsia"/>
          <w:color w:val="000000"/>
        </w:rPr>
      </w:pPr>
      <w:r>
        <w:rPr>
          <w:rFonts w:ascii="Songti SC" w:hAnsi="Songti SC" w:eastAsia="Songti SC" w:cs="Songti SC"/>
          <w:color w:val="000000"/>
        </w:rPr>
        <w:t>台账变化会影响消费机归属、报表口径和操作员数据范围。</w:t>
      </w:r>
    </w:p>
    <w:p w14:paraId="5A632D7C">
      <w:pPr>
        <w:ind w:firstLine="480"/>
        <w:rPr>
          <w:rFonts w:hint="eastAsia"/>
          <w:color w:val="000000"/>
        </w:rPr>
      </w:pPr>
      <w:r>
        <w:rPr>
          <w:rFonts w:ascii="Songti SC" w:hAnsi="Songti SC" w:eastAsia="Songti SC" w:cs="Songti SC"/>
          <w:color w:val="000000"/>
        </w:rPr>
        <w:t>上线前冻结关键基础台账。</w:t>
      </w:r>
    </w:p>
    <w:p w14:paraId="29D4D171">
      <w:pPr>
        <w:numPr>
          <w:ilvl w:val="0"/>
          <w:numId w:val="47"/>
        </w:numPr>
        <w:ind w:firstLineChars="0"/>
        <w:rPr>
          <w:rFonts w:hint="eastAsia"/>
          <w:color w:val="000000"/>
        </w:rPr>
      </w:pPr>
      <w:r>
        <w:rPr>
          <w:rFonts w:ascii="Songti SC" w:hAnsi="Songti SC" w:eastAsia="Songti SC" w:cs="Songti SC"/>
          <w:b/>
          <w:color w:val="000000"/>
        </w:rPr>
        <w:t>消费机台账确认</w:t>
      </w:r>
    </w:p>
    <w:p w14:paraId="6473A0AF">
      <w:pPr>
        <w:ind w:firstLine="482"/>
        <w:rPr>
          <w:rFonts w:hint="eastAsia"/>
          <w:color w:val="000000"/>
        </w:rPr>
      </w:pPr>
      <w:r>
        <w:rPr>
          <w:rFonts w:ascii="Songti SC" w:hAnsi="Songti SC" w:eastAsia="Songti SC" w:cs="Songti SC"/>
          <w:b/>
          <w:color w:val="000000"/>
        </w:rPr>
        <w:t>工作目标：逐台确认现有消费终端的设备型号、更新方式和接入信息。</w:t>
      </w:r>
    </w:p>
    <w:p w14:paraId="42E84219">
      <w:pPr>
        <w:ind w:firstLine="482"/>
        <w:rPr>
          <w:rFonts w:hint="eastAsia"/>
          <w:color w:val="000000"/>
        </w:rPr>
      </w:pPr>
      <w:r>
        <w:rPr>
          <w:rFonts w:ascii="Songti SC" w:hAnsi="Songti SC" w:eastAsia="Songti SC" w:cs="Songti SC"/>
          <w:b/>
          <w:color w:val="000000"/>
        </w:rPr>
        <w:t>具体做法</w:t>
      </w:r>
    </w:p>
    <w:p w14:paraId="633CA1D4">
      <w:pPr>
        <w:ind w:firstLine="480"/>
        <w:rPr>
          <w:rFonts w:hint="eastAsia"/>
          <w:color w:val="000000"/>
        </w:rPr>
      </w:pPr>
      <w:r>
        <w:rPr>
          <w:rFonts w:ascii="Songti SC" w:hAnsi="Songti SC" w:eastAsia="Songti SC" w:cs="Songti SC"/>
          <w:color w:val="000000"/>
        </w:rPr>
        <w:t>记录消费机编号、点位、办公区、餐厅、当前服务地址、软件版本和责任人。</w:t>
      </w:r>
    </w:p>
    <w:p w14:paraId="28193FAC">
      <w:pPr>
        <w:ind w:firstLine="480"/>
        <w:rPr>
          <w:rFonts w:hint="eastAsia"/>
          <w:color w:val="000000"/>
        </w:rPr>
      </w:pPr>
      <w:r>
        <w:rPr>
          <w:rFonts w:ascii="Songti SC" w:hAnsi="Songti SC" w:eastAsia="Songti SC" w:cs="Songti SC"/>
          <w:color w:val="000000"/>
        </w:rPr>
        <w:t>核对消费机是否支持刷卡、扫码、人脸、菜品消费、离线补传和状态上报等既有软件能力。</w:t>
      </w:r>
    </w:p>
    <w:p w14:paraId="6BAC7469">
      <w:pPr>
        <w:ind w:firstLine="480"/>
        <w:rPr>
          <w:rFonts w:hint="eastAsia"/>
          <w:color w:val="000000"/>
        </w:rPr>
      </w:pPr>
      <w:r>
        <w:rPr>
          <w:rFonts w:ascii="Songti SC" w:hAnsi="Songti SC" w:eastAsia="Songti SC" w:cs="Songti SC"/>
          <w:color w:val="000000"/>
        </w:rPr>
        <w:t>按办公区形成消费机联通顺序。</w:t>
      </w:r>
    </w:p>
    <w:p w14:paraId="51FAD28F">
      <w:pPr>
        <w:ind w:firstLine="482"/>
        <w:rPr>
          <w:rFonts w:hint="eastAsia"/>
          <w:color w:val="000000"/>
        </w:rPr>
      </w:pPr>
      <w:r>
        <w:rPr>
          <w:rFonts w:ascii="Songti SC" w:hAnsi="Songti SC" w:eastAsia="Songti SC" w:cs="Songti SC"/>
          <w:b/>
          <w:color w:val="000000"/>
        </w:rPr>
        <w:t>兼容适配关注</w:t>
      </w:r>
    </w:p>
    <w:p w14:paraId="1E6C9FE1">
      <w:pPr>
        <w:ind w:firstLine="480"/>
        <w:rPr>
          <w:rFonts w:hint="eastAsia"/>
          <w:color w:val="000000"/>
        </w:rPr>
      </w:pPr>
      <w:r>
        <w:rPr>
          <w:rFonts w:ascii="Songti SC" w:hAnsi="Songti SC" w:eastAsia="Songti SC" w:cs="Songti SC"/>
          <w:color w:val="000000"/>
        </w:rPr>
        <w:t>消费机台账进入数据库后与订单、心跳和异常日志关联。</w:t>
      </w:r>
    </w:p>
    <w:p w14:paraId="483E2BBE">
      <w:pPr>
        <w:ind w:firstLine="480"/>
        <w:rPr>
          <w:rFonts w:hint="eastAsia"/>
          <w:color w:val="000000"/>
        </w:rPr>
      </w:pPr>
      <w:r>
        <w:rPr>
          <w:rFonts w:ascii="Songti SC" w:hAnsi="Songti SC" w:eastAsia="Songti SC" w:cs="Songti SC"/>
          <w:color w:val="000000"/>
        </w:rPr>
        <w:t>不同型号差异作为终端更新和软件适配依据，明确需更新设备及相应接入要求。</w:t>
      </w:r>
    </w:p>
    <w:p w14:paraId="1420E9EC">
      <w:pPr>
        <w:ind w:firstLine="482"/>
        <w:rPr>
          <w:rFonts w:hint="eastAsia"/>
          <w:color w:val="000000"/>
        </w:rPr>
      </w:pPr>
      <w:r>
        <w:rPr>
          <w:rFonts w:ascii="Songti SC" w:hAnsi="Songti SC" w:eastAsia="Songti SC" w:cs="Songti SC"/>
          <w:b/>
          <w:color w:val="000000"/>
        </w:rPr>
        <w:t>运行关注</w:t>
      </w:r>
    </w:p>
    <w:p w14:paraId="4DBACAAA">
      <w:pPr>
        <w:ind w:firstLine="480"/>
        <w:rPr>
          <w:rFonts w:hint="eastAsia"/>
          <w:color w:val="000000"/>
        </w:rPr>
      </w:pPr>
      <w:r>
        <w:rPr>
          <w:rFonts w:ascii="Songti SC" w:hAnsi="Songti SC" w:eastAsia="Songti SC" w:cs="Songti SC"/>
          <w:color w:val="000000"/>
        </w:rPr>
        <w:t>消费机服务地址切换前保留原配置。</w:t>
      </w:r>
    </w:p>
    <w:p w14:paraId="11FDC3FC">
      <w:pPr>
        <w:ind w:firstLine="480"/>
        <w:rPr>
          <w:rFonts w:hint="eastAsia"/>
          <w:color w:val="000000"/>
        </w:rPr>
      </w:pPr>
      <w:r>
        <w:rPr>
          <w:rFonts w:ascii="Songti SC" w:hAnsi="Songti SC" w:eastAsia="Songti SC" w:cs="Songti SC"/>
          <w:color w:val="000000"/>
        </w:rPr>
        <w:t>高峰期前重点确认在线状态和最近交易。</w:t>
      </w:r>
    </w:p>
    <w:p w14:paraId="4F54676C">
      <w:pPr>
        <w:numPr>
          <w:ilvl w:val="0"/>
          <w:numId w:val="47"/>
        </w:numPr>
        <w:ind w:firstLineChars="0"/>
        <w:rPr>
          <w:rFonts w:hint="eastAsia"/>
          <w:color w:val="000000"/>
        </w:rPr>
      </w:pPr>
      <w:r>
        <w:rPr>
          <w:rFonts w:ascii="Songti SC" w:hAnsi="Songti SC" w:eastAsia="Songti SC" w:cs="Songti SC"/>
          <w:b/>
          <w:color w:val="000000"/>
        </w:rPr>
        <w:t>接口边界确认</w:t>
      </w:r>
    </w:p>
    <w:p w14:paraId="74108202">
      <w:pPr>
        <w:ind w:firstLine="482"/>
        <w:rPr>
          <w:rFonts w:hint="eastAsia"/>
          <w:color w:val="000000"/>
        </w:rPr>
      </w:pPr>
      <w:r>
        <w:rPr>
          <w:rFonts w:ascii="Songti SC" w:hAnsi="Songti SC" w:eastAsia="Songti SC" w:cs="Songti SC"/>
          <w:b/>
          <w:color w:val="000000"/>
        </w:rPr>
        <w:t>工作目标：</w:t>
      </w:r>
      <w:r>
        <w:rPr>
          <w:rFonts w:ascii="Songti SC" w:hAnsi="Songti SC" w:eastAsia="Songti SC" w:cs="Songti SC"/>
          <w:color w:val="000000"/>
        </w:rPr>
        <w:t>确认工商银行、</w:t>
      </w:r>
      <w:r>
        <w:rPr>
          <w:rFonts w:hint="eastAsia" w:ascii="Songti SC" w:hAnsi="Songti SC" w:eastAsia="Songti SC" w:cs="Songti SC"/>
          <w:color w:val="000000"/>
          <w:lang w:eastAsia="zh-CN"/>
        </w:rPr>
        <w:t>大数据交互平台</w:t>
      </w:r>
      <w:r>
        <w:rPr>
          <w:rFonts w:ascii="Songti SC" w:hAnsi="Songti SC" w:eastAsia="Songti SC" w:cs="Songti SC"/>
          <w:color w:val="000000"/>
        </w:rPr>
        <w:t>、小程序端和消费机接口的职责边界。</w:t>
      </w:r>
    </w:p>
    <w:p w14:paraId="38587685">
      <w:pPr>
        <w:ind w:firstLine="482"/>
        <w:rPr>
          <w:rFonts w:hint="eastAsia"/>
          <w:color w:val="000000"/>
        </w:rPr>
      </w:pPr>
      <w:r>
        <w:rPr>
          <w:rFonts w:ascii="Songti SC" w:hAnsi="Songti SC" w:eastAsia="Songti SC" w:cs="Songti SC"/>
          <w:b/>
          <w:color w:val="000000"/>
        </w:rPr>
        <w:t>具体做法</w:t>
      </w:r>
    </w:p>
    <w:p w14:paraId="34C7A675">
      <w:pPr>
        <w:ind w:firstLine="480"/>
        <w:rPr>
          <w:rFonts w:hint="eastAsia"/>
          <w:color w:val="000000"/>
        </w:rPr>
      </w:pPr>
      <w:r>
        <w:rPr>
          <w:rFonts w:ascii="Songti SC" w:hAnsi="Songti SC" w:eastAsia="Songti SC" w:cs="Songti SC"/>
          <w:color w:val="000000"/>
        </w:rPr>
        <w:t>梳理充值发起、回调、回查、对账、状态同步、异常处理流程。</w:t>
      </w:r>
    </w:p>
    <w:p w14:paraId="6A499DAF">
      <w:pPr>
        <w:ind w:firstLine="480"/>
        <w:rPr>
          <w:rFonts w:hint="eastAsia"/>
          <w:color w:val="000000"/>
        </w:rPr>
      </w:pPr>
      <w:r>
        <w:rPr>
          <w:rFonts w:ascii="Songti SC" w:hAnsi="Songti SC" w:eastAsia="Songti SC" w:cs="Songti SC"/>
          <w:color w:val="000000"/>
        </w:rPr>
        <w:t>确认银行侧和大数据平台侧不做业务重建。</w:t>
      </w:r>
    </w:p>
    <w:p w14:paraId="253331D8">
      <w:pPr>
        <w:ind w:firstLine="480"/>
        <w:rPr>
          <w:rFonts w:hint="eastAsia"/>
          <w:color w:val="000000"/>
        </w:rPr>
      </w:pPr>
      <w:r>
        <w:rPr>
          <w:rFonts w:ascii="Songti SC" w:hAnsi="Songti SC" w:eastAsia="Songti SC" w:cs="Songti SC"/>
          <w:color w:val="000000"/>
        </w:rPr>
        <w:t>确认本系统侧需调整的地址、证书、参数、日志和超时配置。</w:t>
      </w:r>
    </w:p>
    <w:p w14:paraId="380BFB31">
      <w:pPr>
        <w:ind w:firstLine="482"/>
        <w:rPr>
          <w:rFonts w:hint="eastAsia"/>
          <w:color w:val="000000"/>
        </w:rPr>
      </w:pPr>
      <w:r>
        <w:rPr>
          <w:rFonts w:ascii="Songti SC" w:hAnsi="Songti SC" w:eastAsia="Songti SC" w:cs="Songti SC"/>
          <w:b/>
          <w:color w:val="000000"/>
        </w:rPr>
        <w:t>兼容适配关注</w:t>
      </w:r>
    </w:p>
    <w:p w14:paraId="3EB06AD5">
      <w:pPr>
        <w:ind w:firstLine="480"/>
        <w:rPr>
          <w:rFonts w:hint="eastAsia"/>
          <w:color w:val="000000"/>
        </w:rPr>
      </w:pPr>
      <w:r>
        <w:rPr>
          <w:rFonts w:ascii="Songti SC" w:hAnsi="Songti SC" w:eastAsia="Songti SC" w:cs="Songti SC"/>
          <w:color w:val="000000"/>
        </w:rPr>
        <w:t>现有运行环境下重新配置网络策略、证书路径、接口地址和访问白名单。</w:t>
      </w:r>
    </w:p>
    <w:p w14:paraId="10FF33AA">
      <w:pPr>
        <w:ind w:firstLine="480"/>
        <w:rPr>
          <w:rFonts w:hint="eastAsia"/>
          <w:color w:val="000000"/>
        </w:rPr>
      </w:pPr>
      <w:r>
        <w:rPr>
          <w:rFonts w:ascii="Songti SC" w:hAnsi="Songti SC" w:eastAsia="Songti SC" w:cs="Songti SC"/>
          <w:color w:val="000000"/>
        </w:rPr>
        <w:t>前置库连接方式适配数据库驱动和连接池。</w:t>
      </w:r>
    </w:p>
    <w:p w14:paraId="296DC2C5">
      <w:pPr>
        <w:ind w:firstLine="482"/>
        <w:rPr>
          <w:rFonts w:hint="eastAsia"/>
          <w:color w:val="000000"/>
        </w:rPr>
      </w:pPr>
      <w:r>
        <w:rPr>
          <w:rFonts w:ascii="Songti SC" w:hAnsi="Songti SC" w:eastAsia="Songti SC" w:cs="Songti SC"/>
          <w:b/>
          <w:color w:val="000000"/>
        </w:rPr>
        <w:t>运行关注</w:t>
      </w:r>
    </w:p>
    <w:p w14:paraId="72D5DA60">
      <w:pPr>
        <w:ind w:firstLine="480"/>
        <w:rPr>
          <w:rFonts w:hint="eastAsia"/>
          <w:color w:val="000000"/>
        </w:rPr>
      </w:pPr>
      <w:r>
        <w:rPr>
          <w:rFonts w:ascii="Songti SC" w:hAnsi="Songti SC" w:eastAsia="Songti SC" w:cs="Songti SC"/>
          <w:color w:val="000000"/>
        </w:rPr>
        <w:t>接口异常应能定位到本系统、网络、前置库、平台或银行侧。</w:t>
      </w:r>
    </w:p>
    <w:p w14:paraId="11279AC6">
      <w:pPr>
        <w:ind w:firstLine="480"/>
        <w:rPr>
          <w:rFonts w:hint="eastAsia"/>
          <w:color w:val="000000"/>
        </w:rPr>
      </w:pPr>
      <w:r>
        <w:rPr>
          <w:rFonts w:ascii="Songti SC" w:hAnsi="Songti SC" w:eastAsia="Songti SC" w:cs="Songti SC"/>
          <w:color w:val="000000"/>
        </w:rPr>
        <w:t>充值异常优先保障账务安全。</w:t>
      </w:r>
    </w:p>
    <w:p w14:paraId="3769682F">
      <w:pPr>
        <w:numPr>
          <w:ilvl w:val="0"/>
          <w:numId w:val="47"/>
        </w:numPr>
        <w:ind w:firstLineChars="0"/>
        <w:rPr>
          <w:rFonts w:hint="eastAsia"/>
          <w:color w:val="000000"/>
        </w:rPr>
      </w:pPr>
      <w:r>
        <w:rPr>
          <w:rFonts w:ascii="Songti SC" w:hAnsi="Songti SC" w:eastAsia="Songti SC" w:cs="Songti SC"/>
          <w:b/>
          <w:color w:val="000000"/>
        </w:rPr>
        <w:t>服务器操作系统基线配置</w:t>
      </w:r>
    </w:p>
    <w:p w14:paraId="61CEAD23">
      <w:pPr>
        <w:ind w:firstLine="482"/>
        <w:rPr>
          <w:rFonts w:hint="eastAsia"/>
          <w:color w:val="000000"/>
        </w:rPr>
      </w:pPr>
      <w:r>
        <w:rPr>
          <w:rFonts w:ascii="Songti SC" w:hAnsi="Songti SC" w:eastAsia="Songti SC" w:cs="Songti SC"/>
          <w:b/>
          <w:color w:val="000000"/>
        </w:rPr>
        <w:t>工作目标：为应用运行建立安全、稳定、可维护的服务器操作系统环境。</w:t>
      </w:r>
    </w:p>
    <w:p w14:paraId="50D4FE4A">
      <w:pPr>
        <w:ind w:firstLine="482"/>
        <w:rPr>
          <w:rFonts w:hint="eastAsia"/>
          <w:color w:val="000000"/>
        </w:rPr>
      </w:pPr>
      <w:r>
        <w:rPr>
          <w:rFonts w:ascii="Songti SC" w:hAnsi="Songti SC" w:eastAsia="Songti SC" w:cs="Songti SC"/>
          <w:b/>
          <w:color w:val="000000"/>
        </w:rPr>
        <w:t>具体做法</w:t>
      </w:r>
    </w:p>
    <w:p w14:paraId="162C5046">
      <w:pPr>
        <w:ind w:firstLine="480"/>
        <w:rPr>
          <w:rFonts w:hint="eastAsia"/>
          <w:color w:val="000000"/>
        </w:rPr>
      </w:pPr>
      <w:r>
        <w:rPr>
          <w:rFonts w:ascii="Songti SC" w:hAnsi="Songti SC" w:eastAsia="Songti SC" w:cs="Songti SC"/>
          <w:color w:val="000000"/>
        </w:rPr>
        <w:t>创建应用运行用户、日志目录、上传目录、导出目录、备份目录和临时目录。</w:t>
      </w:r>
    </w:p>
    <w:p w14:paraId="3D105CC7">
      <w:pPr>
        <w:ind w:firstLine="480"/>
        <w:rPr>
          <w:rFonts w:hint="eastAsia"/>
          <w:color w:val="000000"/>
        </w:rPr>
      </w:pPr>
      <w:r>
        <w:rPr>
          <w:rFonts w:ascii="Songti SC" w:hAnsi="Songti SC" w:eastAsia="Songti SC" w:cs="Songti SC"/>
          <w:color w:val="000000"/>
        </w:rPr>
        <w:t>配置时间同步、防火墙策略、服务自启动和系统资源限制。</w:t>
      </w:r>
    </w:p>
    <w:p w14:paraId="37C425D8">
      <w:pPr>
        <w:ind w:firstLine="480"/>
        <w:rPr>
          <w:rFonts w:hint="eastAsia"/>
          <w:color w:val="000000"/>
        </w:rPr>
      </w:pPr>
      <w:r>
        <w:rPr>
          <w:rFonts w:ascii="Songti SC" w:hAnsi="Songti SC" w:eastAsia="Songti SC" w:cs="Songti SC"/>
          <w:color w:val="000000"/>
        </w:rPr>
        <w:t>安装应用运行需要的字体、证书和基础组件。</w:t>
      </w:r>
    </w:p>
    <w:p w14:paraId="7AECAA5A">
      <w:pPr>
        <w:ind w:firstLine="482"/>
        <w:rPr>
          <w:rFonts w:hint="eastAsia"/>
          <w:color w:val="000000"/>
        </w:rPr>
      </w:pPr>
      <w:r>
        <w:rPr>
          <w:rFonts w:ascii="Songti SC" w:hAnsi="Songti SC" w:eastAsia="Songti SC" w:cs="Songti SC"/>
          <w:b/>
          <w:color w:val="000000"/>
        </w:rPr>
        <w:t>兼容适配关注</w:t>
      </w:r>
    </w:p>
    <w:p w14:paraId="64504B8F">
      <w:pPr>
        <w:ind w:firstLine="480"/>
        <w:rPr>
          <w:rFonts w:hint="eastAsia"/>
          <w:color w:val="000000"/>
        </w:rPr>
      </w:pPr>
      <w:r>
        <w:rPr>
          <w:rFonts w:ascii="Songti SC" w:hAnsi="Songti SC" w:eastAsia="Songti SC" w:cs="Songti SC"/>
          <w:color w:val="000000"/>
        </w:rPr>
        <w:t>目录权限按最小权限配置，避免应用使用高权限账号运行。</w:t>
      </w:r>
    </w:p>
    <w:p w14:paraId="776F995E">
      <w:pPr>
        <w:ind w:firstLine="480"/>
        <w:rPr>
          <w:rFonts w:hint="eastAsia"/>
          <w:color w:val="000000"/>
        </w:rPr>
      </w:pPr>
      <w:r>
        <w:rPr>
          <w:rFonts w:ascii="Songti SC" w:hAnsi="Songti SC" w:eastAsia="Songti SC" w:cs="Songti SC"/>
          <w:color w:val="000000"/>
        </w:rPr>
        <w:t>中文文件名、报表字体和图片访问需在升级后系统中验证。</w:t>
      </w:r>
    </w:p>
    <w:p w14:paraId="0F5BA4FC">
      <w:pPr>
        <w:ind w:firstLine="482"/>
        <w:rPr>
          <w:rFonts w:hint="eastAsia"/>
          <w:color w:val="000000"/>
        </w:rPr>
      </w:pPr>
      <w:r>
        <w:rPr>
          <w:rFonts w:ascii="Songti SC" w:hAnsi="Songti SC" w:eastAsia="Songti SC" w:cs="Songti SC"/>
          <w:b/>
          <w:color w:val="000000"/>
        </w:rPr>
        <w:t>运行关注</w:t>
      </w:r>
    </w:p>
    <w:p w14:paraId="49D51882">
      <w:pPr>
        <w:ind w:firstLine="480"/>
        <w:rPr>
          <w:rFonts w:hint="eastAsia"/>
          <w:color w:val="000000"/>
        </w:rPr>
      </w:pPr>
      <w:r>
        <w:rPr>
          <w:rFonts w:ascii="Songti SC" w:hAnsi="Songti SC" w:eastAsia="Songti SC" w:cs="Songti SC"/>
          <w:color w:val="000000"/>
        </w:rPr>
        <w:t>日常巡检关注磁盘空间、进程状态、日志增长和系统时间。</w:t>
      </w:r>
    </w:p>
    <w:p w14:paraId="0F1A1F94">
      <w:pPr>
        <w:ind w:firstLine="480"/>
        <w:rPr>
          <w:rFonts w:hint="eastAsia"/>
          <w:color w:val="000000"/>
        </w:rPr>
      </w:pPr>
      <w:r>
        <w:rPr>
          <w:rFonts w:ascii="Songti SC" w:hAnsi="Songti SC" w:eastAsia="Songti SC" w:cs="Songti SC"/>
          <w:color w:val="000000"/>
        </w:rPr>
        <w:t>操作系统变更需评估对应用服务和消费机接口的影响。</w:t>
      </w:r>
    </w:p>
    <w:p w14:paraId="783A16E7">
      <w:pPr>
        <w:numPr>
          <w:ilvl w:val="0"/>
          <w:numId w:val="47"/>
        </w:numPr>
        <w:ind w:firstLineChars="0"/>
        <w:rPr>
          <w:rFonts w:hint="eastAsia"/>
          <w:b/>
          <w:color w:val="000000"/>
        </w:rPr>
      </w:pPr>
      <w:r>
        <w:rPr>
          <w:rFonts w:ascii="Songti SC" w:hAnsi="Songti SC" w:eastAsia="Songti SC" w:cs="Songti SC"/>
          <w:b/>
          <w:color w:val="000000"/>
        </w:rPr>
        <w:t>数据库安装与初始化</w:t>
      </w:r>
    </w:p>
    <w:p w14:paraId="678D8737">
      <w:pPr>
        <w:ind w:firstLine="482"/>
        <w:rPr>
          <w:rFonts w:hint="eastAsia"/>
          <w:color w:val="000000"/>
        </w:rPr>
      </w:pPr>
      <w:r>
        <w:rPr>
          <w:rFonts w:ascii="Songti SC" w:hAnsi="Songti SC" w:eastAsia="Songti SC" w:cs="Songti SC"/>
          <w:b/>
          <w:color w:val="000000"/>
        </w:rPr>
        <w:t>工作目标：完成数据库部署，为历史数据承接和业务运行提供基础。</w:t>
      </w:r>
    </w:p>
    <w:p w14:paraId="3B892704">
      <w:pPr>
        <w:ind w:firstLine="482"/>
        <w:rPr>
          <w:rFonts w:hint="eastAsia"/>
          <w:color w:val="000000"/>
        </w:rPr>
      </w:pPr>
      <w:r>
        <w:rPr>
          <w:rFonts w:ascii="Songti SC" w:hAnsi="Songti SC" w:eastAsia="Songti SC" w:cs="Songti SC"/>
          <w:b/>
          <w:color w:val="000000"/>
        </w:rPr>
        <w:t>具体做法</w:t>
      </w:r>
    </w:p>
    <w:p w14:paraId="17AA9CB9">
      <w:pPr>
        <w:ind w:firstLine="480"/>
        <w:rPr>
          <w:rFonts w:hint="eastAsia"/>
          <w:color w:val="000000"/>
        </w:rPr>
      </w:pPr>
      <w:r>
        <w:rPr>
          <w:rFonts w:ascii="Songti SC" w:hAnsi="Songti SC" w:eastAsia="Songti SC" w:cs="Songti SC"/>
          <w:color w:val="000000"/>
        </w:rPr>
        <w:t>创建数据库实例、业务库、账号、表空间、备份策略和连接参数。</w:t>
      </w:r>
    </w:p>
    <w:p w14:paraId="074B17A3">
      <w:pPr>
        <w:ind w:firstLine="480"/>
        <w:rPr>
          <w:rFonts w:hint="eastAsia"/>
          <w:color w:val="000000"/>
        </w:rPr>
      </w:pPr>
      <w:r>
        <w:rPr>
          <w:rFonts w:ascii="Songti SC" w:hAnsi="Songti SC" w:eastAsia="Songti SC" w:cs="Songti SC"/>
          <w:color w:val="000000"/>
        </w:rPr>
        <w:t>初始化基础表结构、索引、视图和必要函数。</w:t>
      </w:r>
    </w:p>
    <w:p w14:paraId="66D6850E">
      <w:pPr>
        <w:ind w:firstLine="480"/>
        <w:rPr>
          <w:rFonts w:hint="eastAsia"/>
          <w:color w:val="000000"/>
        </w:rPr>
      </w:pPr>
      <w:r>
        <w:rPr>
          <w:rFonts w:ascii="Songti SC" w:hAnsi="Songti SC" w:eastAsia="Songti SC" w:cs="Songti SC"/>
          <w:color w:val="000000"/>
        </w:rPr>
        <w:t>配置连接池、字符集、时区和金额精度。</w:t>
      </w:r>
    </w:p>
    <w:p w14:paraId="4EBB56CE">
      <w:pPr>
        <w:ind w:firstLine="482"/>
        <w:rPr>
          <w:rFonts w:hint="eastAsia"/>
          <w:color w:val="000000"/>
        </w:rPr>
      </w:pPr>
      <w:r>
        <w:rPr>
          <w:rFonts w:ascii="Songti SC" w:hAnsi="Songti SC" w:eastAsia="Songti SC" w:cs="Songti SC"/>
          <w:b/>
          <w:color w:val="000000"/>
        </w:rPr>
        <w:t>兼容适配关注</w:t>
      </w:r>
    </w:p>
    <w:p w14:paraId="03FE0C2F">
      <w:pPr>
        <w:ind w:firstLine="480"/>
        <w:rPr>
          <w:rFonts w:hint="eastAsia"/>
          <w:color w:val="000000"/>
        </w:rPr>
      </w:pPr>
      <w:r>
        <w:rPr>
          <w:rFonts w:ascii="Songti SC" w:hAnsi="Songti SC" w:eastAsia="Songti SC" w:cs="Songti SC"/>
          <w:color w:val="000000"/>
        </w:rPr>
        <w:t>重点适配 SQL 方言、日期函数、分页语法、空值处理和事务隔离。</w:t>
      </w:r>
    </w:p>
    <w:p w14:paraId="44261767">
      <w:pPr>
        <w:ind w:firstLine="480"/>
        <w:rPr>
          <w:rFonts w:hint="eastAsia"/>
          <w:color w:val="000000"/>
        </w:rPr>
      </w:pPr>
      <w:r>
        <w:rPr>
          <w:rFonts w:ascii="Songti SC" w:hAnsi="Songti SC" w:eastAsia="Songti SC" w:cs="Songti SC"/>
          <w:color w:val="000000"/>
        </w:rPr>
        <w:t>金额字段采用统一精度，避免账务尾差。</w:t>
      </w:r>
    </w:p>
    <w:p w14:paraId="045CAA55">
      <w:pPr>
        <w:ind w:firstLine="482"/>
        <w:rPr>
          <w:rFonts w:hint="eastAsia"/>
          <w:color w:val="000000"/>
        </w:rPr>
      </w:pPr>
      <w:r>
        <w:rPr>
          <w:rFonts w:ascii="Songti SC" w:hAnsi="Songti SC" w:eastAsia="Songti SC" w:cs="Songti SC"/>
          <w:b/>
          <w:color w:val="000000"/>
        </w:rPr>
        <w:t>运行关注</w:t>
      </w:r>
    </w:p>
    <w:p w14:paraId="71FF1F2C">
      <w:pPr>
        <w:ind w:firstLine="480"/>
        <w:rPr>
          <w:rFonts w:hint="eastAsia"/>
          <w:color w:val="000000"/>
        </w:rPr>
      </w:pPr>
      <w:r>
        <w:rPr>
          <w:rFonts w:ascii="Songti SC" w:hAnsi="Songti SC" w:eastAsia="Songti SC" w:cs="Songti SC"/>
          <w:color w:val="000000"/>
        </w:rPr>
        <w:t>数据库巡检关注连接数、慢查询、备份状态和表空间。</w:t>
      </w:r>
    </w:p>
    <w:p w14:paraId="635BBFD6">
      <w:pPr>
        <w:ind w:firstLine="480"/>
        <w:rPr>
          <w:rFonts w:hint="eastAsia"/>
          <w:color w:val="000000"/>
        </w:rPr>
      </w:pPr>
      <w:r>
        <w:rPr>
          <w:rFonts w:ascii="Songti SC" w:hAnsi="Songti SC" w:eastAsia="Songti SC" w:cs="Songti SC"/>
          <w:color w:val="000000"/>
        </w:rPr>
        <w:t>高峰交易期间避免执行重型统计。</w:t>
      </w:r>
    </w:p>
    <w:p w14:paraId="51DB6176">
      <w:pPr>
        <w:numPr>
          <w:ilvl w:val="0"/>
          <w:numId w:val="47"/>
        </w:numPr>
        <w:ind w:firstLineChars="0"/>
        <w:rPr>
          <w:rFonts w:hint="eastAsia"/>
          <w:b/>
          <w:color w:val="000000"/>
        </w:rPr>
      </w:pPr>
      <w:r>
        <w:rPr>
          <w:rFonts w:ascii="Songti SC" w:hAnsi="Songti SC" w:eastAsia="Songti SC" w:cs="Songti SC"/>
          <w:b/>
          <w:color w:val="000000"/>
        </w:rPr>
        <w:t>应用中间件部署</w:t>
      </w:r>
    </w:p>
    <w:p w14:paraId="6836DB35">
      <w:pPr>
        <w:ind w:firstLine="482"/>
        <w:rPr>
          <w:rFonts w:hint="eastAsia"/>
          <w:color w:val="000000"/>
        </w:rPr>
      </w:pPr>
      <w:r>
        <w:rPr>
          <w:rFonts w:ascii="Songti SC" w:hAnsi="Songti SC" w:eastAsia="Songti SC" w:cs="Songti SC"/>
          <w:b/>
          <w:color w:val="000000"/>
        </w:rPr>
        <w:t>工作目标：</w:t>
      </w:r>
      <w:r>
        <w:rPr>
          <w:rFonts w:ascii="Songti SC" w:hAnsi="Songti SC" w:eastAsia="Songti SC" w:cs="Songti SC"/>
          <w:color w:val="000000"/>
        </w:rPr>
        <w:t>完成管理端、小程序端、消费机接口和外部接口的统一访问承载。</w:t>
      </w:r>
    </w:p>
    <w:p w14:paraId="1B847D50">
      <w:pPr>
        <w:ind w:firstLine="482"/>
        <w:rPr>
          <w:rFonts w:hint="eastAsia"/>
          <w:color w:val="000000"/>
        </w:rPr>
      </w:pPr>
      <w:r>
        <w:rPr>
          <w:rFonts w:ascii="Songti SC" w:hAnsi="Songti SC" w:eastAsia="Songti SC" w:cs="Songti SC"/>
          <w:b/>
          <w:color w:val="000000"/>
        </w:rPr>
        <w:t>具体做法</w:t>
      </w:r>
    </w:p>
    <w:p w14:paraId="44C81F9C">
      <w:pPr>
        <w:ind w:firstLine="480"/>
        <w:rPr>
          <w:rFonts w:hint="eastAsia"/>
          <w:color w:val="000000"/>
        </w:rPr>
      </w:pPr>
      <w:r>
        <w:rPr>
          <w:rFonts w:ascii="Songti SC" w:hAnsi="Songti SC" w:eastAsia="Songti SC" w:cs="Songti SC"/>
          <w:color w:val="000000"/>
        </w:rPr>
        <w:t>配置服务端口、访问路径、证书、请求大小、超时、日志和转发规则。</w:t>
      </w:r>
    </w:p>
    <w:p w14:paraId="4C716A54">
      <w:pPr>
        <w:ind w:firstLine="480"/>
        <w:rPr>
          <w:rFonts w:hint="eastAsia"/>
          <w:color w:val="000000"/>
        </w:rPr>
      </w:pPr>
      <w:r>
        <w:rPr>
          <w:rFonts w:ascii="Songti SC" w:hAnsi="Songti SC" w:eastAsia="Songti SC" w:cs="Songti SC"/>
          <w:color w:val="000000"/>
        </w:rPr>
        <w:t>区分管理端、小程序端、消费机和外部接口的访问入口。</w:t>
      </w:r>
    </w:p>
    <w:p w14:paraId="3608FD5F">
      <w:pPr>
        <w:ind w:firstLine="480"/>
        <w:rPr>
          <w:rFonts w:hint="eastAsia"/>
          <w:color w:val="000000"/>
        </w:rPr>
      </w:pPr>
      <w:r>
        <w:rPr>
          <w:rFonts w:ascii="Songti SC" w:hAnsi="Songti SC" w:eastAsia="Songti SC" w:cs="Songti SC"/>
          <w:color w:val="000000"/>
        </w:rPr>
        <w:t>配置健康检查和异常访问记录。</w:t>
      </w:r>
    </w:p>
    <w:p w14:paraId="11ECEBB9">
      <w:pPr>
        <w:ind w:firstLine="482"/>
        <w:rPr>
          <w:rFonts w:hint="eastAsia"/>
          <w:color w:val="000000"/>
        </w:rPr>
      </w:pPr>
      <w:r>
        <w:rPr>
          <w:rFonts w:ascii="Songti SC" w:hAnsi="Songti SC" w:eastAsia="Songti SC" w:cs="Songti SC"/>
          <w:b/>
          <w:color w:val="000000"/>
        </w:rPr>
        <w:t>兼容适配关注</w:t>
      </w:r>
    </w:p>
    <w:p w14:paraId="491BD340">
      <w:pPr>
        <w:ind w:firstLine="480"/>
        <w:rPr>
          <w:rFonts w:hint="eastAsia"/>
          <w:color w:val="000000"/>
        </w:rPr>
      </w:pPr>
      <w:r>
        <w:rPr>
          <w:rFonts w:ascii="Songti SC" w:hAnsi="Songti SC" w:eastAsia="Songti SC" w:cs="Songti SC"/>
          <w:color w:val="000000"/>
        </w:rPr>
        <w:t>中间件日志路径、证书路径和服务管理方式适配服务器操作系统。</w:t>
      </w:r>
    </w:p>
    <w:p w14:paraId="4B841D2F">
      <w:pPr>
        <w:ind w:firstLine="480"/>
        <w:rPr>
          <w:rFonts w:hint="eastAsia"/>
          <w:color w:val="000000"/>
        </w:rPr>
      </w:pPr>
      <w:r>
        <w:rPr>
          <w:rFonts w:ascii="Songti SC" w:hAnsi="Songti SC" w:eastAsia="Songti SC" w:cs="Songti SC"/>
          <w:color w:val="000000"/>
        </w:rPr>
        <w:t>消费机补传可能存在批量请求，应合理设置请求大小和超时。</w:t>
      </w:r>
    </w:p>
    <w:p w14:paraId="2660733C">
      <w:pPr>
        <w:ind w:firstLine="482"/>
        <w:rPr>
          <w:rFonts w:hint="eastAsia"/>
          <w:color w:val="000000"/>
        </w:rPr>
      </w:pPr>
      <w:r>
        <w:rPr>
          <w:rFonts w:ascii="Songti SC" w:hAnsi="Songti SC" w:eastAsia="Songti SC" w:cs="Songti SC"/>
          <w:b/>
          <w:color w:val="000000"/>
        </w:rPr>
        <w:t>运行关注</w:t>
      </w:r>
    </w:p>
    <w:p w14:paraId="5D31927F">
      <w:pPr>
        <w:ind w:firstLine="480"/>
        <w:rPr>
          <w:rFonts w:hint="eastAsia"/>
          <w:color w:val="000000"/>
        </w:rPr>
      </w:pPr>
      <w:r>
        <w:rPr>
          <w:rFonts w:ascii="Songti SC" w:hAnsi="Songti SC" w:eastAsia="Songti SC" w:cs="Songti SC"/>
          <w:color w:val="000000"/>
        </w:rPr>
        <w:t>接口失败时可通过中间件日志和应用日志联合定位。</w:t>
      </w:r>
    </w:p>
    <w:p w14:paraId="51CDF9D6">
      <w:pPr>
        <w:ind w:firstLine="480"/>
        <w:rPr>
          <w:rFonts w:hint="eastAsia"/>
          <w:color w:val="000000"/>
        </w:rPr>
      </w:pPr>
      <w:r>
        <w:rPr>
          <w:rFonts w:ascii="Songti SC" w:hAnsi="Songti SC" w:eastAsia="Songti SC" w:cs="Songti SC"/>
          <w:color w:val="000000"/>
        </w:rPr>
        <w:t>证书到期、端口策略和访问白名单需纳入巡检。</w:t>
      </w:r>
    </w:p>
    <w:p w14:paraId="65F66F91">
      <w:pPr>
        <w:numPr>
          <w:ilvl w:val="0"/>
          <w:numId w:val="47"/>
        </w:numPr>
        <w:ind w:firstLineChars="0"/>
        <w:rPr>
          <w:rFonts w:hint="eastAsia"/>
          <w:b/>
          <w:color w:val="000000"/>
        </w:rPr>
      </w:pPr>
      <w:r>
        <w:rPr>
          <w:rFonts w:ascii="Songti SC" w:hAnsi="Songti SC" w:eastAsia="Songti SC" w:cs="Songti SC"/>
          <w:b/>
          <w:color w:val="000000"/>
        </w:rPr>
        <w:t>配置项外置改造</w:t>
      </w:r>
    </w:p>
    <w:p w14:paraId="3A22EBF0">
      <w:pPr>
        <w:ind w:firstLine="482"/>
        <w:rPr>
          <w:rFonts w:hint="eastAsia"/>
          <w:color w:val="000000"/>
        </w:rPr>
      </w:pPr>
      <w:r>
        <w:rPr>
          <w:rFonts w:ascii="Songti SC" w:hAnsi="Songti SC" w:eastAsia="Songti SC" w:cs="Songti SC"/>
          <w:b/>
          <w:color w:val="000000"/>
        </w:rPr>
        <w:t>工作目标：</w:t>
      </w:r>
      <w:r>
        <w:rPr>
          <w:rFonts w:ascii="Songti SC" w:hAnsi="Songti SC" w:eastAsia="Songti SC" w:cs="Songti SC"/>
          <w:color w:val="000000"/>
        </w:rPr>
        <w:t>把影响上线切换和运维的参数从程序包中剥离出来。</w:t>
      </w:r>
    </w:p>
    <w:p w14:paraId="68C21CFE">
      <w:pPr>
        <w:ind w:firstLine="482"/>
        <w:rPr>
          <w:rFonts w:hint="eastAsia"/>
          <w:color w:val="000000"/>
        </w:rPr>
      </w:pPr>
      <w:r>
        <w:rPr>
          <w:rFonts w:ascii="Songti SC" w:hAnsi="Songti SC" w:eastAsia="Songti SC" w:cs="Songti SC"/>
          <w:b/>
          <w:color w:val="000000"/>
        </w:rPr>
        <w:t>具体做法</w:t>
      </w:r>
    </w:p>
    <w:p w14:paraId="79DF2F0F">
      <w:pPr>
        <w:ind w:firstLine="480"/>
        <w:rPr>
          <w:rFonts w:hint="eastAsia"/>
          <w:color w:val="000000"/>
        </w:rPr>
      </w:pPr>
      <w:r>
        <w:rPr>
          <w:rFonts w:ascii="Songti SC" w:hAnsi="Songti SC" w:eastAsia="Songti SC" w:cs="Songti SC"/>
          <w:color w:val="000000"/>
        </w:rPr>
        <w:t>梳理数据库连接、文件路径、服务地址、银行接口、前置库、消费机接口和消息通知参数。</w:t>
      </w:r>
    </w:p>
    <w:p w14:paraId="021D5D25">
      <w:pPr>
        <w:ind w:firstLine="480"/>
        <w:rPr>
          <w:rFonts w:hint="eastAsia"/>
          <w:color w:val="000000"/>
        </w:rPr>
      </w:pPr>
      <w:r>
        <w:rPr>
          <w:rFonts w:ascii="Songti SC" w:hAnsi="Songti SC" w:eastAsia="Songti SC" w:cs="Songti SC"/>
          <w:color w:val="000000"/>
        </w:rPr>
        <w:t>按测试、试运行、正式环境建立配置分组。</w:t>
      </w:r>
    </w:p>
    <w:p w14:paraId="3B8B104F">
      <w:pPr>
        <w:ind w:firstLine="480"/>
        <w:rPr>
          <w:rFonts w:hint="eastAsia"/>
          <w:color w:val="000000"/>
        </w:rPr>
      </w:pPr>
      <w:r>
        <w:rPr>
          <w:rFonts w:ascii="Songti SC" w:hAnsi="Songti SC" w:eastAsia="Songti SC" w:cs="Songti SC"/>
          <w:color w:val="000000"/>
        </w:rPr>
        <w:t>对敏感配置进行加密或脱敏展示。</w:t>
      </w:r>
    </w:p>
    <w:p w14:paraId="60FD858F">
      <w:pPr>
        <w:ind w:firstLine="482"/>
        <w:rPr>
          <w:rFonts w:hint="eastAsia"/>
          <w:color w:val="000000"/>
        </w:rPr>
      </w:pPr>
      <w:r>
        <w:rPr>
          <w:rFonts w:ascii="Songti SC" w:hAnsi="Songti SC" w:eastAsia="Songti SC" w:cs="Songti SC"/>
          <w:b/>
          <w:color w:val="000000"/>
        </w:rPr>
        <w:t>兼容适配关注</w:t>
      </w:r>
    </w:p>
    <w:p w14:paraId="78F9AE24">
      <w:pPr>
        <w:ind w:firstLine="480"/>
        <w:rPr>
          <w:rFonts w:hint="eastAsia"/>
          <w:color w:val="000000"/>
        </w:rPr>
      </w:pPr>
      <w:r>
        <w:rPr>
          <w:rFonts w:ascii="Songti SC" w:hAnsi="Songti SC" w:eastAsia="Songti SC" w:cs="Songti SC"/>
          <w:color w:val="000000"/>
        </w:rPr>
        <w:t>本地运行环境中路径、证书、端口和数据库连接不写死在代码中。</w:t>
      </w:r>
    </w:p>
    <w:p w14:paraId="1D9A8A33">
      <w:pPr>
        <w:ind w:firstLine="480"/>
        <w:rPr>
          <w:rFonts w:hint="eastAsia"/>
          <w:color w:val="000000"/>
        </w:rPr>
      </w:pPr>
      <w:r>
        <w:rPr>
          <w:rFonts w:ascii="Songti SC" w:hAnsi="Songti SC" w:eastAsia="Songti SC" w:cs="Songti SC"/>
          <w:color w:val="000000"/>
        </w:rPr>
        <w:t>配置文件权限按运行用户授予，避免非授权访问。</w:t>
      </w:r>
    </w:p>
    <w:p w14:paraId="4CB48864">
      <w:pPr>
        <w:ind w:firstLine="482"/>
        <w:rPr>
          <w:rFonts w:hint="eastAsia"/>
          <w:color w:val="000000"/>
        </w:rPr>
      </w:pPr>
      <w:r>
        <w:rPr>
          <w:rFonts w:ascii="Songti SC" w:hAnsi="Songti SC" w:eastAsia="Songti SC" w:cs="Songti SC"/>
          <w:b/>
          <w:color w:val="000000"/>
        </w:rPr>
        <w:t>运行关注</w:t>
      </w:r>
    </w:p>
    <w:p w14:paraId="44E13134">
      <w:pPr>
        <w:ind w:firstLine="480"/>
        <w:rPr>
          <w:rFonts w:hint="eastAsia"/>
          <w:color w:val="000000"/>
        </w:rPr>
      </w:pPr>
      <w:r>
        <w:rPr>
          <w:rFonts w:ascii="Songti SC" w:hAnsi="Songti SC" w:eastAsia="Songti SC" w:cs="Songti SC"/>
          <w:color w:val="000000"/>
        </w:rPr>
        <w:t>上线切换通过配置版本完成，减少临时改代码。</w:t>
      </w:r>
    </w:p>
    <w:p w14:paraId="0E297FAB">
      <w:pPr>
        <w:ind w:firstLine="480"/>
        <w:rPr>
          <w:rFonts w:hint="eastAsia"/>
          <w:color w:val="000000"/>
        </w:rPr>
      </w:pPr>
      <w:r>
        <w:rPr>
          <w:rFonts w:ascii="Songti SC" w:hAnsi="Songti SC" w:eastAsia="Songti SC" w:cs="Songti SC"/>
          <w:color w:val="000000"/>
        </w:rPr>
        <w:t>配置变更后记录操作人、时间和原因。</w:t>
      </w:r>
    </w:p>
    <w:p w14:paraId="69138C8C">
      <w:pPr>
        <w:numPr>
          <w:ilvl w:val="0"/>
          <w:numId w:val="47"/>
        </w:numPr>
        <w:ind w:firstLineChars="0"/>
        <w:rPr>
          <w:rFonts w:hint="eastAsia"/>
          <w:b/>
          <w:color w:val="000000"/>
        </w:rPr>
      </w:pPr>
      <w:r>
        <w:rPr>
          <w:rFonts w:ascii="Songti SC" w:hAnsi="Songti SC" w:eastAsia="Songti SC" w:cs="Songti SC"/>
          <w:b/>
          <w:color w:val="000000"/>
        </w:rPr>
        <w:t>日志体系改造</w:t>
      </w:r>
    </w:p>
    <w:p w14:paraId="2E03D75D">
      <w:pPr>
        <w:ind w:firstLine="482"/>
        <w:rPr>
          <w:rFonts w:hint="eastAsia"/>
          <w:color w:val="000000"/>
        </w:rPr>
      </w:pPr>
      <w:r>
        <w:rPr>
          <w:rFonts w:ascii="Songti SC" w:hAnsi="Songti SC" w:eastAsia="Songti SC" w:cs="Songti SC"/>
          <w:b/>
          <w:color w:val="000000"/>
        </w:rPr>
        <w:t>工作目标：</w:t>
      </w:r>
      <w:r>
        <w:rPr>
          <w:rFonts w:ascii="Songti SC" w:hAnsi="Songti SC" w:eastAsia="Songti SC" w:cs="Songti SC"/>
          <w:color w:val="000000"/>
        </w:rPr>
        <w:t>让系统运行、接口交互、消费机交易和管理操作可追溯。</w:t>
      </w:r>
    </w:p>
    <w:p w14:paraId="6469D1F7">
      <w:pPr>
        <w:ind w:firstLine="482"/>
        <w:rPr>
          <w:rFonts w:hint="eastAsia"/>
          <w:color w:val="000000"/>
        </w:rPr>
      </w:pPr>
      <w:r>
        <w:rPr>
          <w:rFonts w:ascii="Songti SC" w:hAnsi="Songti SC" w:eastAsia="Songti SC" w:cs="Songti SC"/>
          <w:b/>
          <w:color w:val="000000"/>
        </w:rPr>
        <w:t>具体做法</w:t>
      </w:r>
    </w:p>
    <w:p w14:paraId="4AA8E000">
      <w:pPr>
        <w:ind w:firstLine="480"/>
        <w:rPr>
          <w:rFonts w:hint="eastAsia"/>
          <w:color w:val="000000"/>
        </w:rPr>
      </w:pPr>
      <w:r>
        <w:rPr>
          <w:rFonts w:ascii="Songti SC" w:hAnsi="Songti SC" w:eastAsia="Songti SC" w:cs="Songti SC"/>
          <w:color w:val="000000"/>
        </w:rPr>
        <w:t>梳理应用日志、接口日志、操作日志、交易日志、补传日志、任务日志和异常日志。</w:t>
      </w:r>
    </w:p>
    <w:p w14:paraId="4BA62FB9">
      <w:pPr>
        <w:ind w:firstLine="480"/>
        <w:rPr>
          <w:rFonts w:hint="eastAsia"/>
          <w:color w:val="000000"/>
        </w:rPr>
      </w:pPr>
      <w:r>
        <w:rPr>
          <w:rFonts w:ascii="Songti SC" w:hAnsi="Songti SC" w:eastAsia="Songti SC" w:cs="Songti SC"/>
          <w:color w:val="000000"/>
        </w:rPr>
        <w:t>统一日志目录、文件命名、保留周期和归档策略。</w:t>
      </w:r>
    </w:p>
    <w:p w14:paraId="4181B03D">
      <w:pPr>
        <w:ind w:firstLine="480"/>
        <w:rPr>
          <w:rFonts w:hint="eastAsia"/>
          <w:color w:val="000000"/>
        </w:rPr>
      </w:pPr>
      <w:r>
        <w:rPr>
          <w:rFonts w:ascii="Songti SC" w:hAnsi="Songti SC" w:eastAsia="Songti SC" w:cs="Songti SC"/>
          <w:color w:val="000000"/>
        </w:rPr>
        <w:t>关键业务日志记录订单号、人员、设备、金额、状态和失败原因。</w:t>
      </w:r>
    </w:p>
    <w:p w14:paraId="2752DA72">
      <w:pPr>
        <w:ind w:firstLine="482"/>
        <w:rPr>
          <w:rFonts w:hint="eastAsia"/>
          <w:color w:val="000000"/>
        </w:rPr>
      </w:pPr>
      <w:r>
        <w:rPr>
          <w:rFonts w:ascii="Songti SC" w:hAnsi="Songti SC" w:eastAsia="Songti SC" w:cs="Songti SC"/>
          <w:b/>
          <w:color w:val="000000"/>
        </w:rPr>
        <w:t>兼容适配关注</w:t>
      </w:r>
    </w:p>
    <w:p w14:paraId="3093096D">
      <w:pPr>
        <w:ind w:firstLine="480"/>
        <w:rPr>
          <w:rFonts w:hint="eastAsia"/>
          <w:color w:val="000000"/>
        </w:rPr>
      </w:pPr>
      <w:r>
        <w:rPr>
          <w:rFonts w:ascii="Songti SC" w:hAnsi="Songti SC" w:eastAsia="Songti SC" w:cs="Songti SC"/>
          <w:color w:val="000000"/>
        </w:rPr>
        <w:t>日志目录适配服务器操作系统权限和磁盘规划。</w:t>
      </w:r>
    </w:p>
    <w:p w14:paraId="13DD756A">
      <w:pPr>
        <w:ind w:firstLine="480"/>
        <w:rPr>
          <w:rFonts w:hint="eastAsia"/>
          <w:color w:val="000000"/>
        </w:rPr>
      </w:pPr>
      <w:r>
        <w:rPr>
          <w:rFonts w:ascii="Songti SC" w:hAnsi="Songti SC" w:eastAsia="Songti SC" w:cs="Songti SC"/>
          <w:color w:val="000000"/>
        </w:rPr>
        <w:t>敏感字段在日志中脱敏处理。</w:t>
      </w:r>
    </w:p>
    <w:p w14:paraId="31EE1CAE">
      <w:pPr>
        <w:ind w:firstLine="482"/>
        <w:rPr>
          <w:rFonts w:hint="eastAsia"/>
          <w:color w:val="000000"/>
        </w:rPr>
      </w:pPr>
      <w:r>
        <w:rPr>
          <w:rFonts w:ascii="Songti SC" w:hAnsi="Songti SC" w:eastAsia="Songti SC" w:cs="Songti SC"/>
          <w:b/>
          <w:color w:val="000000"/>
        </w:rPr>
        <w:t>运行关注</w:t>
      </w:r>
    </w:p>
    <w:p w14:paraId="16CF0965">
      <w:pPr>
        <w:ind w:firstLine="480"/>
        <w:rPr>
          <w:rFonts w:hint="eastAsia"/>
          <w:color w:val="000000"/>
        </w:rPr>
      </w:pPr>
      <w:r>
        <w:rPr>
          <w:rFonts w:ascii="Songti SC" w:hAnsi="Songti SC" w:eastAsia="Songti SC" w:cs="Songti SC"/>
          <w:color w:val="000000"/>
        </w:rPr>
        <w:t>出现充值、消费或补传问题时先按订单号和设备号定位。</w:t>
      </w:r>
    </w:p>
    <w:p w14:paraId="1FA8146D">
      <w:pPr>
        <w:ind w:firstLine="480"/>
        <w:rPr>
          <w:rFonts w:hint="eastAsia"/>
          <w:color w:val="000000"/>
        </w:rPr>
      </w:pPr>
      <w:r>
        <w:rPr>
          <w:rFonts w:ascii="Songti SC" w:hAnsi="Songti SC" w:eastAsia="Songti SC" w:cs="Songti SC"/>
          <w:color w:val="000000"/>
        </w:rPr>
        <w:t>日志增长异常可能代表接口异常或循环重试。</w:t>
      </w:r>
    </w:p>
    <w:p w14:paraId="0E245DF0">
      <w:pPr>
        <w:numPr>
          <w:ilvl w:val="0"/>
          <w:numId w:val="47"/>
        </w:numPr>
        <w:ind w:firstLineChars="0"/>
        <w:rPr>
          <w:rFonts w:hint="eastAsia"/>
          <w:b/>
          <w:color w:val="000000"/>
        </w:rPr>
      </w:pPr>
      <w:r>
        <w:rPr>
          <w:rFonts w:ascii="Songti SC" w:hAnsi="Songti SC" w:eastAsia="Songti SC" w:cs="Songti SC"/>
          <w:b/>
          <w:color w:val="000000"/>
        </w:rPr>
        <w:t>备份恢复策略配置</w:t>
      </w:r>
    </w:p>
    <w:p w14:paraId="2434667A">
      <w:pPr>
        <w:ind w:firstLine="482"/>
        <w:rPr>
          <w:rFonts w:hint="eastAsia"/>
          <w:color w:val="000000"/>
        </w:rPr>
      </w:pPr>
      <w:r>
        <w:rPr>
          <w:rFonts w:ascii="Songti SC" w:hAnsi="Songti SC" w:eastAsia="Songti SC" w:cs="Songti SC"/>
          <w:b/>
          <w:color w:val="000000"/>
        </w:rPr>
        <w:t>工作目标：</w:t>
      </w:r>
      <w:r>
        <w:rPr>
          <w:rFonts w:ascii="Songti SC" w:hAnsi="Songti SC" w:eastAsia="Songti SC" w:cs="Songti SC"/>
          <w:color w:val="000000"/>
        </w:rPr>
        <w:t>保障系统配置、数据库、文件和日志在异常情况下可恢复。</w:t>
      </w:r>
    </w:p>
    <w:p w14:paraId="094C2932">
      <w:pPr>
        <w:ind w:firstLine="482"/>
        <w:rPr>
          <w:rFonts w:hint="eastAsia"/>
          <w:color w:val="000000"/>
        </w:rPr>
      </w:pPr>
      <w:r>
        <w:rPr>
          <w:rFonts w:ascii="Songti SC" w:hAnsi="Songti SC" w:eastAsia="Songti SC" w:cs="Songti SC"/>
          <w:b/>
          <w:color w:val="000000"/>
        </w:rPr>
        <w:t>具体做法</w:t>
      </w:r>
    </w:p>
    <w:p w14:paraId="49D51298">
      <w:pPr>
        <w:ind w:firstLine="480"/>
        <w:rPr>
          <w:rFonts w:hint="eastAsia"/>
          <w:color w:val="000000"/>
        </w:rPr>
      </w:pPr>
      <w:r>
        <w:rPr>
          <w:rFonts w:ascii="Songti SC" w:hAnsi="Songti SC" w:eastAsia="Songti SC" w:cs="Songti SC"/>
          <w:color w:val="000000"/>
        </w:rPr>
        <w:t>设置数据库全量备份和增量备份策略。</w:t>
      </w:r>
    </w:p>
    <w:p w14:paraId="0E372A3D">
      <w:pPr>
        <w:ind w:firstLine="480"/>
        <w:rPr>
          <w:rFonts w:hint="eastAsia"/>
          <w:color w:val="000000"/>
        </w:rPr>
      </w:pPr>
      <w:r>
        <w:rPr>
          <w:rFonts w:ascii="Songti SC" w:hAnsi="Songti SC" w:eastAsia="Songti SC" w:cs="Songti SC"/>
          <w:color w:val="000000"/>
        </w:rPr>
        <w:t>备份应用配置、上传文件、人脸文件、报表文件和关键日志。</w:t>
      </w:r>
    </w:p>
    <w:p w14:paraId="755C118A">
      <w:pPr>
        <w:ind w:firstLine="480"/>
        <w:rPr>
          <w:rFonts w:hint="eastAsia"/>
          <w:color w:val="000000"/>
        </w:rPr>
      </w:pPr>
      <w:r>
        <w:rPr>
          <w:rFonts w:ascii="Songti SC" w:hAnsi="Songti SC" w:eastAsia="Songti SC" w:cs="Songti SC"/>
          <w:color w:val="000000"/>
        </w:rPr>
        <w:t>规划备份保留周期和备份存放位置。</w:t>
      </w:r>
    </w:p>
    <w:p w14:paraId="6819E1DA">
      <w:pPr>
        <w:ind w:firstLine="482"/>
        <w:rPr>
          <w:rFonts w:hint="eastAsia"/>
          <w:color w:val="000000"/>
        </w:rPr>
      </w:pPr>
      <w:r>
        <w:rPr>
          <w:rFonts w:ascii="Songti SC" w:hAnsi="Songti SC" w:eastAsia="Songti SC" w:cs="Songti SC"/>
          <w:b/>
          <w:color w:val="000000"/>
        </w:rPr>
        <w:t>兼容适配关注</w:t>
      </w:r>
    </w:p>
    <w:p w14:paraId="43FA58D0">
      <w:pPr>
        <w:ind w:firstLine="480"/>
        <w:rPr>
          <w:rFonts w:hint="eastAsia"/>
          <w:color w:val="000000"/>
        </w:rPr>
      </w:pPr>
      <w:r>
        <w:rPr>
          <w:rFonts w:ascii="Songti SC" w:hAnsi="Songti SC" w:eastAsia="Songti SC" w:cs="Songti SC"/>
          <w:color w:val="000000"/>
        </w:rPr>
        <w:t>数据库备份工具和恢复命令需提前演练。</w:t>
      </w:r>
    </w:p>
    <w:p w14:paraId="762DFDA0">
      <w:pPr>
        <w:ind w:firstLine="480"/>
        <w:rPr>
          <w:rFonts w:hint="eastAsia"/>
          <w:color w:val="000000"/>
        </w:rPr>
      </w:pPr>
      <w:r>
        <w:rPr>
          <w:rFonts w:ascii="Songti SC" w:hAnsi="Songti SC" w:eastAsia="Songti SC" w:cs="Songti SC"/>
          <w:color w:val="000000"/>
        </w:rPr>
        <w:t>备份文件存放目录按服务器操作系统权限控制。</w:t>
      </w:r>
    </w:p>
    <w:p w14:paraId="5D67C9B3">
      <w:pPr>
        <w:ind w:firstLine="482"/>
        <w:rPr>
          <w:rFonts w:hint="eastAsia"/>
          <w:color w:val="000000"/>
        </w:rPr>
      </w:pPr>
      <w:r>
        <w:rPr>
          <w:rFonts w:ascii="Songti SC" w:hAnsi="Songti SC" w:eastAsia="Songti SC" w:cs="Songti SC"/>
          <w:b/>
          <w:color w:val="000000"/>
        </w:rPr>
        <w:t>运行关注</w:t>
      </w:r>
    </w:p>
    <w:p w14:paraId="71B1CB7D">
      <w:pPr>
        <w:ind w:firstLine="480"/>
        <w:rPr>
          <w:rFonts w:hint="eastAsia"/>
          <w:color w:val="000000"/>
        </w:rPr>
      </w:pPr>
      <w:r>
        <w:rPr>
          <w:rFonts w:ascii="Songti SC" w:hAnsi="Songti SC" w:eastAsia="Songti SC" w:cs="Songti SC"/>
          <w:color w:val="000000"/>
        </w:rPr>
        <w:t>定期检查备份是否成功生成。</w:t>
      </w:r>
    </w:p>
    <w:p w14:paraId="4CD87717">
      <w:pPr>
        <w:ind w:firstLine="480"/>
        <w:rPr>
          <w:rFonts w:hint="eastAsia"/>
          <w:color w:val="000000"/>
        </w:rPr>
      </w:pPr>
      <w:r>
        <w:rPr>
          <w:rFonts w:ascii="Songti SC" w:hAnsi="Songti SC" w:eastAsia="Songti SC" w:cs="Songti SC"/>
          <w:color w:val="000000"/>
        </w:rPr>
        <w:t>重大上线切换前必须保留可恢复版本。</w:t>
      </w:r>
    </w:p>
    <w:p w14:paraId="275D90CA">
      <w:pPr>
        <w:numPr>
          <w:ilvl w:val="0"/>
          <w:numId w:val="47"/>
        </w:numPr>
        <w:ind w:firstLineChars="0"/>
        <w:rPr>
          <w:rFonts w:hint="eastAsia"/>
          <w:b/>
          <w:color w:val="000000"/>
        </w:rPr>
      </w:pPr>
      <w:r>
        <w:rPr>
          <w:rFonts w:ascii="Songti SC" w:hAnsi="Songti SC" w:eastAsia="Songti SC" w:cs="Songti SC"/>
          <w:b/>
          <w:color w:val="000000"/>
        </w:rPr>
        <w:t>数据对象盘点</w:t>
      </w:r>
    </w:p>
    <w:p w14:paraId="4B884A48">
      <w:pPr>
        <w:ind w:firstLine="482"/>
        <w:rPr>
          <w:rFonts w:hint="eastAsia"/>
          <w:color w:val="000000"/>
        </w:rPr>
      </w:pPr>
      <w:r>
        <w:rPr>
          <w:rFonts w:ascii="Songti SC" w:hAnsi="Songti SC" w:eastAsia="Songti SC" w:cs="Songti SC"/>
          <w:b/>
          <w:color w:val="000000"/>
        </w:rPr>
        <w:t>工作目标：明确需要承接和适配的数据范围，避免遗漏关键业务对象。</w:t>
      </w:r>
    </w:p>
    <w:p w14:paraId="46968F23">
      <w:pPr>
        <w:ind w:firstLine="482"/>
        <w:rPr>
          <w:rFonts w:hint="eastAsia"/>
          <w:color w:val="000000"/>
        </w:rPr>
      </w:pPr>
      <w:r>
        <w:rPr>
          <w:rFonts w:ascii="Songti SC" w:hAnsi="Songti SC" w:eastAsia="Songti SC" w:cs="Songti SC"/>
          <w:b/>
          <w:color w:val="000000"/>
        </w:rPr>
        <w:t>具体做法</w:t>
      </w:r>
    </w:p>
    <w:p w14:paraId="18FE0989">
      <w:pPr>
        <w:ind w:firstLine="480"/>
        <w:rPr>
          <w:rFonts w:hint="eastAsia"/>
          <w:color w:val="000000"/>
        </w:rPr>
      </w:pPr>
      <w:r>
        <w:rPr>
          <w:rFonts w:ascii="Songti SC" w:hAnsi="Songti SC" w:eastAsia="Songti SC" w:cs="Songti SC"/>
          <w:color w:val="000000"/>
        </w:rPr>
        <w:t>盘点基础资料、人员账户、充值补贴、消费订单、设备运行、报表统计和日志数据。</w:t>
      </w:r>
    </w:p>
    <w:p w14:paraId="64C07BBF">
      <w:pPr>
        <w:ind w:firstLine="480"/>
        <w:rPr>
          <w:rFonts w:hint="eastAsia"/>
          <w:color w:val="000000"/>
        </w:rPr>
      </w:pPr>
      <w:r>
        <w:rPr>
          <w:rFonts w:ascii="Songti SC" w:hAnsi="Songti SC" w:eastAsia="Songti SC" w:cs="Songti SC"/>
          <w:color w:val="000000"/>
        </w:rPr>
        <w:t>记录每类数据的数据量、增长速度、关联关系和保留要求。</w:t>
      </w:r>
    </w:p>
    <w:p w14:paraId="47584A51">
      <w:pPr>
        <w:ind w:firstLine="480"/>
        <w:rPr>
          <w:rFonts w:hint="eastAsia"/>
          <w:color w:val="000000"/>
        </w:rPr>
      </w:pPr>
      <w:r>
        <w:rPr>
          <w:rFonts w:ascii="Songti SC" w:hAnsi="Songti SC" w:eastAsia="Songti SC" w:cs="Songti SC"/>
          <w:color w:val="000000"/>
        </w:rPr>
        <w:t>识别重复人员、无效卡号、无部门人员、异常余额等问题数据。</w:t>
      </w:r>
    </w:p>
    <w:p w14:paraId="2127EFE7">
      <w:pPr>
        <w:ind w:firstLine="482"/>
        <w:rPr>
          <w:rFonts w:hint="eastAsia"/>
          <w:color w:val="000000"/>
        </w:rPr>
      </w:pPr>
      <w:r>
        <w:rPr>
          <w:rFonts w:ascii="Songti SC" w:hAnsi="Songti SC" w:eastAsia="Songti SC" w:cs="Songti SC"/>
          <w:b/>
          <w:color w:val="000000"/>
        </w:rPr>
        <w:t>兼容适配关注</w:t>
      </w:r>
    </w:p>
    <w:p w14:paraId="142B28AB">
      <w:pPr>
        <w:ind w:firstLine="480"/>
        <w:rPr>
          <w:rFonts w:hint="eastAsia"/>
          <w:color w:val="000000"/>
        </w:rPr>
      </w:pPr>
      <w:r>
        <w:rPr>
          <w:rFonts w:ascii="Songti SC" w:hAnsi="Songti SC" w:eastAsia="Songti SC" w:cs="Songti SC"/>
          <w:color w:val="000000"/>
        </w:rPr>
        <w:t>数据库建表前明确字段类型、长度、默认值和约束。</w:t>
      </w:r>
    </w:p>
    <w:p w14:paraId="56C3E0FE">
      <w:pPr>
        <w:ind w:firstLine="480"/>
        <w:rPr>
          <w:rFonts w:hint="eastAsia"/>
          <w:color w:val="000000"/>
        </w:rPr>
      </w:pPr>
      <w:r>
        <w:rPr>
          <w:rFonts w:ascii="Songti SC" w:hAnsi="Songti SC" w:eastAsia="Songti SC" w:cs="Songti SC"/>
          <w:color w:val="000000"/>
        </w:rPr>
        <w:t>历史脏数据不直接掩盖，应形成处理口径。</w:t>
      </w:r>
    </w:p>
    <w:p w14:paraId="339B44F2">
      <w:pPr>
        <w:ind w:firstLine="482"/>
        <w:rPr>
          <w:rFonts w:hint="eastAsia"/>
          <w:color w:val="000000"/>
        </w:rPr>
      </w:pPr>
      <w:r>
        <w:rPr>
          <w:rFonts w:ascii="Songti SC" w:hAnsi="Songti SC" w:eastAsia="Songti SC" w:cs="Songti SC"/>
          <w:b/>
          <w:color w:val="000000"/>
        </w:rPr>
        <w:t>运行关注</w:t>
      </w:r>
    </w:p>
    <w:p w14:paraId="66B0B521">
      <w:pPr>
        <w:ind w:firstLine="480"/>
        <w:rPr>
          <w:rFonts w:hint="eastAsia"/>
          <w:color w:val="000000"/>
        </w:rPr>
      </w:pPr>
      <w:r>
        <w:rPr>
          <w:rFonts w:ascii="Songti SC" w:hAnsi="Songti SC" w:eastAsia="Songti SC" w:cs="Songti SC"/>
          <w:color w:val="000000"/>
        </w:rPr>
        <w:t>数据对象变化会影响</w:t>
      </w:r>
      <w:r>
        <w:rPr>
          <w:rFonts w:hint="eastAsia" w:ascii="Songti SC" w:hAnsi="Songti SC" w:eastAsia="Songti SC" w:cs="Songti SC"/>
          <w:color w:val="000000"/>
        </w:rPr>
        <w:t>数据</w:t>
      </w:r>
      <w:r>
        <w:rPr>
          <w:rFonts w:ascii="Songti SC" w:hAnsi="Songti SC" w:eastAsia="Songti SC" w:cs="Songti SC"/>
          <w:color w:val="000000"/>
        </w:rPr>
        <w:t>承接脚本和报表口径。</w:t>
      </w:r>
    </w:p>
    <w:p w14:paraId="24219C31">
      <w:pPr>
        <w:ind w:firstLine="480"/>
        <w:rPr>
          <w:rFonts w:hint="eastAsia"/>
          <w:color w:val="000000"/>
        </w:rPr>
      </w:pPr>
      <w:r>
        <w:rPr>
          <w:rFonts w:ascii="Songti SC" w:hAnsi="Songti SC" w:eastAsia="Songti SC" w:cs="Songti SC"/>
          <w:color w:val="000000"/>
        </w:rPr>
        <w:t>上线前锁定迁移范围。</w:t>
      </w:r>
    </w:p>
    <w:p w14:paraId="3871B82D">
      <w:pPr>
        <w:numPr>
          <w:ilvl w:val="0"/>
          <w:numId w:val="47"/>
        </w:numPr>
        <w:ind w:firstLineChars="0"/>
        <w:rPr>
          <w:rFonts w:hint="eastAsia"/>
          <w:b/>
          <w:color w:val="000000"/>
        </w:rPr>
      </w:pPr>
      <w:r>
        <w:rPr>
          <w:rFonts w:ascii="Songti SC" w:hAnsi="Songti SC" w:eastAsia="Songti SC" w:cs="Songti SC"/>
          <w:b/>
          <w:color w:val="000000"/>
        </w:rPr>
        <w:t>字段映射与转换</w:t>
      </w:r>
    </w:p>
    <w:p w14:paraId="7DB36EE9">
      <w:pPr>
        <w:ind w:firstLine="482"/>
        <w:rPr>
          <w:rFonts w:hint="eastAsia"/>
          <w:color w:val="000000"/>
        </w:rPr>
      </w:pPr>
      <w:r>
        <w:rPr>
          <w:rFonts w:ascii="Songti SC" w:hAnsi="Songti SC" w:eastAsia="Songti SC" w:cs="Songti SC"/>
          <w:b/>
          <w:color w:val="000000"/>
        </w:rPr>
        <w:t>工作目标：建立原系统数据到数据库的字段映射关系。</w:t>
      </w:r>
    </w:p>
    <w:p w14:paraId="67B2D54E">
      <w:pPr>
        <w:ind w:firstLine="482"/>
        <w:rPr>
          <w:rFonts w:hint="eastAsia"/>
          <w:color w:val="000000"/>
        </w:rPr>
      </w:pPr>
      <w:r>
        <w:rPr>
          <w:rFonts w:ascii="Songti SC" w:hAnsi="Songti SC" w:eastAsia="Songti SC" w:cs="Songti SC"/>
          <w:b/>
          <w:color w:val="000000"/>
        </w:rPr>
        <w:t>具体做法</w:t>
      </w:r>
    </w:p>
    <w:p w14:paraId="52AE0A7F">
      <w:pPr>
        <w:ind w:firstLine="480"/>
        <w:rPr>
          <w:rFonts w:hint="eastAsia"/>
          <w:color w:val="000000"/>
        </w:rPr>
      </w:pPr>
      <w:r>
        <w:rPr>
          <w:rFonts w:ascii="Songti SC" w:hAnsi="Songti SC" w:eastAsia="Songti SC" w:cs="Songti SC"/>
          <w:color w:val="000000"/>
        </w:rPr>
        <w:t>逐表梳理字段名称、数据类型、是否必填、默认值和业务含义。</w:t>
      </w:r>
    </w:p>
    <w:p w14:paraId="79D578F5">
      <w:pPr>
        <w:ind w:firstLine="480"/>
        <w:rPr>
          <w:rFonts w:hint="eastAsia"/>
          <w:color w:val="000000"/>
        </w:rPr>
      </w:pPr>
      <w:r>
        <w:rPr>
          <w:rFonts w:ascii="Songti SC" w:hAnsi="Songti SC" w:eastAsia="Songti SC" w:cs="Songti SC"/>
          <w:color w:val="000000"/>
        </w:rPr>
        <w:t>明确人员状态、卡状态、订单状态、充值状态、补贴状态等枚举转换。</w:t>
      </w:r>
    </w:p>
    <w:p w14:paraId="0D8E5282">
      <w:pPr>
        <w:ind w:firstLine="480"/>
        <w:rPr>
          <w:rFonts w:hint="eastAsia"/>
          <w:color w:val="000000"/>
        </w:rPr>
      </w:pPr>
      <w:r>
        <w:rPr>
          <w:rFonts w:ascii="Songti SC" w:hAnsi="Songti SC" w:eastAsia="Songti SC" w:cs="Songti SC"/>
          <w:color w:val="000000"/>
        </w:rPr>
        <w:t>明确日期、金额、手机号、卡号、人脸文件路径等转换规则。</w:t>
      </w:r>
    </w:p>
    <w:p w14:paraId="27FFF050">
      <w:pPr>
        <w:ind w:firstLine="482"/>
        <w:rPr>
          <w:rFonts w:hint="eastAsia"/>
          <w:color w:val="000000"/>
        </w:rPr>
      </w:pPr>
      <w:r>
        <w:rPr>
          <w:rFonts w:ascii="Songti SC" w:hAnsi="Songti SC" w:eastAsia="Songti SC" w:cs="Songti SC"/>
          <w:b/>
          <w:color w:val="000000"/>
        </w:rPr>
        <w:t>兼容适配关注</w:t>
      </w:r>
    </w:p>
    <w:p w14:paraId="20B2F18D">
      <w:pPr>
        <w:ind w:firstLine="480"/>
        <w:rPr>
          <w:rFonts w:hint="eastAsia"/>
          <w:color w:val="000000"/>
        </w:rPr>
      </w:pPr>
      <w:r>
        <w:rPr>
          <w:rFonts w:ascii="Songti SC" w:hAnsi="Songti SC" w:eastAsia="Songti SC" w:cs="Songti SC"/>
          <w:color w:val="000000"/>
        </w:rPr>
        <w:t>SQL 类型差异和函数差异提前处理。</w:t>
      </w:r>
    </w:p>
    <w:p w14:paraId="0BE96274">
      <w:pPr>
        <w:ind w:firstLine="480"/>
        <w:rPr>
          <w:rFonts w:hint="eastAsia"/>
          <w:color w:val="000000"/>
        </w:rPr>
      </w:pPr>
      <w:r>
        <w:rPr>
          <w:rFonts w:ascii="Songti SC" w:hAnsi="Songti SC" w:eastAsia="Songti SC" w:cs="Songti SC"/>
          <w:color w:val="000000"/>
        </w:rPr>
        <w:t>金额、日期、空值和中文字符是重点关注对象。</w:t>
      </w:r>
    </w:p>
    <w:p w14:paraId="1372A069">
      <w:pPr>
        <w:ind w:firstLine="482"/>
        <w:rPr>
          <w:rFonts w:hint="eastAsia"/>
          <w:color w:val="000000"/>
        </w:rPr>
      </w:pPr>
      <w:r>
        <w:rPr>
          <w:rFonts w:ascii="Songti SC" w:hAnsi="Songti SC" w:eastAsia="Songti SC" w:cs="Songti SC"/>
          <w:b/>
          <w:color w:val="000000"/>
        </w:rPr>
        <w:t>运行关注</w:t>
      </w:r>
    </w:p>
    <w:p w14:paraId="2F808C53">
      <w:pPr>
        <w:ind w:firstLine="480"/>
        <w:rPr>
          <w:rFonts w:hint="eastAsia"/>
          <w:color w:val="000000"/>
        </w:rPr>
      </w:pPr>
      <w:r>
        <w:rPr>
          <w:rFonts w:ascii="Songti SC" w:hAnsi="Songti SC" w:eastAsia="Songti SC" w:cs="Songti SC"/>
          <w:color w:val="000000"/>
        </w:rPr>
        <w:t>字段映射一旦调整，要同步修改</w:t>
      </w:r>
      <w:r>
        <w:rPr>
          <w:rFonts w:hint="eastAsia" w:ascii="Songti SC" w:hAnsi="Songti SC" w:eastAsia="Songti SC" w:cs="Songti SC"/>
          <w:color w:val="000000"/>
        </w:rPr>
        <w:t>数据</w:t>
      </w:r>
      <w:r>
        <w:rPr>
          <w:rFonts w:ascii="Songti SC" w:hAnsi="Songti SC" w:eastAsia="Songti SC" w:cs="Songti SC"/>
          <w:color w:val="000000"/>
        </w:rPr>
        <w:t>承接脚本和校验规则。</w:t>
      </w:r>
    </w:p>
    <w:p w14:paraId="71941E1F">
      <w:pPr>
        <w:ind w:firstLine="480"/>
        <w:rPr>
          <w:rFonts w:hint="eastAsia"/>
          <w:color w:val="000000"/>
        </w:rPr>
      </w:pPr>
      <w:r>
        <w:rPr>
          <w:rFonts w:ascii="Songti SC" w:hAnsi="Songti SC" w:eastAsia="Songti SC" w:cs="Songti SC"/>
          <w:color w:val="000000"/>
        </w:rPr>
        <w:t>承接后按字段口径抽样核查。</w:t>
      </w:r>
    </w:p>
    <w:p w14:paraId="5A548086">
      <w:pPr>
        <w:numPr>
          <w:ilvl w:val="0"/>
          <w:numId w:val="47"/>
        </w:numPr>
        <w:ind w:firstLineChars="0"/>
        <w:rPr>
          <w:rFonts w:hint="eastAsia"/>
          <w:b/>
          <w:color w:val="000000"/>
        </w:rPr>
      </w:pPr>
      <w:r>
        <w:rPr>
          <w:rFonts w:ascii="Songti SC" w:hAnsi="Songti SC" w:eastAsia="Songti SC" w:cs="Songti SC"/>
          <w:b/>
          <w:color w:val="000000"/>
        </w:rPr>
        <w:t>基础资料承接与校验</w:t>
      </w:r>
    </w:p>
    <w:p w14:paraId="76D378DB">
      <w:pPr>
        <w:ind w:firstLine="482"/>
        <w:rPr>
          <w:rFonts w:hint="eastAsia"/>
          <w:color w:val="000000"/>
        </w:rPr>
      </w:pPr>
      <w:r>
        <w:rPr>
          <w:rFonts w:ascii="Songti SC" w:hAnsi="Songti SC" w:eastAsia="Songti SC" w:cs="Songti SC"/>
          <w:b/>
          <w:color w:val="000000"/>
        </w:rPr>
        <w:t>工作目标：</w:t>
      </w:r>
      <w:r>
        <w:rPr>
          <w:rFonts w:ascii="Songti SC" w:hAnsi="Songti SC" w:eastAsia="Songti SC" w:cs="Songti SC"/>
          <w:color w:val="000000"/>
        </w:rPr>
        <w:t>迁移办公区、部门、身份类别、餐厅、菜品、餐次和消费策略等基础资料。</w:t>
      </w:r>
    </w:p>
    <w:p w14:paraId="29D06425">
      <w:pPr>
        <w:ind w:firstLine="482"/>
        <w:rPr>
          <w:rFonts w:hint="eastAsia"/>
          <w:color w:val="000000"/>
        </w:rPr>
      </w:pPr>
      <w:r>
        <w:rPr>
          <w:rFonts w:ascii="Songti SC" w:hAnsi="Songti SC" w:eastAsia="Songti SC" w:cs="Songti SC"/>
          <w:b/>
          <w:color w:val="000000"/>
        </w:rPr>
        <w:t>具体做法</w:t>
      </w:r>
    </w:p>
    <w:p w14:paraId="3A9E9936">
      <w:pPr>
        <w:ind w:firstLine="480"/>
        <w:rPr>
          <w:rFonts w:hint="eastAsia"/>
          <w:color w:val="000000"/>
        </w:rPr>
      </w:pPr>
      <w:r>
        <w:rPr>
          <w:rFonts w:ascii="Songti SC" w:hAnsi="Songti SC" w:eastAsia="Songti SC" w:cs="Songti SC"/>
          <w:color w:val="000000"/>
        </w:rPr>
        <w:t>先承接</w:t>
      </w:r>
      <w:r>
        <w:rPr>
          <w:rFonts w:hint="eastAsia" w:ascii="Songti SC" w:hAnsi="Songti SC" w:eastAsia="Songti SC" w:cs="Songti SC"/>
          <w:color w:val="000000"/>
        </w:rPr>
        <w:t>数据</w:t>
      </w:r>
      <w:r>
        <w:rPr>
          <w:rFonts w:ascii="Songti SC" w:hAnsi="Songti SC" w:eastAsia="Songti SC" w:cs="Songti SC"/>
          <w:color w:val="000000"/>
        </w:rPr>
        <w:t>基础字典，再承接依赖这些字典的人员和订单。</w:t>
      </w:r>
    </w:p>
    <w:p w14:paraId="7168882D">
      <w:pPr>
        <w:ind w:firstLine="480"/>
        <w:rPr>
          <w:rFonts w:hint="eastAsia"/>
          <w:color w:val="000000"/>
        </w:rPr>
      </w:pPr>
      <w:r>
        <w:rPr>
          <w:rFonts w:ascii="Songti SC" w:hAnsi="Songti SC" w:eastAsia="Songti SC" w:cs="Songti SC"/>
          <w:color w:val="000000"/>
        </w:rPr>
        <w:t>核对部门、身份类别、餐厅、菜品名称和编码。</w:t>
      </w:r>
    </w:p>
    <w:p w14:paraId="523D2533">
      <w:pPr>
        <w:ind w:firstLine="480"/>
        <w:rPr>
          <w:rFonts w:hint="eastAsia"/>
          <w:color w:val="000000"/>
        </w:rPr>
      </w:pPr>
      <w:r>
        <w:rPr>
          <w:rFonts w:ascii="Songti SC" w:hAnsi="Songti SC" w:eastAsia="Songti SC" w:cs="Songti SC"/>
          <w:color w:val="000000"/>
        </w:rPr>
        <w:t>保留停用或历史配置，保证历史订单可查询。</w:t>
      </w:r>
    </w:p>
    <w:p w14:paraId="0EC9034D">
      <w:pPr>
        <w:ind w:firstLine="482"/>
        <w:rPr>
          <w:rFonts w:hint="eastAsia"/>
          <w:color w:val="000000"/>
        </w:rPr>
      </w:pPr>
      <w:r>
        <w:rPr>
          <w:rFonts w:ascii="Songti SC" w:hAnsi="Songti SC" w:eastAsia="Songti SC" w:cs="Songti SC"/>
          <w:b/>
          <w:color w:val="000000"/>
        </w:rPr>
        <w:t>兼容适配关注</w:t>
      </w:r>
    </w:p>
    <w:p w14:paraId="5090586B">
      <w:pPr>
        <w:ind w:firstLine="480"/>
        <w:rPr>
          <w:rFonts w:hint="eastAsia"/>
          <w:color w:val="000000"/>
        </w:rPr>
      </w:pPr>
      <w:r>
        <w:rPr>
          <w:rFonts w:ascii="Songti SC" w:hAnsi="Songti SC" w:eastAsia="Songti SC" w:cs="Songti SC"/>
          <w:color w:val="000000"/>
        </w:rPr>
        <w:t>数据库中建立稳定编码，减少名称变化影响。</w:t>
      </w:r>
    </w:p>
    <w:p w14:paraId="4C9CEA98">
      <w:pPr>
        <w:ind w:firstLine="480"/>
        <w:rPr>
          <w:rFonts w:hint="eastAsia"/>
          <w:color w:val="000000"/>
        </w:rPr>
      </w:pPr>
      <w:r>
        <w:rPr>
          <w:rFonts w:ascii="Songti SC" w:hAnsi="Songti SC" w:eastAsia="Songti SC" w:cs="Songti SC"/>
          <w:color w:val="000000"/>
        </w:rPr>
        <w:t>菜品价格保持历史口径。</w:t>
      </w:r>
    </w:p>
    <w:p w14:paraId="3AE0AE5F">
      <w:pPr>
        <w:ind w:firstLine="482"/>
        <w:rPr>
          <w:rFonts w:hint="eastAsia"/>
          <w:color w:val="000000"/>
        </w:rPr>
      </w:pPr>
      <w:r>
        <w:rPr>
          <w:rFonts w:ascii="Songti SC" w:hAnsi="Songti SC" w:eastAsia="Songti SC" w:cs="Songti SC"/>
          <w:b/>
          <w:color w:val="000000"/>
        </w:rPr>
        <w:t>运行关注</w:t>
      </w:r>
    </w:p>
    <w:p w14:paraId="588E5497">
      <w:pPr>
        <w:ind w:firstLine="480"/>
        <w:rPr>
          <w:rFonts w:hint="eastAsia"/>
          <w:color w:val="000000"/>
        </w:rPr>
      </w:pPr>
      <w:r>
        <w:rPr>
          <w:rFonts w:ascii="Songti SC" w:hAnsi="Songti SC" w:eastAsia="Songti SC" w:cs="Songti SC"/>
          <w:color w:val="000000"/>
        </w:rPr>
        <w:t>基础资料错误会影响人员权限和报表汇总。</w:t>
      </w:r>
    </w:p>
    <w:p w14:paraId="67501C24">
      <w:pPr>
        <w:ind w:firstLine="480"/>
        <w:rPr>
          <w:rFonts w:hint="eastAsia"/>
          <w:color w:val="000000"/>
        </w:rPr>
      </w:pPr>
      <w:r>
        <w:rPr>
          <w:rFonts w:ascii="Songti SC" w:hAnsi="Songti SC" w:eastAsia="Songti SC" w:cs="Songti SC"/>
          <w:color w:val="000000"/>
        </w:rPr>
        <w:t>切换前避免大规模修改基础资料。</w:t>
      </w:r>
    </w:p>
    <w:p w14:paraId="07547184">
      <w:pPr>
        <w:numPr>
          <w:ilvl w:val="0"/>
          <w:numId w:val="47"/>
        </w:numPr>
        <w:ind w:firstLineChars="0"/>
        <w:rPr>
          <w:rFonts w:hint="eastAsia"/>
          <w:b/>
          <w:color w:val="000000"/>
        </w:rPr>
      </w:pPr>
      <w:r>
        <w:rPr>
          <w:rFonts w:ascii="Songti SC" w:hAnsi="Songti SC" w:eastAsia="Songti SC" w:cs="Songti SC"/>
          <w:b/>
          <w:color w:val="000000"/>
        </w:rPr>
        <w:t>人员数据承接与校验</w:t>
      </w:r>
    </w:p>
    <w:p w14:paraId="4D937FA9">
      <w:pPr>
        <w:ind w:firstLine="482"/>
        <w:rPr>
          <w:rFonts w:hint="eastAsia"/>
          <w:color w:val="000000"/>
        </w:rPr>
      </w:pPr>
      <w:r>
        <w:rPr>
          <w:rFonts w:ascii="Songti SC" w:hAnsi="Songti SC" w:eastAsia="Songti SC" w:cs="Songti SC"/>
          <w:b/>
          <w:color w:val="000000"/>
        </w:rPr>
        <w:t>工作目标：</w:t>
      </w:r>
      <w:r>
        <w:rPr>
          <w:rFonts w:ascii="Songti SC" w:hAnsi="Songti SC" w:eastAsia="Songti SC" w:cs="Songti SC"/>
          <w:color w:val="000000"/>
        </w:rPr>
        <w:t>完整承接人员档案和服务对象范围。</w:t>
      </w:r>
    </w:p>
    <w:p w14:paraId="2E9564C4">
      <w:pPr>
        <w:ind w:firstLine="482"/>
        <w:rPr>
          <w:rFonts w:hint="eastAsia"/>
          <w:color w:val="000000"/>
        </w:rPr>
      </w:pPr>
      <w:r>
        <w:rPr>
          <w:rFonts w:ascii="Songti SC" w:hAnsi="Songti SC" w:eastAsia="Songti SC" w:cs="Songti SC"/>
          <w:b/>
          <w:color w:val="000000"/>
        </w:rPr>
        <w:t>具体做法</w:t>
      </w:r>
    </w:p>
    <w:p w14:paraId="34477C09">
      <w:pPr>
        <w:ind w:firstLine="480"/>
        <w:rPr>
          <w:rFonts w:hint="eastAsia"/>
          <w:color w:val="000000"/>
        </w:rPr>
      </w:pPr>
      <w:r>
        <w:rPr>
          <w:rFonts w:ascii="Songti SC" w:hAnsi="Songti SC" w:eastAsia="Songti SC" w:cs="Songti SC"/>
          <w:color w:val="000000"/>
        </w:rPr>
        <w:t>承接人员编号、姓名、部门、手机号、身份类别、状态、有效期等信息。</w:t>
      </w:r>
    </w:p>
    <w:p w14:paraId="356E2E07">
      <w:pPr>
        <w:ind w:firstLine="480"/>
        <w:rPr>
          <w:rFonts w:hint="eastAsia"/>
          <w:color w:val="000000"/>
        </w:rPr>
      </w:pPr>
      <w:r>
        <w:rPr>
          <w:rFonts w:ascii="Songti SC" w:hAnsi="Songti SC" w:eastAsia="Songti SC" w:cs="Songti SC"/>
          <w:color w:val="000000"/>
        </w:rPr>
        <w:t>核对有效人员、离职人员、注销人员和临时人员数量。</w:t>
      </w:r>
    </w:p>
    <w:p w14:paraId="5EE88454">
      <w:pPr>
        <w:ind w:firstLine="480"/>
        <w:rPr>
          <w:rFonts w:hint="eastAsia"/>
          <w:color w:val="000000"/>
        </w:rPr>
      </w:pPr>
      <w:r>
        <w:rPr>
          <w:rFonts w:ascii="Songti SC" w:hAnsi="Songti SC" w:eastAsia="Songti SC" w:cs="Songti SC"/>
          <w:color w:val="000000"/>
        </w:rPr>
        <w:t>处理重复人员、无部门人员、状态异常人员。</w:t>
      </w:r>
    </w:p>
    <w:p w14:paraId="192976CA">
      <w:pPr>
        <w:ind w:firstLine="482"/>
        <w:rPr>
          <w:rFonts w:hint="eastAsia"/>
          <w:color w:val="000000"/>
        </w:rPr>
      </w:pPr>
      <w:r>
        <w:rPr>
          <w:rFonts w:ascii="Songti SC" w:hAnsi="Songti SC" w:eastAsia="Songti SC" w:cs="Songti SC"/>
          <w:b/>
          <w:color w:val="000000"/>
        </w:rPr>
        <w:t>兼容适配关注</w:t>
      </w:r>
    </w:p>
    <w:p w14:paraId="66BEE8EA">
      <w:pPr>
        <w:ind w:firstLine="480"/>
        <w:rPr>
          <w:rFonts w:hint="eastAsia"/>
          <w:color w:val="000000"/>
        </w:rPr>
      </w:pPr>
      <w:r>
        <w:rPr>
          <w:rFonts w:ascii="Songti SC" w:hAnsi="Songti SC" w:eastAsia="Songti SC" w:cs="Songti SC"/>
          <w:color w:val="000000"/>
        </w:rPr>
        <w:t>人员编号和手机号等唯一字段建立约束。</w:t>
      </w:r>
    </w:p>
    <w:p w14:paraId="44FA486D">
      <w:pPr>
        <w:ind w:firstLine="480"/>
        <w:rPr>
          <w:rFonts w:hint="eastAsia"/>
          <w:color w:val="000000"/>
        </w:rPr>
      </w:pPr>
      <w:r>
        <w:rPr>
          <w:rFonts w:ascii="Songti SC" w:hAnsi="Songti SC" w:eastAsia="Songti SC" w:cs="Songti SC"/>
          <w:color w:val="000000"/>
        </w:rPr>
        <w:t>中文姓名和特殊字符在数据库中正常保存和查询。</w:t>
      </w:r>
    </w:p>
    <w:p w14:paraId="50B95B42">
      <w:pPr>
        <w:ind w:firstLine="482"/>
        <w:rPr>
          <w:rFonts w:hint="eastAsia"/>
          <w:color w:val="000000"/>
        </w:rPr>
      </w:pPr>
      <w:r>
        <w:rPr>
          <w:rFonts w:ascii="Songti SC" w:hAnsi="Songti SC" w:eastAsia="Songti SC" w:cs="Songti SC"/>
          <w:b/>
          <w:color w:val="000000"/>
        </w:rPr>
        <w:t>运行关注</w:t>
      </w:r>
    </w:p>
    <w:p w14:paraId="71EECEC3">
      <w:pPr>
        <w:ind w:firstLine="480"/>
        <w:rPr>
          <w:rFonts w:hint="eastAsia"/>
          <w:color w:val="000000"/>
        </w:rPr>
      </w:pPr>
      <w:r>
        <w:rPr>
          <w:rFonts w:ascii="Songti SC" w:hAnsi="Songti SC" w:eastAsia="Songti SC" w:cs="Songti SC"/>
          <w:color w:val="000000"/>
        </w:rPr>
        <w:t>人员状态直接影响登录、充值和消费。</w:t>
      </w:r>
    </w:p>
    <w:p w14:paraId="717EFC3C">
      <w:pPr>
        <w:ind w:firstLine="480"/>
        <w:rPr>
          <w:rFonts w:hint="eastAsia"/>
          <w:color w:val="000000"/>
        </w:rPr>
      </w:pPr>
      <w:r>
        <w:rPr>
          <w:rFonts w:ascii="Songti SC" w:hAnsi="Songti SC" w:eastAsia="Songti SC" w:cs="Songti SC"/>
          <w:color w:val="000000"/>
        </w:rPr>
        <w:t>人员变更后需进入消费机同步队列。</w:t>
      </w:r>
    </w:p>
    <w:p w14:paraId="2F9F6B21">
      <w:pPr>
        <w:numPr>
          <w:ilvl w:val="0"/>
          <w:numId w:val="47"/>
        </w:numPr>
        <w:ind w:firstLineChars="0"/>
        <w:rPr>
          <w:rFonts w:hint="eastAsia"/>
          <w:b/>
          <w:color w:val="000000"/>
        </w:rPr>
      </w:pPr>
      <w:r>
        <w:rPr>
          <w:rFonts w:ascii="Songti SC" w:hAnsi="Songti SC" w:eastAsia="Songti SC" w:cs="Songti SC"/>
          <w:b/>
          <w:color w:val="000000"/>
        </w:rPr>
        <w:t>卡号与挂失数据承接与校验</w:t>
      </w:r>
    </w:p>
    <w:p w14:paraId="11DDA908">
      <w:pPr>
        <w:ind w:firstLine="482"/>
        <w:rPr>
          <w:rFonts w:hint="eastAsia"/>
          <w:color w:val="000000"/>
        </w:rPr>
      </w:pPr>
      <w:r>
        <w:rPr>
          <w:rFonts w:ascii="Songti SC" w:hAnsi="Songti SC" w:eastAsia="Songti SC" w:cs="Songti SC"/>
          <w:b/>
          <w:color w:val="000000"/>
        </w:rPr>
        <w:t>工作目标：</w:t>
      </w:r>
      <w:r>
        <w:rPr>
          <w:rFonts w:ascii="Songti SC" w:hAnsi="Songti SC" w:eastAsia="Songti SC" w:cs="Songti SC"/>
          <w:color w:val="000000"/>
        </w:rPr>
        <w:t>承接卡号绑定关系、挂失状态和历史变更。</w:t>
      </w:r>
    </w:p>
    <w:p w14:paraId="7FAA5BCA">
      <w:pPr>
        <w:ind w:firstLine="482"/>
        <w:rPr>
          <w:rFonts w:hint="eastAsia"/>
          <w:color w:val="000000"/>
        </w:rPr>
      </w:pPr>
      <w:r>
        <w:rPr>
          <w:rFonts w:ascii="Songti SC" w:hAnsi="Songti SC" w:eastAsia="Songti SC" w:cs="Songti SC"/>
          <w:b/>
          <w:color w:val="000000"/>
        </w:rPr>
        <w:t>具体做法</w:t>
      </w:r>
    </w:p>
    <w:p w14:paraId="459043F3">
      <w:pPr>
        <w:ind w:firstLine="480"/>
        <w:rPr>
          <w:rFonts w:hint="eastAsia"/>
          <w:color w:val="000000"/>
        </w:rPr>
      </w:pPr>
      <w:r>
        <w:rPr>
          <w:rFonts w:ascii="Songti SC" w:hAnsi="Songti SC" w:eastAsia="Songti SC" w:cs="Songti SC"/>
          <w:color w:val="000000"/>
        </w:rPr>
        <w:t>承接人员与卡号绑定关系。</w:t>
      </w:r>
    </w:p>
    <w:p w14:paraId="4A8BACF3">
      <w:pPr>
        <w:ind w:firstLine="480"/>
        <w:rPr>
          <w:rFonts w:hint="eastAsia"/>
          <w:color w:val="000000"/>
        </w:rPr>
      </w:pPr>
      <w:r>
        <w:rPr>
          <w:rFonts w:ascii="Songti SC" w:hAnsi="Songti SC" w:eastAsia="Songti SC" w:cs="Songti SC"/>
          <w:color w:val="000000"/>
        </w:rPr>
        <w:t>核对重复卡号、空卡号、挂失卡和已解绑卡。</w:t>
      </w:r>
    </w:p>
    <w:p w14:paraId="6B76C0CA">
      <w:pPr>
        <w:ind w:firstLine="480"/>
        <w:rPr>
          <w:rFonts w:hint="eastAsia"/>
          <w:color w:val="000000"/>
        </w:rPr>
      </w:pPr>
      <w:r>
        <w:rPr>
          <w:rFonts w:ascii="Songti SC" w:hAnsi="Songti SC" w:eastAsia="Songti SC" w:cs="Songti SC"/>
          <w:color w:val="000000"/>
        </w:rPr>
        <w:t>保留补卡、挂失、解挂等历史记录。</w:t>
      </w:r>
    </w:p>
    <w:p w14:paraId="45CEEF68">
      <w:pPr>
        <w:ind w:firstLine="482"/>
        <w:rPr>
          <w:rFonts w:hint="eastAsia"/>
          <w:color w:val="000000"/>
        </w:rPr>
      </w:pPr>
      <w:r>
        <w:rPr>
          <w:rFonts w:ascii="Songti SC" w:hAnsi="Songti SC" w:eastAsia="Songti SC" w:cs="Songti SC"/>
          <w:b/>
          <w:color w:val="000000"/>
        </w:rPr>
        <w:t>兼容适配关注</w:t>
      </w:r>
    </w:p>
    <w:p w14:paraId="2EC34385">
      <w:pPr>
        <w:ind w:firstLine="480"/>
        <w:rPr>
          <w:rFonts w:hint="eastAsia"/>
          <w:color w:val="000000"/>
        </w:rPr>
      </w:pPr>
      <w:r>
        <w:rPr>
          <w:rFonts w:ascii="Songti SC" w:hAnsi="Songti SC" w:eastAsia="Songti SC" w:cs="Songti SC"/>
          <w:color w:val="000000"/>
        </w:rPr>
        <w:t>卡号字段统一格式，防止前导零丢失。</w:t>
      </w:r>
    </w:p>
    <w:p w14:paraId="14021DE2">
      <w:pPr>
        <w:ind w:firstLine="480"/>
        <w:rPr>
          <w:rFonts w:hint="eastAsia"/>
          <w:color w:val="000000"/>
        </w:rPr>
      </w:pPr>
      <w:r>
        <w:rPr>
          <w:rFonts w:ascii="Songti SC" w:hAnsi="Songti SC" w:eastAsia="Songti SC" w:cs="Songti SC"/>
          <w:color w:val="000000"/>
        </w:rPr>
        <w:t>挂失状态同步到消费机，避免现场异常消费。</w:t>
      </w:r>
    </w:p>
    <w:p w14:paraId="30413567">
      <w:pPr>
        <w:ind w:firstLine="482"/>
        <w:rPr>
          <w:rFonts w:hint="eastAsia"/>
          <w:color w:val="000000"/>
        </w:rPr>
      </w:pPr>
      <w:r>
        <w:rPr>
          <w:rFonts w:ascii="Songti SC" w:hAnsi="Songti SC" w:eastAsia="Songti SC" w:cs="Songti SC"/>
          <w:b/>
          <w:color w:val="000000"/>
        </w:rPr>
        <w:t>运行关注</w:t>
      </w:r>
    </w:p>
    <w:p w14:paraId="50AA8323">
      <w:pPr>
        <w:ind w:firstLine="480"/>
        <w:rPr>
          <w:rFonts w:hint="eastAsia"/>
          <w:color w:val="000000"/>
        </w:rPr>
      </w:pPr>
      <w:r>
        <w:rPr>
          <w:rFonts w:ascii="Songti SC" w:hAnsi="Songti SC" w:eastAsia="Songti SC" w:cs="Songti SC"/>
          <w:color w:val="000000"/>
        </w:rPr>
        <w:t>卡号异常会直接影响刷卡消费。</w:t>
      </w:r>
    </w:p>
    <w:p w14:paraId="3875C3EF">
      <w:pPr>
        <w:ind w:firstLine="480"/>
        <w:rPr>
          <w:rFonts w:hint="eastAsia"/>
          <w:color w:val="000000"/>
        </w:rPr>
      </w:pPr>
      <w:r>
        <w:rPr>
          <w:rFonts w:ascii="Songti SC" w:hAnsi="Songti SC" w:eastAsia="Songti SC" w:cs="Songti SC"/>
          <w:color w:val="000000"/>
        </w:rPr>
        <w:t>补卡时新旧卡关系要可追溯。</w:t>
      </w:r>
    </w:p>
    <w:p w14:paraId="18EA8915">
      <w:pPr>
        <w:numPr>
          <w:ilvl w:val="0"/>
          <w:numId w:val="47"/>
        </w:numPr>
        <w:ind w:firstLineChars="0"/>
        <w:rPr>
          <w:rFonts w:hint="eastAsia"/>
          <w:b/>
          <w:color w:val="000000"/>
        </w:rPr>
      </w:pPr>
      <w:r>
        <w:rPr>
          <w:rFonts w:ascii="Songti SC" w:hAnsi="Songti SC" w:eastAsia="Songti SC" w:cs="Songti SC"/>
          <w:b/>
          <w:color w:val="000000"/>
        </w:rPr>
        <w:t>人脸数据承接与校验</w:t>
      </w:r>
    </w:p>
    <w:p w14:paraId="7899BBA0">
      <w:pPr>
        <w:ind w:firstLine="482"/>
        <w:rPr>
          <w:rFonts w:hint="eastAsia"/>
          <w:color w:val="000000"/>
        </w:rPr>
      </w:pPr>
      <w:r>
        <w:rPr>
          <w:rFonts w:ascii="Songti SC" w:hAnsi="Songti SC" w:eastAsia="Songti SC" w:cs="Songti SC"/>
          <w:b/>
          <w:color w:val="000000"/>
        </w:rPr>
        <w:t>工作目标：</w:t>
      </w:r>
      <w:r>
        <w:rPr>
          <w:rFonts w:ascii="Songti SC" w:hAnsi="Songti SC" w:eastAsia="Songti SC" w:cs="Songti SC"/>
          <w:color w:val="000000"/>
        </w:rPr>
        <w:t>承接人脸消费所需人员照片或识别数据。</w:t>
      </w:r>
    </w:p>
    <w:p w14:paraId="3CBFD087">
      <w:pPr>
        <w:ind w:firstLine="482"/>
        <w:rPr>
          <w:rFonts w:hint="eastAsia"/>
          <w:color w:val="000000"/>
        </w:rPr>
      </w:pPr>
      <w:r>
        <w:rPr>
          <w:rFonts w:ascii="Songti SC" w:hAnsi="Songti SC" w:eastAsia="Songti SC" w:cs="Songti SC"/>
          <w:b/>
          <w:color w:val="000000"/>
        </w:rPr>
        <w:t>具体做法</w:t>
      </w:r>
    </w:p>
    <w:p w14:paraId="25AF97FF">
      <w:pPr>
        <w:ind w:firstLine="480"/>
        <w:rPr>
          <w:rFonts w:hint="eastAsia"/>
          <w:color w:val="000000"/>
        </w:rPr>
      </w:pPr>
      <w:r>
        <w:rPr>
          <w:rFonts w:ascii="Songti SC" w:hAnsi="Songti SC" w:eastAsia="Songti SC" w:cs="Songti SC"/>
          <w:color w:val="000000"/>
        </w:rPr>
        <w:t>整理人脸文件目录、人员关联关系和同步状态。</w:t>
      </w:r>
    </w:p>
    <w:p w14:paraId="5C66DA04">
      <w:pPr>
        <w:ind w:firstLine="480"/>
        <w:rPr>
          <w:rFonts w:hint="eastAsia"/>
          <w:color w:val="000000"/>
        </w:rPr>
      </w:pPr>
      <w:r>
        <w:rPr>
          <w:rFonts w:ascii="Songti SC" w:hAnsi="Songti SC" w:eastAsia="Songti SC" w:cs="Songti SC"/>
          <w:color w:val="000000"/>
        </w:rPr>
        <w:t>承接人脸照片或识别所需文件。</w:t>
      </w:r>
    </w:p>
    <w:p w14:paraId="70C6B71F">
      <w:pPr>
        <w:ind w:firstLine="480"/>
        <w:rPr>
          <w:rFonts w:hint="eastAsia"/>
          <w:color w:val="000000"/>
        </w:rPr>
      </w:pPr>
      <w:r>
        <w:rPr>
          <w:rFonts w:ascii="Songti SC" w:hAnsi="Songti SC" w:eastAsia="Songti SC" w:cs="Songti SC"/>
          <w:color w:val="000000"/>
        </w:rPr>
        <w:t>核对缺失、损坏、重复或无法识别的人脸数据。</w:t>
      </w:r>
    </w:p>
    <w:p w14:paraId="126C2124">
      <w:pPr>
        <w:ind w:firstLine="482"/>
        <w:rPr>
          <w:rFonts w:hint="eastAsia"/>
          <w:color w:val="000000"/>
        </w:rPr>
      </w:pPr>
      <w:r>
        <w:rPr>
          <w:rFonts w:ascii="Songti SC" w:hAnsi="Songti SC" w:eastAsia="Songti SC" w:cs="Songti SC"/>
          <w:b/>
          <w:color w:val="000000"/>
        </w:rPr>
        <w:t>兼容适配关注</w:t>
      </w:r>
    </w:p>
    <w:p w14:paraId="594025BD">
      <w:pPr>
        <w:ind w:firstLine="480"/>
        <w:rPr>
          <w:rFonts w:hint="eastAsia"/>
          <w:color w:val="000000"/>
        </w:rPr>
      </w:pPr>
      <w:r>
        <w:rPr>
          <w:rFonts w:ascii="Songti SC" w:hAnsi="Songti SC" w:eastAsia="Songti SC" w:cs="Songti SC"/>
          <w:color w:val="000000"/>
        </w:rPr>
        <w:t>人脸文件路径适配服务器操作系统目录。</w:t>
      </w:r>
    </w:p>
    <w:p w14:paraId="0CF49E54">
      <w:pPr>
        <w:ind w:firstLine="480"/>
        <w:rPr>
          <w:rFonts w:hint="eastAsia"/>
          <w:color w:val="000000"/>
        </w:rPr>
      </w:pPr>
      <w:r>
        <w:rPr>
          <w:rFonts w:ascii="Songti SC" w:hAnsi="Songti SC" w:eastAsia="Songti SC" w:cs="Songti SC"/>
          <w:color w:val="000000"/>
        </w:rPr>
        <w:t>文件权限和访问方式保证消费机同步可用。</w:t>
      </w:r>
    </w:p>
    <w:p w14:paraId="1F6AA7C0">
      <w:pPr>
        <w:ind w:firstLine="482"/>
        <w:rPr>
          <w:rFonts w:hint="eastAsia"/>
          <w:color w:val="000000"/>
        </w:rPr>
      </w:pPr>
      <w:r>
        <w:rPr>
          <w:rFonts w:ascii="Songti SC" w:hAnsi="Songti SC" w:eastAsia="Songti SC" w:cs="Songti SC"/>
          <w:b/>
          <w:color w:val="000000"/>
        </w:rPr>
        <w:t>运行关注</w:t>
      </w:r>
    </w:p>
    <w:p w14:paraId="59B2432B">
      <w:pPr>
        <w:ind w:firstLine="480"/>
        <w:rPr>
          <w:rFonts w:hint="eastAsia"/>
          <w:color w:val="000000"/>
        </w:rPr>
      </w:pPr>
      <w:r>
        <w:rPr>
          <w:rFonts w:ascii="Songti SC" w:hAnsi="Songti SC" w:eastAsia="Songti SC" w:cs="Songti SC"/>
          <w:color w:val="000000"/>
        </w:rPr>
        <w:t>人脸更新、注销和删除要同步消费机。</w:t>
      </w:r>
    </w:p>
    <w:p w14:paraId="26C7C155">
      <w:pPr>
        <w:ind w:firstLine="480"/>
        <w:rPr>
          <w:rFonts w:hint="eastAsia"/>
          <w:color w:val="000000"/>
        </w:rPr>
      </w:pPr>
      <w:r>
        <w:rPr>
          <w:rFonts w:ascii="Songti SC" w:hAnsi="Songti SC" w:eastAsia="Songti SC" w:cs="Songti SC"/>
          <w:color w:val="000000"/>
        </w:rPr>
        <w:t>人脸识别失败不应产生扣款。</w:t>
      </w:r>
    </w:p>
    <w:p w14:paraId="5850A541">
      <w:pPr>
        <w:numPr>
          <w:ilvl w:val="0"/>
          <w:numId w:val="47"/>
        </w:numPr>
        <w:ind w:firstLineChars="0"/>
        <w:rPr>
          <w:rFonts w:hint="eastAsia"/>
          <w:b/>
          <w:color w:val="000000"/>
        </w:rPr>
      </w:pPr>
      <w:r>
        <w:rPr>
          <w:rFonts w:ascii="Songti SC" w:hAnsi="Songti SC" w:eastAsia="Songti SC" w:cs="Songti SC"/>
          <w:b/>
          <w:color w:val="000000"/>
        </w:rPr>
        <w:t>账户余额承接与校验</w:t>
      </w:r>
    </w:p>
    <w:p w14:paraId="28E0A47A">
      <w:pPr>
        <w:ind w:firstLine="482"/>
        <w:rPr>
          <w:rFonts w:hint="eastAsia"/>
          <w:color w:val="000000"/>
        </w:rPr>
      </w:pPr>
      <w:r>
        <w:rPr>
          <w:rFonts w:ascii="Songti SC" w:hAnsi="Songti SC" w:eastAsia="Songti SC" w:cs="Songti SC"/>
          <w:b/>
          <w:color w:val="000000"/>
        </w:rPr>
        <w:t>工作目标：</w:t>
      </w:r>
      <w:r>
        <w:rPr>
          <w:rFonts w:ascii="Songti SC" w:hAnsi="Songti SC" w:eastAsia="Songti SC" w:cs="Songti SC"/>
          <w:color w:val="000000"/>
        </w:rPr>
        <w:t>准确承接现金余额、补贴余额和账户状态。</w:t>
      </w:r>
    </w:p>
    <w:p w14:paraId="4D12AB72">
      <w:pPr>
        <w:ind w:firstLine="482"/>
        <w:rPr>
          <w:rFonts w:hint="eastAsia"/>
          <w:color w:val="000000"/>
        </w:rPr>
      </w:pPr>
      <w:r>
        <w:rPr>
          <w:rFonts w:ascii="Songti SC" w:hAnsi="Songti SC" w:eastAsia="Songti SC" w:cs="Songti SC"/>
          <w:b/>
          <w:color w:val="000000"/>
        </w:rPr>
        <w:t>具体做法</w:t>
      </w:r>
    </w:p>
    <w:p w14:paraId="6048070F">
      <w:pPr>
        <w:ind w:firstLine="480"/>
        <w:rPr>
          <w:rFonts w:hint="eastAsia"/>
          <w:color w:val="000000"/>
        </w:rPr>
      </w:pPr>
      <w:r>
        <w:rPr>
          <w:rFonts w:ascii="Songti SC" w:hAnsi="Songti SC" w:eastAsia="Songti SC" w:cs="Songti SC"/>
          <w:color w:val="000000"/>
        </w:rPr>
        <w:t>承接人员账户、现金余额、补贴余额、冻结状态和账户流水。</w:t>
      </w:r>
    </w:p>
    <w:p w14:paraId="4643B1B3">
      <w:pPr>
        <w:ind w:firstLine="480"/>
        <w:rPr>
          <w:rFonts w:hint="eastAsia"/>
          <w:color w:val="000000"/>
        </w:rPr>
      </w:pPr>
      <w:r>
        <w:rPr>
          <w:rFonts w:ascii="Songti SC" w:hAnsi="Songti SC" w:eastAsia="Songti SC" w:cs="Songti SC"/>
          <w:color w:val="000000"/>
        </w:rPr>
        <w:t>核对余额合计、人员余额抽样和异常余额。</w:t>
      </w:r>
    </w:p>
    <w:p w14:paraId="2E050568">
      <w:pPr>
        <w:ind w:firstLine="480"/>
        <w:rPr>
          <w:rFonts w:hint="eastAsia"/>
          <w:color w:val="000000"/>
        </w:rPr>
      </w:pPr>
      <w:r>
        <w:rPr>
          <w:rFonts w:ascii="Songti SC" w:hAnsi="Songti SC" w:eastAsia="Songti SC" w:cs="Songti SC"/>
          <w:color w:val="000000"/>
        </w:rPr>
        <w:t>对余额为负、流水不平等情况形成处理清单。</w:t>
      </w:r>
    </w:p>
    <w:p w14:paraId="11AD3768">
      <w:pPr>
        <w:ind w:firstLine="482"/>
        <w:rPr>
          <w:rFonts w:hint="eastAsia"/>
          <w:color w:val="000000"/>
        </w:rPr>
      </w:pPr>
      <w:r>
        <w:rPr>
          <w:rFonts w:ascii="Songti SC" w:hAnsi="Songti SC" w:eastAsia="Songti SC" w:cs="Songti SC"/>
          <w:b/>
          <w:color w:val="000000"/>
        </w:rPr>
        <w:t>兼容适配关注</w:t>
      </w:r>
    </w:p>
    <w:p w14:paraId="3D335557">
      <w:pPr>
        <w:ind w:firstLine="480"/>
        <w:rPr>
          <w:rFonts w:hint="eastAsia"/>
          <w:color w:val="000000"/>
        </w:rPr>
      </w:pPr>
      <w:r>
        <w:rPr>
          <w:rFonts w:ascii="Songti SC" w:hAnsi="Songti SC" w:eastAsia="Songti SC" w:cs="Songti SC"/>
          <w:color w:val="000000"/>
        </w:rPr>
        <w:t>金额精度和事务处理是数据库适配重点。</w:t>
      </w:r>
    </w:p>
    <w:p w14:paraId="755DCC29">
      <w:pPr>
        <w:ind w:firstLine="480"/>
        <w:rPr>
          <w:rFonts w:hint="eastAsia"/>
          <w:color w:val="000000"/>
        </w:rPr>
      </w:pPr>
      <w:r>
        <w:rPr>
          <w:rFonts w:ascii="Songti SC" w:hAnsi="Songti SC" w:eastAsia="Songti SC" w:cs="Songti SC"/>
          <w:color w:val="000000"/>
        </w:rPr>
        <w:t>余额字段与流水字段的计算口径保持一致。</w:t>
      </w:r>
    </w:p>
    <w:p w14:paraId="2A6E2DC4">
      <w:pPr>
        <w:ind w:firstLine="482"/>
        <w:rPr>
          <w:rFonts w:hint="eastAsia"/>
          <w:color w:val="000000"/>
        </w:rPr>
      </w:pPr>
      <w:r>
        <w:rPr>
          <w:rFonts w:ascii="Songti SC" w:hAnsi="Songti SC" w:eastAsia="Songti SC" w:cs="Songti SC"/>
          <w:b/>
          <w:color w:val="000000"/>
        </w:rPr>
        <w:t>运行关注</w:t>
      </w:r>
    </w:p>
    <w:p w14:paraId="5FDE8F31">
      <w:pPr>
        <w:ind w:firstLine="480"/>
        <w:rPr>
          <w:rFonts w:hint="eastAsia"/>
          <w:color w:val="000000"/>
        </w:rPr>
      </w:pPr>
      <w:r>
        <w:rPr>
          <w:rFonts w:ascii="Songti SC" w:hAnsi="Songti SC" w:eastAsia="Songti SC" w:cs="Songti SC"/>
          <w:color w:val="000000"/>
        </w:rPr>
        <w:t>余额差异会影响用户信任和财务结算。</w:t>
      </w:r>
    </w:p>
    <w:p w14:paraId="78284694">
      <w:pPr>
        <w:ind w:firstLine="480"/>
        <w:rPr>
          <w:rFonts w:hint="eastAsia"/>
          <w:color w:val="000000"/>
        </w:rPr>
      </w:pPr>
      <w:r>
        <w:rPr>
          <w:rFonts w:ascii="Songti SC" w:hAnsi="Songti SC" w:eastAsia="Songti SC" w:cs="Songti SC"/>
          <w:color w:val="000000"/>
        </w:rPr>
        <w:t>上线后重点观察余额变动。</w:t>
      </w:r>
    </w:p>
    <w:p w14:paraId="3C289EAA">
      <w:pPr>
        <w:numPr>
          <w:ilvl w:val="0"/>
          <w:numId w:val="47"/>
        </w:numPr>
        <w:ind w:firstLineChars="0"/>
        <w:rPr>
          <w:rFonts w:hint="eastAsia"/>
          <w:b/>
          <w:color w:val="000000"/>
        </w:rPr>
      </w:pPr>
      <w:r>
        <w:rPr>
          <w:rFonts w:ascii="Songti SC" w:hAnsi="Songti SC" w:eastAsia="Songti SC" w:cs="Songti SC"/>
          <w:b/>
          <w:color w:val="000000"/>
        </w:rPr>
        <w:t>权限角色承接与校验</w:t>
      </w:r>
    </w:p>
    <w:p w14:paraId="7D5BC62E">
      <w:pPr>
        <w:ind w:firstLine="482"/>
        <w:rPr>
          <w:rFonts w:hint="eastAsia"/>
          <w:color w:val="000000"/>
        </w:rPr>
      </w:pPr>
      <w:r>
        <w:rPr>
          <w:rFonts w:ascii="Songti SC" w:hAnsi="Songti SC" w:eastAsia="Songti SC" w:cs="Songti SC"/>
          <w:b/>
          <w:color w:val="000000"/>
        </w:rPr>
        <w:t>工作目标：</w:t>
      </w:r>
      <w:r>
        <w:rPr>
          <w:rFonts w:ascii="Songti SC" w:hAnsi="Songti SC" w:eastAsia="Songti SC" w:cs="Songti SC"/>
          <w:color w:val="000000"/>
        </w:rPr>
        <w:t>承接操作员、角色和数据范围，保证管理端按岗位使用。</w:t>
      </w:r>
    </w:p>
    <w:p w14:paraId="44CEDE87">
      <w:pPr>
        <w:ind w:firstLine="482"/>
        <w:rPr>
          <w:rFonts w:hint="eastAsia"/>
          <w:color w:val="000000"/>
        </w:rPr>
      </w:pPr>
      <w:r>
        <w:rPr>
          <w:rFonts w:ascii="Songti SC" w:hAnsi="Songti SC" w:eastAsia="Songti SC" w:cs="Songti SC"/>
          <w:b/>
          <w:color w:val="000000"/>
        </w:rPr>
        <w:t>具体做法</w:t>
      </w:r>
    </w:p>
    <w:p w14:paraId="4F3BB8C9">
      <w:pPr>
        <w:ind w:firstLine="480"/>
        <w:rPr>
          <w:rFonts w:hint="eastAsia"/>
          <w:color w:val="000000"/>
        </w:rPr>
      </w:pPr>
      <w:r>
        <w:rPr>
          <w:rFonts w:ascii="Songti SC" w:hAnsi="Songti SC" w:eastAsia="Songti SC" w:cs="Songti SC"/>
          <w:color w:val="000000"/>
        </w:rPr>
        <w:t>承接操作员账号、角色、菜单权限、按钮权限和数据范围。</w:t>
      </w:r>
    </w:p>
    <w:p w14:paraId="412CC565">
      <w:pPr>
        <w:ind w:firstLine="480"/>
        <w:rPr>
          <w:rFonts w:hint="eastAsia"/>
          <w:color w:val="000000"/>
        </w:rPr>
      </w:pPr>
      <w:r>
        <w:rPr>
          <w:rFonts w:ascii="Songti SC" w:hAnsi="Songti SC" w:eastAsia="Songti SC" w:cs="Songti SC"/>
          <w:color w:val="000000"/>
        </w:rPr>
        <w:t>清理长期不用账号和过度授权角色。</w:t>
      </w:r>
    </w:p>
    <w:p w14:paraId="6D9D8D61">
      <w:pPr>
        <w:ind w:firstLine="480"/>
        <w:rPr>
          <w:rFonts w:hint="eastAsia"/>
          <w:color w:val="000000"/>
        </w:rPr>
      </w:pPr>
      <w:r>
        <w:rPr>
          <w:rFonts w:ascii="Songti SC" w:hAnsi="Songti SC" w:eastAsia="Songti SC" w:cs="Songti SC"/>
          <w:color w:val="000000"/>
        </w:rPr>
        <w:t>重新确认财务、设备、报表等敏感岗位权限。</w:t>
      </w:r>
    </w:p>
    <w:p w14:paraId="5045AC56">
      <w:pPr>
        <w:ind w:firstLine="482"/>
        <w:rPr>
          <w:rFonts w:hint="eastAsia"/>
          <w:color w:val="000000"/>
        </w:rPr>
      </w:pPr>
      <w:r>
        <w:rPr>
          <w:rFonts w:ascii="Songti SC" w:hAnsi="Songti SC" w:eastAsia="Songti SC" w:cs="Songti SC"/>
          <w:b/>
          <w:color w:val="000000"/>
        </w:rPr>
        <w:t>兼容适配关注</w:t>
      </w:r>
    </w:p>
    <w:p w14:paraId="1BF140E0">
      <w:pPr>
        <w:ind w:firstLine="480"/>
        <w:rPr>
          <w:rFonts w:hint="eastAsia"/>
          <w:color w:val="000000"/>
        </w:rPr>
      </w:pPr>
      <w:r>
        <w:rPr>
          <w:rFonts w:ascii="Songti SC" w:hAnsi="Songti SC" w:eastAsia="Songti SC" w:cs="Songti SC"/>
          <w:color w:val="000000"/>
        </w:rPr>
        <w:t>账号密码策略、会话超时和登录日志适配本地运行环境。</w:t>
      </w:r>
    </w:p>
    <w:p w14:paraId="11529EDB">
      <w:pPr>
        <w:ind w:firstLine="480"/>
        <w:rPr>
          <w:rFonts w:hint="eastAsia"/>
          <w:color w:val="000000"/>
        </w:rPr>
      </w:pPr>
      <w:r>
        <w:rPr>
          <w:rFonts w:ascii="Songti SC" w:hAnsi="Songti SC" w:eastAsia="Songti SC" w:cs="Songti SC"/>
          <w:color w:val="000000"/>
        </w:rPr>
        <w:t>角色权限在现有办公浏览器下正常加载。</w:t>
      </w:r>
    </w:p>
    <w:p w14:paraId="29A4E3FE">
      <w:pPr>
        <w:ind w:firstLine="482"/>
        <w:rPr>
          <w:rFonts w:hint="eastAsia"/>
          <w:color w:val="000000"/>
        </w:rPr>
      </w:pPr>
      <w:r>
        <w:rPr>
          <w:rFonts w:ascii="Songti SC" w:hAnsi="Songti SC" w:eastAsia="Songti SC" w:cs="Songti SC"/>
          <w:b/>
          <w:color w:val="000000"/>
        </w:rPr>
        <w:t>运行关注</w:t>
      </w:r>
    </w:p>
    <w:p w14:paraId="35CB5619">
      <w:pPr>
        <w:ind w:firstLine="480"/>
        <w:rPr>
          <w:rFonts w:hint="eastAsia"/>
          <w:color w:val="000000"/>
        </w:rPr>
      </w:pPr>
      <w:r>
        <w:rPr>
          <w:rFonts w:ascii="Songti SC" w:hAnsi="Songti SC" w:eastAsia="Songti SC" w:cs="Songti SC"/>
          <w:color w:val="000000"/>
        </w:rPr>
        <w:t>操作员停用不删除历史操作记录。</w:t>
      </w:r>
    </w:p>
    <w:p w14:paraId="54B2DA38">
      <w:pPr>
        <w:ind w:firstLine="480"/>
        <w:rPr>
          <w:rFonts w:hint="eastAsia"/>
          <w:color w:val="000000"/>
        </w:rPr>
      </w:pPr>
      <w:r>
        <w:rPr>
          <w:rFonts w:ascii="Songti SC" w:hAnsi="Songti SC" w:eastAsia="Songti SC" w:cs="Songti SC"/>
          <w:color w:val="000000"/>
        </w:rPr>
        <w:t>关键权限变更应记录原因。</w:t>
      </w:r>
    </w:p>
    <w:p w14:paraId="6C6A67B7">
      <w:pPr>
        <w:numPr>
          <w:ilvl w:val="0"/>
          <w:numId w:val="47"/>
        </w:numPr>
        <w:ind w:firstLineChars="0"/>
        <w:rPr>
          <w:rFonts w:hint="eastAsia"/>
          <w:b/>
          <w:color w:val="000000"/>
        </w:rPr>
      </w:pPr>
      <w:r>
        <w:rPr>
          <w:rFonts w:ascii="Songti SC" w:hAnsi="Songti SC" w:eastAsia="Songti SC" w:cs="Songti SC"/>
          <w:b/>
          <w:color w:val="000000"/>
        </w:rPr>
        <w:t>人员注册功能适配</w:t>
      </w:r>
    </w:p>
    <w:p w14:paraId="4919BB5C">
      <w:pPr>
        <w:ind w:firstLine="482"/>
        <w:rPr>
          <w:rFonts w:hint="eastAsia"/>
          <w:color w:val="000000"/>
        </w:rPr>
      </w:pPr>
      <w:r>
        <w:rPr>
          <w:rFonts w:ascii="Songti SC" w:hAnsi="Songti SC" w:eastAsia="Songti SC" w:cs="Songti SC"/>
          <w:b/>
          <w:color w:val="000000"/>
        </w:rPr>
        <w:t>工作目标：</w:t>
      </w:r>
      <w:r>
        <w:rPr>
          <w:rFonts w:ascii="Songti SC" w:hAnsi="Songti SC" w:eastAsia="Songti SC" w:cs="Songti SC"/>
          <w:color w:val="000000"/>
        </w:rPr>
        <w:t>保障单个人员新增能够完成档案、账户和消费机同步。</w:t>
      </w:r>
    </w:p>
    <w:p w14:paraId="7B359734">
      <w:pPr>
        <w:ind w:firstLine="482"/>
        <w:rPr>
          <w:rFonts w:hint="eastAsia"/>
          <w:color w:val="000000"/>
        </w:rPr>
      </w:pPr>
      <w:r>
        <w:rPr>
          <w:rFonts w:ascii="Songti SC" w:hAnsi="Songti SC" w:eastAsia="Songti SC" w:cs="Songti SC"/>
          <w:b/>
          <w:color w:val="000000"/>
        </w:rPr>
        <w:t>具体做法</w:t>
      </w:r>
    </w:p>
    <w:p w14:paraId="51F69D7A">
      <w:pPr>
        <w:ind w:firstLine="480"/>
        <w:rPr>
          <w:rFonts w:hint="eastAsia"/>
          <w:color w:val="000000"/>
        </w:rPr>
      </w:pPr>
      <w:r>
        <w:rPr>
          <w:rFonts w:ascii="Songti SC" w:hAnsi="Songti SC" w:eastAsia="Songti SC" w:cs="Songti SC"/>
          <w:color w:val="000000"/>
        </w:rPr>
        <w:t>验证新增人员字段、重复校验、默认状态和账户创建。</w:t>
      </w:r>
    </w:p>
    <w:p w14:paraId="7D042742">
      <w:pPr>
        <w:ind w:firstLine="480"/>
        <w:rPr>
          <w:rFonts w:hint="eastAsia"/>
          <w:color w:val="000000"/>
        </w:rPr>
      </w:pPr>
      <w:r>
        <w:rPr>
          <w:rFonts w:ascii="Songti SC" w:hAnsi="Songti SC" w:eastAsia="Songti SC" w:cs="Songti SC"/>
          <w:color w:val="000000"/>
        </w:rPr>
        <w:t>新增后检查小程序查询、后台查询和消费机同步队列。</w:t>
      </w:r>
    </w:p>
    <w:p w14:paraId="23631C4B">
      <w:pPr>
        <w:ind w:firstLine="480"/>
        <w:rPr>
          <w:rFonts w:hint="eastAsia"/>
          <w:color w:val="000000"/>
        </w:rPr>
      </w:pPr>
      <w:r>
        <w:rPr>
          <w:rFonts w:ascii="Songti SC" w:hAnsi="Songti SC" w:eastAsia="Songti SC" w:cs="Songti SC"/>
          <w:color w:val="000000"/>
        </w:rPr>
        <w:t>验证人脸和卡号绑定流程。</w:t>
      </w:r>
    </w:p>
    <w:p w14:paraId="2C4132E7">
      <w:pPr>
        <w:ind w:firstLine="482"/>
        <w:rPr>
          <w:rFonts w:hint="eastAsia"/>
          <w:color w:val="000000"/>
        </w:rPr>
      </w:pPr>
      <w:r>
        <w:rPr>
          <w:rFonts w:ascii="Songti SC" w:hAnsi="Songti SC" w:eastAsia="Songti SC" w:cs="Songti SC"/>
          <w:b/>
          <w:color w:val="000000"/>
        </w:rPr>
        <w:t>兼容适配关注</w:t>
      </w:r>
    </w:p>
    <w:p w14:paraId="5C4A9099">
      <w:pPr>
        <w:ind w:firstLine="480"/>
        <w:rPr>
          <w:rFonts w:hint="eastAsia"/>
          <w:color w:val="000000"/>
        </w:rPr>
      </w:pPr>
      <w:r>
        <w:rPr>
          <w:rFonts w:ascii="Songti SC" w:hAnsi="Songti SC" w:eastAsia="Songti SC" w:cs="Songti SC"/>
          <w:color w:val="000000"/>
        </w:rPr>
        <w:t>上传照片、中文姓名、手机号格式和唯一约束适配数据库。</w:t>
      </w:r>
    </w:p>
    <w:p w14:paraId="339A1EC4">
      <w:pPr>
        <w:ind w:firstLine="480"/>
        <w:rPr>
          <w:rFonts w:hint="eastAsia"/>
          <w:color w:val="000000"/>
        </w:rPr>
      </w:pPr>
      <w:r>
        <w:rPr>
          <w:rFonts w:ascii="Songti SC" w:hAnsi="Songti SC" w:eastAsia="Songti SC" w:cs="Songti SC"/>
          <w:color w:val="000000"/>
        </w:rPr>
        <w:t>消费机同步接口返回同步结果。</w:t>
      </w:r>
    </w:p>
    <w:p w14:paraId="3A9B0F3C">
      <w:pPr>
        <w:ind w:firstLine="482"/>
        <w:rPr>
          <w:rFonts w:hint="eastAsia"/>
          <w:color w:val="000000"/>
        </w:rPr>
      </w:pPr>
      <w:r>
        <w:rPr>
          <w:rFonts w:ascii="Songti SC" w:hAnsi="Songti SC" w:eastAsia="Songti SC" w:cs="Songti SC"/>
          <w:b/>
          <w:color w:val="000000"/>
        </w:rPr>
        <w:t>运行关注</w:t>
      </w:r>
    </w:p>
    <w:p w14:paraId="69A435F4">
      <w:pPr>
        <w:ind w:firstLine="480"/>
        <w:rPr>
          <w:rFonts w:hint="eastAsia"/>
          <w:color w:val="000000"/>
        </w:rPr>
      </w:pPr>
      <w:r>
        <w:rPr>
          <w:rFonts w:ascii="Songti SC" w:hAnsi="Songti SC" w:eastAsia="Songti SC" w:cs="Songti SC"/>
          <w:color w:val="000000"/>
        </w:rPr>
        <w:t>新增人员如不能消费，优先检查状态、策略和同步。</w:t>
      </w:r>
    </w:p>
    <w:p w14:paraId="5BB6C494">
      <w:pPr>
        <w:ind w:firstLine="480"/>
        <w:rPr>
          <w:rFonts w:hint="eastAsia"/>
          <w:color w:val="000000"/>
        </w:rPr>
      </w:pPr>
      <w:r>
        <w:rPr>
          <w:rFonts w:ascii="Songti SC" w:hAnsi="Songti SC" w:eastAsia="Songti SC" w:cs="Songti SC"/>
          <w:color w:val="000000"/>
        </w:rPr>
        <w:t>注册操作必须留痕。</w:t>
      </w:r>
    </w:p>
    <w:p w14:paraId="0DA05409">
      <w:pPr>
        <w:numPr>
          <w:ilvl w:val="0"/>
          <w:numId w:val="47"/>
        </w:numPr>
        <w:ind w:firstLineChars="0"/>
        <w:rPr>
          <w:rFonts w:hint="eastAsia"/>
          <w:b/>
          <w:color w:val="000000"/>
        </w:rPr>
      </w:pPr>
      <w:r>
        <w:rPr>
          <w:rFonts w:ascii="Songti SC" w:hAnsi="Songti SC" w:eastAsia="Songti SC" w:cs="Songti SC"/>
          <w:b/>
          <w:color w:val="000000"/>
        </w:rPr>
        <w:t>批量注册功能适配</w:t>
      </w:r>
    </w:p>
    <w:p w14:paraId="5AC490D2">
      <w:pPr>
        <w:ind w:firstLine="482"/>
        <w:rPr>
          <w:rFonts w:hint="eastAsia"/>
          <w:color w:val="000000"/>
        </w:rPr>
      </w:pPr>
      <w:r>
        <w:rPr>
          <w:rFonts w:ascii="Songti SC" w:hAnsi="Songti SC" w:eastAsia="Songti SC" w:cs="Songti SC"/>
          <w:b/>
          <w:color w:val="000000"/>
        </w:rPr>
        <w:t>工作目标：</w:t>
      </w:r>
      <w:r>
        <w:rPr>
          <w:rFonts w:ascii="Songti SC" w:hAnsi="Songti SC" w:eastAsia="Songti SC" w:cs="Songti SC"/>
          <w:color w:val="000000"/>
        </w:rPr>
        <w:t>保障大批量人员导入稳定可用。</w:t>
      </w:r>
    </w:p>
    <w:p w14:paraId="41F4A0EE">
      <w:pPr>
        <w:ind w:firstLine="482"/>
        <w:rPr>
          <w:rFonts w:hint="eastAsia"/>
          <w:color w:val="000000"/>
        </w:rPr>
      </w:pPr>
      <w:r>
        <w:rPr>
          <w:rFonts w:ascii="Songti SC" w:hAnsi="Songti SC" w:eastAsia="Songti SC" w:cs="Songti SC"/>
          <w:b/>
          <w:color w:val="000000"/>
        </w:rPr>
        <w:t>具体做法</w:t>
      </w:r>
    </w:p>
    <w:p w14:paraId="60CE9FBA">
      <w:pPr>
        <w:ind w:firstLine="480"/>
        <w:rPr>
          <w:rFonts w:hint="eastAsia"/>
          <w:color w:val="000000"/>
        </w:rPr>
      </w:pPr>
      <w:r>
        <w:rPr>
          <w:rFonts w:ascii="Songti SC" w:hAnsi="Songti SC" w:eastAsia="Songti SC" w:cs="Songti SC"/>
          <w:color w:val="000000"/>
        </w:rPr>
        <w:t>验证模板下载、Excel 上传、字段校验、失败清单和分批入库。</w:t>
      </w:r>
    </w:p>
    <w:p w14:paraId="71D29788">
      <w:pPr>
        <w:ind w:firstLine="480"/>
        <w:rPr>
          <w:rFonts w:hint="eastAsia"/>
          <w:color w:val="000000"/>
        </w:rPr>
      </w:pPr>
      <w:r>
        <w:rPr>
          <w:rFonts w:ascii="Songti SC" w:hAnsi="Songti SC" w:eastAsia="Songti SC" w:cs="Songti SC"/>
          <w:color w:val="000000"/>
        </w:rPr>
        <w:t>导入前预校验重复人员、重复卡号、部门不存在和身份类别错误。</w:t>
      </w:r>
    </w:p>
    <w:p w14:paraId="370C2B00">
      <w:pPr>
        <w:ind w:firstLine="480"/>
        <w:rPr>
          <w:rFonts w:hint="eastAsia"/>
          <w:color w:val="000000"/>
        </w:rPr>
      </w:pPr>
      <w:r>
        <w:rPr>
          <w:rFonts w:ascii="Songti SC" w:hAnsi="Songti SC" w:eastAsia="Songti SC" w:cs="Songti SC"/>
          <w:color w:val="000000"/>
        </w:rPr>
        <w:t>导入成功后生成同步任务。</w:t>
      </w:r>
    </w:p>
    <w:p w14:paraId="68DA7CBC">
      <w:pPr>
        <w:ind w:firstLine="482"/>
        <w:rPr>
          <w:rFonts w:hint="eastAsia"/>
          <w:color w:val="000000"/>
        </w:rPr>
      </w:pPr>
      <w:r>
        <w:rPr>
          <w:rFonts w:ascii="Songti SC" w:hAnsi="Songti SC" w:eastAsia="Songti SC" w:cs="Songti SC"/>
          <w:b/>
          <w:color w:val="000000"/>
        </w:rPr>
        <w:t>兼容适配关注</w:t>
      </w:r>
    </w:p>
    <w:p w14:paraId="20F01B0E">
      <w:pPr>
        <w:ind w:firstLine="480"/>
        <w:rPr>
          <w:rFonts w:hint="eastAsia"/>
          <w:color w:val="000000"/>
        </w:rPr>
      </w:pPr>
      <w:r>
        <w:rPr>
          <w:rFonts w:ascii="Songti SC" w:hAnsi="Songti SC" w:eastAsia="Songti SC" w:cs="Songti SC"/>
          <w:color w:val="000000"/>
        </w:rPr>
        <w:t>本地运行环境下验证 Excel 兼容、中文表头、日期格式和大文件上传。</w:t>
      </w:r>
    </w:p>
    <w:p w14:paraId="364AAAFF">
      <w:pPr>
        <w:ind w:firstLine="480"/>
        <w:rPr>
          <w:rFonts w:hint="eastAsia"/>
          <w:color w:val="000000"/>
        </w:rPr>
      </w:pPr>
      <w:r>
        <w:rPr>
          <w:rFonts w:ascii="Songti SC" w:hAnsi="Songti SC" w:eastAsia="Songti SC" w:cs="Songti SC"/>
          <w:color w:val="000000"/>
        </w:rPr>
        <w:t>分批写入避免影响数据库稳定。</w:t>
      </w:r>
    </w:p>
    <w:p w14:paraId="698EDA57">
      <w:pPr>
        <w:ind w:firstLine="482"/>
        <w:rPr>
          <w:rFonts w:hint="eastAsia"/>
          <w:color w:val="000000"/>
        </w:rPr>
      </w:pPr>
      <w:r>
        <w:rPr>
          <w:rFonts w:ascii="Songti SC" w:hAnsi="Songti SC" w:eastAsia="Songti SC" w:cs="Songti SC"/>
          <w:b/>
          <w:color w:val="000000"/>
        </w:rPr>
        <w:t>运行关注</w:t>
      </w:r>
    </w:p>
    <w:p w14:paraId="285B366A">
      <w:pPr>
        <w:ind w:firstLine="480"/>
        <w:rPr>
          <w:rFonts w:hint="eastAsia"/>
          <w:color w:val="000000"/>
        </w:rPr>
      </w:pPr>
      <w:r>
        <w:rPr>
          <w:rFonts w:ascii="Songti SC" w:hAnsi="Songti SC" w:eastAsia="Songti SC" w:cs="Songti SC"/>
          <w:color w:val="000000"/>
        </w:rPr>
        <w:t>批量导入失败应能快速定位错误行。</w:t>
      </w:r>
    </w:p>
    <w:p w14:paraId="4E434F2F">
      <w:pPr>
        <w:ind w:firstLine="480"/>
        <w:rPr>
          <w:rFonts w:hint="eastAsia"/>
          <w:color w:val="000000"/>
        </w:rPr>
      </w:pPr>
      <w:r>
        <w:rPr>
          <w:rFonts w:ascii="Songti SC" w:hAnsi="Songti SC" w:eastAsia="Songti SC" w:cs="Songti SC"/>
          <w:color w:val="000000"/>
        </w:rPr>
        <w:t>导入后抽样核对人员和账户。</w:t>
      </w:r>
    </w:p>
    <w:p w14:paraId="07418D47">
      <w:pPr>
        <w:numPr>
          <w:ilvl w:val="0"/>
          <w:numId w:val="47"/>
        </w:numPr>
        <w:ind w:firstLineChars="0"/>
        <w:rPr>
          <w:rFonts w:hint="eastAsia"/>
          <w:b/>
          <w:color w:val="000000"/>
        </w:rPr>
      </w:pPr>
      <w:r>
        <w:rPr>
          <w:rFonts w:ascii="Songti SC" w:hAnsi="Songti SC" w:eastAsia="Songti SC" w:cs="Songti SC"/>
          <w:b/>
          <w:color w:val="000000"/>
        </w:rPr>
        <w:t>用户修改与状态变更适配</w:t>
      </w:r>
    </w:p>
    <w:p w14:paraId="78D5900A">
      <w:pPr>
        <w:ind w:firstLine="482"/>
        <w:rPr>
          <w:rFonts w:hint="eastAsia"/>
          <w:color w:val="000000"/>
        </w:rPr>
      </w:pPr>
      <w:r>
        <w:rPr>
          <w:rFonts w:ascii="Songti SC" w:hAnsi="Songti SC" w:eastAsia="Songti SC" w:cs="Songti SC"/>
          <w:b/>
          <w:color w:val="000000"/>
        </w:rPr>
        <w:t>工作目标：</w:t>
      </w:r>
      <w:r>
        <w:rPr>
          <w:rFonts w:ascii="Songti SC" w:hAnsi="Songti SC" w:eastAsia="Songti SC" w:cs="Songti SC"/>
          <w:color w:val="000000"/>
        </w:rPr>
        <w:t>保障人员资料和状态变化能准确影响消费权限。</w:t>
      </w:r>
    </w:p>
    <w:p w14:paraId="3403D921">
      <w:pPr>
        <w:ind w:firstLine="482"/>
        <w:rPr>
          <w:rFonts w:hint="eastAsia"/>
          <w:color w:val="000000"/>
        </w:rPr>
      </w:pPr>
      <w:r>
        <w:rPr>
          <w:rFonts w:ascii="Songti SC" w:hAnsi="Songti SC" w:eastAsia="Songti SC" w:cs="Songti SC"/>
          <w:b/>
          <w:color w:val="000000"/>
        </w:rPr>
        <w:t>具体做法</w:t>
      </w:r>
    </w:p>
    <w:p w14:paraId="12AD8675">
      <w:pPr>
        <w:ind w:firstLine="480"/>
        <w:rPr>
          <w:rFonts w:hint="eastAsia"/>
          <w:color w:val="000000"/>
        </w:rPr>
      </w:pPr>
      <w:r>
        <w:rPr>
          <w:rFonts w:ascii="Songti SC" w:hAnsi="Songti SC" w:eastAsia="Songti SC" w:cs="Songti SC"/>
          <w:color w:val="000000"/>
        </w:rPr>
        <w:t>验证部门、身份类别、手机号、有效期、卡号和人脸更新。</w:t>
      </w:r>
    </w:p>
    <w:p w14:paraId="260BE436">
      <w:pPr>
        <w:ind w:firstLine="480"/>
        <w:rPr>
          <w:rFonts w:hint="eastAsia"/>
          <w:color w:val="000000"/>
        </w:rPr>
      </w:pPr>
      <w:r>
        <w:rPr>
          <w:rFonts w:ascii="Songti SC" w:hAnsi="Songti SC" w:eastAsia="Songti SC" w:cs="Songti SC"/>
          <w:color w:val="000000"/>
        </w:rPr>
        <w:t>验证离职、注销、冻结、恢复等状态变化。</w:t>
      </w:r>
    </w:p>
    <w:p w14:paraId="313EBDD1">
      <w:pPr>
        <w:ind w:firstLine="480"/>
        <w:rPr>
          <w:rFonts w:hint="eastAsia"/>
          <w:color w:val="000000"/>
        </w:rPr>
      </w:pPr>
      <w:r>
        <w:rPr>
          <w:rFonts w:ascii="Songti SC" w:hAnsi="Songti SC" w:eastAsia="Songti SC" w:cs="Songti SC"/>
          <w:color w:val="000000"/>
        </w:rPr>
        <w:t>状态变化后触发消费机同步。</w:t>
      </w:r>
    </w:p>
    <w:p w14:paraId="4F04B85E">
      <w:pPr>
        <w:ind w:firstLine="482"/>
        <w:rPr>
          <w:rFonts w:hint="eastAsia"/>
          <w:color w:val="000000"/>
        </w:rPr>
      </w:pPr>
      <w:r>
        <w:rPr>
          <w:rFonts w:ascii="Songti SC" w:hAnsi="Songti SC" w:eastAsia="Songti SC" w:cs="Songti SC"/>
          <w:b/>
          <w:color w:val="000000"/>
        </w:rPr>
        <w:t>兼容适配关注</w:t>
      </w:r>
    </w:p>
    <w:p w14:paraId="0321C5E5">
      <w:pPr>
        <w:ind w:firstLine="480"/>
        <w:rPr>
          <w:rFonts w:hint="eastAsia"/>
          <w:color w:val="000000"/>
        </w:rPr>
      </w:pPr>
      <w:r>
        <w:rPr>
          <w:rFonts w:ascii="Songti SC" w:hAnsi="Songti SC" w:eastAsia="Songti SC" w:cs="Songti SC"/>
          <w:color w:val="000000"/>
        </w:rPr>
        <w:t>关键字段变更记录变更前后值。</w:t>
      </w:r>
    </w:p>
    <w:p w14:paraId="41B18A34">
      <w:pPr>
        <w:ind w:firstLine="480"/>
        <w:rPr>
          <w:rFonts w:hint="eastAsia"/>
          <w:color w:val="000000"/>
        </w:rPr>
      </w:pPr>
      <w:r>
        <w:rPr>
          <w:rFonts w:ascii="Songti SC" w:hAnsi="Songti SC" w:eastAsia="Songti SC" w:cs="Songti SC"/>
          <w:color w:val="000000"/>
        </w:rPr>
        <w:t>状态枚举在数据库中保持一致。</w:t>
      </w:r>
    </w:p>
    <w:p w14:paraId="530FC695">
      <w:pPr>
        <w:ind w:firstLine="482"/>
        <w:rPr>
          <w:rFonts w:hint="eastAsia"/>
          <w:color w:val="000000"/>
        </w:rPr>
      </w:pPr>
      <w:r>
        <w:rPr>
          <w:rFonts w:ascii="Songti SC" w:hAnsi="Songti SC" w:eastAsia="Songti SC" w:cs="Songti SC"/>
          <w:b/>
          <w:color w:val="000000"/>
        </w:rPr>
        <w:t>运行关注</w:t>
      </w:r>
    </w:p>
    <w:p w14:paraId="1F421CDF">
      <w:pPr>
        <w:ind w:firstLine="480"/>
        <w:rPr>
          <w:rFonts w:hint="eastAsia"/>
          <w:color w:val="000000"/>
        </w:rPr>
      </w:pPr>
      <w:r>
        <w:rPr>
          <w:rFonts w:ascii="Songti SC" w:hAnsi="Songti SC" w:eastAsia="Songti SC" w:cs="Songti SC"/>
          <w:color w:val="000000"/>
        </w:rPr>
        <w:t>状态同步失败可能造成现场消费风险。</w:t>
      </w:r>
    </w:p>
    <w:p w14:paraId="465A4937">
      <w:pPr>
        <w:ind w:firstLine="480"/>
        <w:rPr>
          <w:rFonts w:hint="eastAsia"/>
          <w:color w:val="000000"/>
        </w:rPr>
      </w:pPr>
      <w:r>
        <w:rPr>
          <w:rFonts w:ascii="Songti SC" w:hAnsi="Songti SC" w:eastAsia="Songti SC" w:cs="Songti SC"/>
          <w:color w:val="000000"/>
        </w:rPr>
        <w:t>离职和挂失优先同步。</w:t>
      </w:r>
    </w:p>
    <w:p w14:paraId="10B79149">
      <w:pPr>
        <w:numPr>
          <w:ilvl w:val="0"/>
          <w:numId w:val="47"/>
        </w:numPr>
        <w:ind w:firstLineChars="0"/>
        <w:rPr>
          <w:rFonts w:hint="eastAsia"/>
          <w:b/>
          <w:color w:val="000000"/>
        </w:rPr>
      </w:pPr>
      <w:r>
        <w:rPr>
          <w:rFonts w:ascii="Songti SC" w:hAnsi="Songti SC" w:eastAsia="Songti SC" w:cs="Songti SC"/>
          <w:b/>
          <w:color w:val="000000"/>
        </w:rPr>
        <w:t>挂失与恢复功能适配</w:t>
      </w:r>
    </w:p>
    <w:p w14:paraId="6D4D49E0">
      <w:pPr>
        <w:ind w:firstLine="482"/>
        <w:rPr>
          <w:rFonts w:hint="eastAsia"/>
          <w:color w:val="000000"/>
        </w:rPr>
      </w:pPr>
      <w:r>
        <w:rPr>
          <w:rFonts w:ascii="Songti SC" w:hAnsi="Songti SC" w:eastAsia="Songti SC" w:cs="Songti SC"/>
          <w:b/>
          <w:color w:val="000000"/>
        </w:rPr>
        <w:t>工作目标：</w:t>
      </w:r>
      <w:r>
        <w:rPr>
          <w:rFonts w:ascii="Songti SC" w:hAnsi="Songti SC" w:eastAsia="Songti SC" w:cs="Songti SC"/>
          <w:color w:val="000000"/>
        </w:rPr>
        <w:t>保障卡片风险控制和恢复业务可用。</w:t>
      </w:r>
    </w:p>
    <w:p w14:paraId="49180498">
      <w:pPr>
        <w:ind w:firstLine="482"/>
        <w:rPr>
          <w:rFonts w:hint="eastAsia"/>
          <w:color w:val="000000"/>
        </w:rPr>
      </w:pPr>
      <w:r>
        <w:rPr>
          <w:rFonts w:ascii="Songti SC" w:hAnsi="Songti SC" w:eastAsia="Songti SC" w:cs="Songti SC"/>
          <w:b/>
          <w:color w:val="000000"/>
        </w:rPr>
        <w:t>具体做法</w:t>
      </w:r>
    </w:p>
    <w:p w14:paraId="39751C8D">
      <w:pPr>
        <w:ind w:firstLine="480"/>
        <w:rPr>
          <w:rFonts w:hint="eastAsia"/>
          <w:color w:val="000000"/>
        </w:rPr>
      </w:pPr>
      <w:r>
        <w:rPr>
          <w:rFonts w:ascii="Songti SC" w:hAnsi="Songti SC" w:eastAsia="Songti SC" w:cs="Songti SC"/>
          <w:color w:val="000000"/>
        </w:rPr>
        <w:t>验证挂失、解挂、补卡、解绑和恢复操作。</w:t>
      </w:r>
    </w:p>
    <w:p w14:paraId="5CD52530">
      <w:pPr>
        <w:ind w:firstLine="480"/>
        <w:rPr>
          <w:rFonts w:hint="eastAsia"/>
          <w:color w:val="000000"/>
        </w:rPr>
      </w:pPr>
      <w:r>
        <w:rPr>
          <w:rFonts w:ascii="Songti SC" w:hAnsi="Songti SC" w:eastAsia="Songti SC" w:cs="Songti SC"/>
          <w:color w:val="000000"/>
        </w:rPr>
        <w:t>挂失后刷卡消费失败，人脸或扫码按策略处理。</w:t>
      </w:r>
    </w:p>
    <w:p w14:paraId="780085B7">
      <w:pPr>
        <w:ind w:firstLine="480"/>
        <w:rPr>
          <w:rFonts w:hint="eastAsia"/>
          <w:color w:val="000000"/>
        </w:rPr>
      </w:pPr>
      <w:r>
        <w:rPr>
          <w:rFonts w:ascii="Songti SC" w:hAnsi="Songti SC" w:eastAsia="Songti SC" w:cs="Songti SC"/>
          <w:color w:val="000000"/>
        </w:rPr>
        <w:t>恢复后重新纳入消费机同步。</w:t>
      </w:r>
    </w:p>
    <w:p w14:paraId="4716B12B">
      <w:pPr>
        <w:ind w:firstLine="482"/>
        <w:rPr>
          <w:rFonts w:hint="eastAsia"/>
          <w:color w:val="000000"/>
        </w:rPr>
      </w:pPr>
      <w:r>
        <w:rPr>
          <w:rFonts w:ascii="Songti SC" w:hAnsi="Songti SC" w:eastAsia="Songti SC" w:cs="Songti SC"/>
          <w:b/>
          <w:color w:val="000000"/>
        </w:rPr>
        <w:t>兼容适配关注</w:t>
      </w:r>
    </w:p>
    <w:p w14:paraId="4C97A9D8">
      <w:pPr>
        <w:ind w:firstLine="480"/>
        <w:rPr>
          <w:rFonts w:hint="eastAsia"/>
          <w:color w:val="000000"/>
        </w:rPr>
      </w:pPr>
      <w:r>
        <w:rPr>
          <w:rFonts w:ascii="Songti SC" w:hAnsi="Songti SC" w:eastAsia="Songti SC" w:cs="Songti SC"/>
          <w:color w:val="000000"/>
        </w:rPr>
        <w:t>卡号唯一性、状态同步和操作日志重点适配。</w:t>
      </w:r>
    </w:p>
    <w:p w14:paraId="715B9A88">
      <w:pPr>
        <w:ind w:firstLine="480"/>
        <w:rPr>
          <w:rFonts w:hint="eastAsia"/>
          <w:color w:val="000000"/>
        </w:rPr>
      </w:pPr>
      <w:r>
        <w:rPr>
          <w:rFonts w:ascii="Songti SC" w:hAnsi="Songti SC" w:eastAsia="Songti SC" w:cs="Songti SC"/>
          <w:color w:val="000000"/>
        </w:rPr>
        <w:t>旧卡和新卡关系可追溯。</w:t>
      </w:r>
    </w:p>
    <w:p w14:paraId="62445628">
      <w:pPr>
        <w:ind w:firstLine="482"/>
        <w:rPr>
          <w:rFonts w:hint="eastAsia"/>
          <w:color w:val="000000"/>
        </w:rPr>
      </w:pPr>
      <w:r>
        <w:rPr>
          <w:rFonts w:ascii="Songti SC" w:hAnsi="Songti SC" w:eastAsia="Songti SC" w:cs="Songti SC"/>
          <w:b/>
          <w:color w:val="000000"/>
        </w:rPr>
        <w:t>运行关注</w:t>
      </w:r>
    </w:p>
    <w:p w14:paraId="72AA1505">
      <w:pPr>
        <w:ind w:firstLine="480"/>
        <w:rPr>
          <w:rFonts w:hint="eastAsia"/>
          <w:color w:val="000000"/>
        </w:rPr>
      </w:pPr>
      <w:r>
        <w:rPr>
          <w:rFonts w:ascii="Songti SC" w:hAnsi="Songti SC" w:eastAsia="Songti SC" w:cs="Songti SC"/>
          <w:color w:val="000000"/>
        </w:rPr>
        <w:t>用户反馈不能刷卡时先查挂失状态。</w:t>
      </w:r>
    </w:p>
    <w:p w14:paraId="01F54E84">
      <w:pPr>
        <w:ind w:firstLine="480"/>
        <w:rPr>
          <w:rFonts w:hint="eastAsia"/>
          <w:color w:val="000000"/>
        </w:rPr>
      </w:pPr>
      <w:r>
        <w:rPr>
          <w:rFonts w:ascii="Songti SC" w:hAnsi="Songti SC" w:eastAsia="Songti SC" w:cs="Songti SC"/>
          <w:color w:val="000000"/>
        </w:rPr>
        <w:t>补卡后确认消费机同步完成。</w:t>
      </w:r>
    </w:p>
    <w:p w14:paraId="3AD1CE6F">
      <w:pPr>
        <w:numPr>
          <w:ilvl w:val="0"/>
          <w:numId w:val="47"/>
        </w:numPr>
        <w:ind w:firstLineChars="0"/>
        <w:rPr>
          <w:rFonts w:hint="eastAsia"/>
          <w:b/>
          <w:color w:val="000000"/>
        </w:rPr>
      </w:pPr>
      <w:r>
        <w:rPr>
          <w:rFonts w:ascii="Songti SC" w:hAnsi="Songti SC" w:eastAsia="Songti SC" w:cs="Songti SC"/>
          <w:b/>
          <w:color w:val="000000"/>
        </w:rPr>
        <w:t>消费策略功能适配</w:t>
      </w:r>
    </w:p>
    <w:p w14:paraId="1DE93FD0">
      <w:pPr>
        <w:ind w:firstLine="482"/>
        <w:rPr>
          <w:rFonts w:hint="eastAsia"/>
          <w:color w:val="000000"/>
        </w:rPr>
      </w:pPr>
      <w:r>
        <w:rPr>
          <w:rFonts w:ascii="Songti SC" w:hAnsi="Songti SC" w:eastAsia="Songti SC" w:cs="Songti SC"/>
          <w:b/>
          <w:color w:val="000000"/>
        </w:rPr>
        <w:t>工作目标：</w:t>
      </w:r>
      <w:r>
        <w:rPr>
          <w:rFonts w:ascii="Songti SC" w:hAnsi="Songti SC" w:eastAsia="Songti SC" w:cs="Songti SC"/>
          <w:color w:val="000000"/>
        </w:rPr>
        <w:t>保障身份类别、餐次、餐厅和限额等规则在新环境准确生效。</w:t>
      </w:r>
    </w:p>
    <w:p w14:paraId="1841BD9F">
      <w:pPr>
        <w:ind w:firstLine="482"/>
        <w:rPr>
          <w:rFonts w:hint="eastAsia"/>
          <w:color w:val="000000"/>
        </w:rPr>
      </w:pPr>
      <w:r>
        <w:rPr>
          <w:rFonts w:ascii="Songti SC" w:hAnsi="Songti SC" w:eastAsia="Songti SC" w:cs="Songti SC"/>
          <w:b/>
          <w:color w:val="000000"/>
        </w:rPr>
        <w:t>具体做法</w:t>
      </w:r>
    </w:p>
    <w:p w14:paraId="2D1432F0">
      <w:pPr>
        <w:ind w:firstLine="480"/>
        <w:rPr>
          <w:rFonts w:hint="eastAsia"/>
          <w:color w:val="000000"/>
        </w:rPr>
      </w:pPr>
      <w:r>
        <w:rPr>
          <w:rFonts w:ascii="Songti SC" w:hAnsi="Songti SC" w:eastAsia="Songti SC" w:cs="Songti SC"/>
          <w:color w:val="000000"/>
        </w:rPr>
        <w:t>梳理现有消费策略并建立版本。</w:t>
      </w:r>
    </w:p>
    <w:p w14:paraId="7AF2E12C">
      <w:pPr>
        <w:ind w:firstLine="480"/>
        <w:rPr>
          <w:rFonts w:hint="eastAsia"/>
          <w:color w:val="000000"/>
        </w:rPr>
      </w:pPr>
      <w:r>
        <w:rPr>
          <w:rFonts w:ascii="Songti SC" w:hAnsi="Songti SC" w:eastAsia="Songti SC" w:cs="Songti SC"/>
          <w:color w:val="000000"/>
        </w:rPr>
        <w:t>验证不同身份类别、部门、餐次和余额条件下的消费结果。</w:t>
      </w:r>
    </w:p>
    <w:p w14:paraId="52B559D5">
      <w:pPr>
        <w:ind w:firstLine="480"/>
        <w:rPr>
          <w:rFonts w:hint="eastAsia"/>
          <w:color w:val="000000"/>
        </w:rPr>
      </w:pPr>
      <w:r>
        <w:rPr>
          <w:rFonts w:ascii="Songti SC" w:hAnsi="Songti SC" w:eastAsia="Songti SC" w:cs="Songti SC"/>
          <w:color w:val="000000"/>
        </w:rPr>
        <w:t>验证策略启停、生效时间和历史订单关联。</w:t>
      </w:r>
    </w:p>
    <w:p w14:paraId="12441C2B">
      <w:pPr>
        <w:ind w:firstLine="482"/>
        <w:rPr>
          <w:rFonts w:hint="eastAsia"/>
          <w:color w:val="000000"/>
        </w:rPr>
      </w:pPr>
      <w:r>
        <w:rPr>
          <w:rFonts w:ascii="Songti SC" w:hAnsi="Songti SC" w:eastAsia="Songti SC" w:cs="Songti SC"/>
          <w:b/>
          <w:color w:val="000000"/>
        </w:rPr>
        <w:t>兼容适配关注</w:t>
      </w:r>
    </w:p>
    <w:p w14:paraId="59F964A7">
      <w:pPr>
        <w:ind w:firstLine="480"/>
        <w:rPr>
          <w:rFonts w:hint="eastAsia"/>
          <w:color w:val="000000"/>
        </w:rPr>
      </w:pPr>
      <w:r>
        <w:rPr>
          <w:rFonts w:ascii="Songti SC" w:hAnsi="Songti SC" w:eastAsia="Songti SC" w:cs="Songti SC"/>
          <w:color w:val="000000"/>
        </w:rPr>
        <w:t>身份类别只作为消费策略字段，不替代操作员角色。</w:t>
      </w:r>
    </w:p>
    <w:p w14:paraId="4F973C00">
      <w:pPr>
        <w:ind w:firstLine="480"/>
        <w:rPr>
          <w:rFonts w:hint="eastAsia"/>
          <w:color w:val="000000"/>
        </w:rPr>
      </w:pPr>
      <w:r>
        <w:rPr>
          <w:rFonts w:ascii="Songti SC" w:hAnsi="Songti SC" w:eastAsia="Songti SC" w:cs="Songti SC"/>
          <w:color w:val="000000"/>
        </w:rPr>
        <w:t>策略查询和匹配逻辑适配数据库。</w:t>
      </w:r>
    </w:p>
    <w:p w14:paraId="77E5A3F6">
      <w:pPr>
        <w:ind w:firstLine="482"/>
        <w:rPr>
          <w:rFonts w:hint="eastAsia"/>
          <w:color w:val="000000"/>
        </w:rPr>
      </w:pPr>
      <w:r>
        <w:rPr>
          <w:rFonts w:ascii="Songti SC" w:hAnsi="Songti SC" w:eastAsia="Songti SC" w:cs="Songti SC"/>
          <w:b/>
          <w:color w:val="000000"/>
        </w:rPr>
        <w:t>运行关注</w:t>
      </w:r>
    </w:p>
    <w:p w14:paraId="3FD01E03">
      <w:pPr>
        <w:ind w:firstLine="480"/>
        <w:rPr>
          <w:rFonts w:hint="eastAsia"/>
          <w:color w:val="000000"/>
        </w:rPr>
      </w:pPr>
      <w:r>
        <w:rPr>
          <w:rFonts w:ascii="Songti SC" w:hAnsi="Songti SC" w:eastAsia="Songti SC" w:cs="Songti SC"/>
          <w:color w:val="000000"/>
        </w:rPr>
        <w:t>策略调整影响面大，需先小范围验证。</w:t>
      </w:r>
    </w:p>
    <w:p w14:paraId="2E1C267E">
      <w:pPr>
        <w:ind w:firstLine="480"/>
        <w:rPr>
          <w:rFonts w:hint="eastAsia"/>
          <w:color w:val="000000"/>
        </w:rPr>
      </w:pPr>
      <w:r>
        <w:rPr>
          <w:rFonts w:ascii="Songti SC" w:hAnsi="Songti SC" w:eastAsia="Songti SC" w:cs="Songti SC"/>
          <w:color w:val="000000"/>
        </w:rPr>
        <w:t>消费失败时应能看到策略拒绝原因。</w:t>
      </w:r>
    </w:p>
    <w:p w14:paraId="08FD7B9B">
      <w:pPr>
        <w:numPr>
          <w:ilvl w:val="0"/>
          <w:numId w:val="47"/>
        </w:numPr>
        <w:ind w:firstLineChars="0"/>
        <w:rPr>
          <w:rFonts w:hint="eastAsia"/>
          <w:b/>
          <w:color w:val="000000"/>
        </w:rPr>
      </w:pPr>
      <w:r>
        <w:rPr>
          <w:rFonts w:ascii="Songti SC" w:hAnsi="Songti SC" w:eastAsia="Songti SC" w:cs="Songti SC"/>
          <w:b/>
          <w:color w:val="000000"/>
        </w:rPr>
        <w:t>餐厅菜品功能适配</w:t>
      </w:r>
    </w:p>
    <w:p w14:paraId="7F7B95E3">
      <w:pPr>
        <w:ind w:firstLine="482"/>
        <w:rPr>
          <w:rFonts w:hint="eastAsia"/>
          <w:color w:val="000000"/>
        </w:rPr>
      </w:pPr>
      <w:r>
        <w:rPr>
          <w:rFonts w:ascii="Songti SC" w:hAnsi="Songti SC" w:eastAsia="Songti SC" w:cs="Songti SC"/>
          <w:b/>
          <w:color w:val="000000"/>
        </w:rPr>
        <w:t>工作目标：</w:t>
      </w:r>
      <w:r>
        <w:rPr>
          <w:rFonts w:ascii="Songti SC" w:hAnsi="Songti SC" w:eastAsia="Songti SC" w:cs="Songti SC"/>
          <w:color w:val="000000"/>
        </w:rPr>
        <w:t>保障菜品消费、统计和经营分析可用。</w:t>
      </w:r>
    </w:p>
    <w:p w14:paraId="43322897">
      <w:pPr>
        <w:ind w:firstLine="482"/>
        <w:rPr>
          <w:rFonts w:hint="eastAsia"/>
          <w:color w:val="000000"/>
        </w:rPr>
      </w:pPr>
      <w:r>
        <w:rPr>
          <w:rFonts w:ascii="Songti SC" w:hAnsi="Songti SC" w:eastAsia="Songti SC" w:cs="Songti SC"/>
          <w:b/>
          <w:color w:val="000000"/>
        </w:rPr>
        <w:t>具体做法</w:t>
      </w:r>
    </w:p>
    <w:p w14:paraId="764BFDE5">
      <w:pPr>
        <w:ind w:firstLine="480"/>
        <w:rPr>
          <w:rFonts w:hint="eastAsia"/>
          <w:color w:val="000000"/>
        </w:rPr>
      </w:pPr>
      <w:r>
        <w:rPr>
          <w:rFonts w:ascii="Songti SC" w:hAnsi="Songti SC" w:eastAsia="Songti SC" w:cs="Songti SC"/>
          <w:color w:val="000000"/>
        </w:rPr>
        <w:t>维护餐厅、菜品、价格、餐次、状态信息。</w:t>
      </w:r>
    </w:p>
    <w:p w14:paraId="5C58409D">
      <w:pPr>
        <w:ind w:firstLine="480"/>
        <w:rPr>
          <w:rFonts w:hint="eastAsia"/>
          <w:color w:val="000000"/>
        </w:rPr>
      </w:pPr>
      <w:r>
        <w:rPr>
          <w:rFonts w:ascii="Songti SC" w:hAnsi="Songti SC" w:eastAsia="Songti SC" w:cs="Songti SC"/>
          <w:color w:val="000000"/>
        </w:rPr>
        <w:t>验证菜品上下架、价格调整和历史订单保留原价。</w:t>
      </w:r>
    </w:p>
    <w:p w14:paraId="40B39BC8">
      <w:pPr>
        <w:ind w:firstLine="480"/>
        <w:rPr>
          <w:rFonts w:hint="eastAsia"/>
          <w:color w:val="000000"/>
        </w:rPr>
      </w:pPr>
      <w:r>
        <w:rPr>
          <w:rFonts w:ascii="Songti SC" w:hAnsi="Songti SC" w:eastAsia="Songti SC" w:cs="Songti SC"/>
          <w:color w:val="000000"/>
        </w:rPr>
        <w:t>验证菜品销售和营收统计。</w:t>
      </w:r>
    </w:p>
    <w:p w14:paraId="456C0BD7">
      <w:pPr>
        <w:ind w:firstLine="482"/>
        <w:rPr>
          <w:rFonts w:hint="eastAsia"/>
          <w:color w:val="000000"/>
        </w:rPr>
      </w:pPr>
      <w:r>
        <w:rPr>
          <w:rFonts w:ascii="Songti SC" w:hAnsi="Songti SC" w:eastAsia="Songti SC" w:cs="Songti SC"/>
          <w:b/>
          <w:color w:val="000000"/>
        </w:rPr>
        <w:t>兼容适配关注</w:t>
      </w:r>
    </w:p>
    <w:p w14:paraId="5D0F1C2F">
      <w:pPr>
        <w:ind w:firstLine="480"/>
        <w:rPr>
          <w:rFonts w:hint="eastAsia"/>
          <w:color w:val="000000"/>
        </w:rPr>
      </w:pPr>
      <w:r>
        <w:rPr>
          <w:rFonts w:ascii="Songti SC" w:hAnsi="Songti SC" w:eastAsia="Songti SC" w:cs="Songti SC"/>
          <w:color w:val="000000"/>
        </w:rPr>
        <w:t>菜品名称、价格精度字段适配数据库。</w:t>
      </w:r>
    </w:p>
    <w:p w14:paraId="27B91230">
      <w:pPr>
        <w:ind w:firstLine="480"/>
        <w:rPr>
          <w:rFonts w:hint="eastAsia"/>
          <w:color w:val="000000"/>
        </w:rPr>
      </w:pPr>
      <w:r>
        <w:rPr>
          <w:rFonts w:ascii="Songti SC" w:hAnsi="Songti SC" w:eastAsia="Songti SC" w:cs="Songti SC"/>
          <w:color w:val="000000"/>
        </w:rPr>
        <w:t>菜品数据同步到消费机或交易识别流程。</w:t>
      </w:r>
    </w:p>
    <w:p w14:paraId="01FB907C">
      <w:pPr>
        <w:ind w:firstLine="482"/>
        <w:rPr>
          <w:rFonts w:hint="eastAsia"/>
          <w:color w:val="000000"/>
        </w:rPr>
      </w:pPr>
      <w:r>
        <w:rPr>
          <w:rFonts w:ascii="Songti SC" w:hAnsi="Songti SC" w:eastAsia="Songti SC" w:cs="Songti SC"/>
          <w:b/>
          <w:color w:val="000000"/>
        </w:rPr>
        <w:t>运行关注</w:t>
      </w:r>
    </w:p>
    <w:p w14:paraId="2AE29EBE">
      <w:pPr>
        <w:ind w:firstLine="480"/>
        <w:rPr>
          <w:rFonts w:hint="eastAsia"/>
          <w:color w:val="000000"/>
        </w:rPr>
      </w:pPr>
      <w:r>
        <w:rPr>
          <w:rFonts w:ascii="Songti SC" w:hAnsi="Songti SC" w:eastAsia="Songti SC" w:cs="Songti SC"/>
          <w:color w:val="000000"/>
        </w:rPr>
        <w:t>价格调整应避开就餐高峰。</w:t>
      </w:r>
    </w:p>
    <w:p w14:paraId="52F0B39E">
      <w:pPr>
        <w:ind w:firstLine="480"/>
        <w:rPr>
          <w:rFonts w:hint="eastAsia"/>
          <w:color w:val="000000"/>
        </w:rPr>
      </w:pPr>
      <w:r>
        <w:rPr>
          <w:rFonts w:ascii="Songti SC" w:hAnsi="Songti SC" w:eastAsia="Songti SC" w:cs="Songti SC"/>
          <w:color w:val="000000"/>
        </w:rPr>
        <w:t>菜品统计异常时下钻订单明细。</w:t>
      </w:r>
    </w:p>
    <w:p w14:paraId="7727A802">
      <w:pPr>
        <w:numPr>
          <w:ilvl w:val="0"/>
          <w:numId w:val="47"/>
        </w:numPr>
        <w:ind w:firstLineChars="0"/>
        <w:rPr>
          <w:rFonts w:hint="eastAsia"/>
          <w:b/>
          <w:color w:val="000000"/>
        </w:rPr>
      </w:pPr>
      <w:r>
        <w:rPr>
          <w:rFonts w:ascii="Songti SC" w:hAnsi="Songti SC" w:eastAsia="Songti SC" w:cs="Songti SC"/>
          <w:b/>
          <w:color w:val="000000"/>
        </w:rPr>
        <w:t>充值管理功能适配</w:t>
      </w:r>
    </w:p>
    <w:p w14:paraId="47655F58">
      <w:pPr>
        <w:ind w:firstLine="482"/>
        <w:rPr>
          <w:rFonts w:hint="eastAsia"/>
          <w:color w:val="000000"/>
        </w:rPr>
      </w:pPr>
      <w:r>
        <w:rPr>
          <w:rFonts w:ascii="Songti SC" w:hAnsi="Songti SC" w:eastAsia="Songti SC" w:cs="Songti SC"/>
          <w:b/>
          <w:color w:val="000000"/>
        </w:rPr>
        <w:t>工作目标：</w:t>
      </w:r>
      <w:r>
        <w:rPr>
          <w:rFonts w:ascii="Songti SC" w:hAnsi="Songti SC" w:eastAsia="Songti SC" w:cs="Songti SC"/>
          <w:color w:val="000000"/>
        </w:rPr>
        <w:t>保障后台充值和账户入账准确。</w:t>
      </w:r>
    </w:p>
    <w:p w14:paraId="17078E4F">
      <w:pPr>
        <w:ind w:firstLine="482"/>
        <w:rPr>
          <w:rFonts w:hint="eastAsia"/>
          <w:color w:val="000000"/>
        </w:rPr>
      </w:pPr>
      <w:r>
        <w:rPr>
          <w:rFonts w:ascii="Songti SC" w:hAnsi="Songti SC" w:eastAsia="Songti SC" w:cs="Songti SC"/>
          <w:b/>
          <w:color w:val="000000"/>
        </w:rPr>
        <w:t>具体做法</w:t>
      </w:r>
    </w:p>
    <w:p w14:paraId="17EB304A">
      <w:pPr>
        <w:ind w:firstLine="480"/>
        <w:rPr>
          <w:rFonts w:hint="eastAsia"/>
          <w:color w:val="000000"/>
        </w:rPr>
      </w:pPr>
      <w:r>
        <w:rPr>
          <w:rFonts w:ascii="Songti SC" w:hAnsi="Songti SC" w:eastAsia="Songti SC" w:cs="Songti SC"/>
          <w:color w:val="000000"/>
        </w:rPr>
        <w:t>验证单笔充值、批量充值、充值查询和充值流水。</w:t>
      </w:r>
    </w:p>
    <w:p w14:paraId="34A83437">
      <w:pPr>
        <w:ind w:firstLine="480"/>
        <w:rPr>
          <w:rFonts w:hint="eastAsia"/>
          <w:color w:val="000000"/>
        </w:rPr>
      </w:pPr>
      <w:r>
        <w:rPr>
          <w:rFonts w:ascii="Songti SC" w:hAnsi="Songti SC" w:eastAsia="Songti SC" w:cs="Songti SC"/>
          <w:color w:val="000000"/>
        </w:rPr>
        <w:t>验证充值后余额变化、小程序展示和报表统计。</w:t>
      </w:r>
    </w:p>
    <w:p w14:paraId="33E7F7B3">
      <w:pPr>
        <w:ind w:firstLine="480"/>
        <w:rPr>
          <w:rFonts w:hint="eastAsia"/>
          <w:color w:val="000000"/>
        </w:rPr>
      </w:pPr>
      <w:r>
        <w:rPr>
          <w:rFonts w:ascii="Songti SC" w:hAnsi="Songti SC" w:eastAsia="Songti SC" w:cs="Songti SC"/>
          <w:color w:val="000000"/>
        </w:rPr>
        <w:t>验证异常充值处理。</w:t>
      </w:r>
    </w:p>
    <w:p w14:paraId="65166012">
      <w:pPr>
        <w:ind w:firstLine="482"/>
        <w:rPr>
          <w:rFonts w:hint="eastAsia"/>
          <w:color w:val="000000"/>
        </w:rPr>
      </w:pPr>
      <w:r>
        <w:rPr>
          <w:rFonts w:ascii="Songti SC" w:hAnsi="Songti SC" w:eastAsia="Songti SC" w:cs="Songti SC"/>
          <w:b/>
          <w:color w:val="000000"/>
        </w:rPr>
        <w:t>兼容适配关注</w:t>
      </w:r>
    </w:p>
    <w:p w14:paraId="26708EC6">
      <w:pPr>
        <w:ind w:firstLine="480"/>
        <w:rPr>
          <w:rFonts w:hint="eastAsia"/>
          <w:color w:val="000000"/>
        </w:rPr>
      </w:pPr>
      <w:r>
        <w:rPr>
          <w:rFonts w:ascii="Songti SC" w:hAnsi="Songti SC" w:eastAsia="Songti SC" w:cs="Songti SC"/>
          <w:color w:val="000000"/>
        </w:rPr>
        <w:t>充值和余额更新采用事务处理。</w:t>
      </w:r>
    </w:p>
    <w:p w14:paraId="4721FB8D">
      <w:pPr>
        <w:ind w:firstLine="480"/>
        <w:rPr>
          <w:rFonts w:hint="eastAsia"/>
          <w:color w:val="000000"/>
        </w:rPr>
      </w:pPr>
      <w:r>
        <w:rPr>
          <w:rFonts w:ascii="Songti SC" w:hAnsi="Songti SC" w:eastAsia="Songti SC" w:cs="Songti SC"/>
          <w:color w:val="000000"/>
        </w:rPr>
        <w:t>金额精度、导入模板和操作日志适配本地运行环境。</w:t>
      </w:r>
    </w:p>
    <w:p w14:paraId="7DBC1DD8">
      <w:pPr>
        <w:ind w:firstLine="482"/>
        <w:rPr>
          <w:rFonts w:hint="eastAsia"/>
          <w:color w:val="000000"/>
        </w:rPr>
      </w:pPr>
      <w:r>
        <w:rPr>
          <w:rFonts w:ascii="Songti SC" w:hAnsi="Songti SC" w:eastAsia="Songti SC" w:cs="Songti SC"/>
          <w:b/>
          <w:color w:val="000000"/>
        </w:rPr>
        <w:t>运行关注</w:t>
      </w:r>
    </w:p>
    <w:p w14:paraId="34D1EE91">
      <w:pPr>
        <w:ind w:firstLine="480"/>
        <w:rPr>
          <w:rFonts w:hint="eastAsia"/>
          <w:color w:val="000000"/>
        </w:rPr>
      </w:pPr>
      <w:r>
        <w:rPr>
          <w:rFonts w:ascii="Songti SC" w:hAnsi="Songti SC" w:eastAsia="Songti SC" w:cs="Songti SC"/>
          <w:color w:val="000000"/>
        </w:rPr>
        <w:t>充值问题优先核查订单状态和账户流水。</w:t>
      </w:r>
    </w:p>
    <w:p w14:paraId="74B9F755">
      <w:pPr>
        <w:ind w:firstLine="480"/>
        <w:rPr>
          <w:rFonts w:hint="eastAsia"/>
          <w:color w:val="000000"/>
        </w:rPr>
      </w:pPr>
      <w:r>
        <w:rPr>
          <w:rFonts w:ascii="Songti SC" w:hAnsi="Songti SC" w:eastAsia="Songti SC" w:cs="Songti SC"/>
          <w:color w:val="000000"/>
        </w:rPr>
        <w:t>财务人员只能查看授权范围数据。</w:t>
      </w:r>
    </w:p>
    <w:p w14:paraId="1D525CBC">
      <w:pPr>
        <w:numPr>
          <w:ilvl w:val="0"/>
          <w:numId w:val="47"/>
        </w:numPr>
        <w:ind w:firstLineChars="0"/>
        <w:rPr>
          <w:rFonts w:hint="eastAsia"/>
          <w:b/>
          <w:color w:val="000000"/>
        </w:rPr>
      </w:pPr>
      <w:r>
        <w:rPr>
          <w:rFonts w:ascii="Songti SC" w:hAnsi="Songti SC" w:eastAsia="Songti SC" w:cs="Songti SC"/>
          <w:b/>
          <w:color w:val="000000"/>
        </w:rPr>
        <w:t>补贴管理功能适配</w:t>
      </w:r>
    </w:p>
    <w:p w14:paraId="7BBC5EA7">
      <w:pPr>
        <w:ind w:firstLine="482"/>
        <w:rPr>
          <w:rFonts w:hint="eastAsia"/>
          <w:color w:val="000000"/>
        </w:rPr>
      </w:pPr>
      <w:r>
        <w:rPr>
          <w:rFonts w:ascii="Songti SC" w:hAnsi="Songti SC" w:eastAsia="Songti SC" w:cs="Songti SC"/>
          <w:b/>
          <w:color w:val="000000"/>
        </w:rPr>
        <w:t>工作目标：</w:t>
      </w:r>
      <w:r>
        <w:rPr>
          <w:rFonts w:ascii="Songti SC" w:hAnsi="Songti SC" w:eastAsia="Songti SC" w:cs="Songti SC"/>
          <w:color w:val="000000"/>
        </w:rPr>
        <w:t>保障补贴规则、发放、使用和失效可持续运行。</w:t>
      </w:r>
    </w:p>
    <w:p w14:paraId="04881C04">
      <w:pPr>
        <w:ind w:firstLine="482"/>
        <w:rPr>
          <w:rFonts w:hint="eastAsia"/>
          <w:color w:val="000000"/>
        </w:rPr>
      </w:pPr>
      <w:r>
        <w:rPr>
          <w:rFonts w:ascii="Songti SC" w:hAnsi="Songti SC" w:eastAsia="Songti SC" w:cs="Songti SC"/>
          <w:b/>
          <w:color w:val="000000"/>
        </w:rPr>
        <w:t>具体做法</w:t>
      </w:r>
    </w:p>
    <w:p w14:paraId="74A775EE">
      <w:pPr>
        <w:ind w:firstLine="480"/>
        <w:rPr>
          <w:rFonts w:hint="eastAsia"/>
          <w:color w:val="000000"/>
        </w:rPr>
      </w:pPr>
      <w:r>
        <w:rPr>
          <w:rFonts w:ascii="Songti SC" w:hAnsi="Songti SC" w:eastAsia="Songti SC" w:cs="Songti SC"/>
          <w:color w:val="000000"/>
        </w:rPr>
        <w:t>验证补贴规则配置、发放批次、人员明细和补贴余额。</w:t>
      </w:r>
    </w:p>
    <w:p w14:paraId="5764194E">
      <w:pPr>
        <w:ind w:firstLine="480"/>
        <w:rPr>
          <w:rFonts w:hint="eastAsia"/>
          <w:color w:val="000000"/>
        </w:rPr>
      </w:pPr>
      <w:r>
        <w:rPr>
          <w:rFonts w:ascii="Songti SC" w:hAnsi="Songti SC" w:eastAsia="Songti SC" w:cs="Songti SC"/>
          <w:color w:val="000000"/>
        </w:rPr>
        <w:t>验证补贴使用顺序和消费订单展示。</w:t>
      </w:r>
    </w:p>
    <w:p w14:paraId="362BAA44">
      <w:pPr>
        <w:ind w:firstLine="480"/>
        <w:rPr>
          <w:rFonts w:hint="eastAsia"/>
          <w:color w:val="000000"/>
        </w:rPr>
      </w:pPr>
      <w:r>
        <w:rPr>
          <w:rFonts w:ascii="Songti SC" w:hAnsi="Songti SC" w:eastAsia="Songti SC" w:cs="Songti SC"/>
          <w:color w:val="000000"/>
        </w:rPr>
        <w:t>验证补贴失效任务。</w:t>
      </w:r>
    </w:p>
    <w:p w14:paraId="442FBFE1">
      <w:pPr>
        <w:ind w:firstLine="482"/>
        <w:rPr>
          <w:rFonts w:hint="eastAsia"/>
          <w:color w:val="000000"/>
        </w:rPr>
      </w:pPr>
      <w:r>
        <w:rPr>
          <w:rFonts w:ascii="Songti SC" w:hAnsi="Songti SC" w:eastAsia="Songti SC" w:cs="Songti SC"/>
          <w:b/>
          <w:color w:val="000000"/>
        </w:rPr>
        <w:t>兼容适配关注</w:t>
      </w:r>
    </w:p>
    <w:p w14:paraId="76E0F805">
      <w:pPr>
        <w:ind w:firstLine="480"/>
        <w:rPr>
          <w:rFonts w:hint="eastAsia"/>
          <w:color w:val="000000"/>
        </w:rPr>
      </w:pPr>
      <w:r>
        <w:rPr>
          <w:rFonts w:ascii="Songti SC" w:hAnsi="Songti SC" w:eastAsia="Songti SC" w:cs="Songti SC"/>
          <w:color w:val="000000"/>
        </w:rPr>
        <w:t>补贴批次和流水在数据库中保持关联。</w:t>
      </w:r>
    </w:p>
    <w:p w14:paraId="2F97DD7D">
      <w:pPr>
        <w:ind w:firstLine="480"/>
        <w:rPr>
          <w:rFonts w:hint="eastAsia"/>
          <w:color w:val="000000"/>
        </w:rPr>
      </w:pPr>
      <w:r>
        <w:rPr>
          <w:rFonts w:ascii="Songti SC" w:hAnsi="Songti SC" w:eastAsia="Songti SC" w:cs="Songti SC"/>
          <w:color w:val="000000"/>
        </w:rPr>
        <w:t>定时任务失败可重试且不重复发放。</w:t>
      </w:r>
    </w:p>
    <w:p w14:paraId="7018E00B">
      <w:pPr>
        <w:ind w:firstLine="482"/>
        <w:rPr>
          <w:rFonts w:hint="eastAsia"/>
          <w:color w:val="000000"/>
        </w:rPr>
      </w:pPr>
      <w:r>
        <w:rPr>
          <w:rFonts w:ascii="Songti SC" w:hAnsi="Songti SC" w:eastAsia="Songti SC" w:cs="Songti SC"/>
          <w:b/>
          <w:color w:val="000000"/>
        </w:rPr>
        <w:t>运行关注</w:t>
      </w:r>
    </w:p>
    <w:p w14:paraId="05580BD2">
      <w:pPr>
        <w:ind w:firstLine="480"/>
        <w:rPr>
          <w:rFonts w:hint="eastAsia"/>
          <w:color w:val="000000"/>
        </w:rPr>
      </w:pPr>
      <w:r>
        <w:rPr>
          <w:rFonts w:ascii="Songti SC" w:hAnsi="Songti SC" w:eastAsia="Songti SC" w:cs="Songti SC"/>
          <w:color w:val="000000"/>
        </w:rPr>
        <w:t>补贴余额异常需从发放、使用、失效三类流水核查。</w:t>
      </w:r>
    </w:p>
    <w:p w14:paraId="1DCA3AA7">
      <w:pPr>
        <w:ind w:firstLine="480"/>
        <w:rPr>
          <w:rFonts w:hint="eastAsia"/>
          <w:color w:val="000000"/>
        </w:rPr>
      </w:pPr>
      <w:r>
        <w:rPr>
          <w:rFonts w:ascii="Songti SC" w:hAnsi="Songti SC" w:eastAsia="Songti SC" w:cs="Songti SC"/>
          <w:color w:val="000000"/>
        </w:rPr>
        <w:t>补贴规则变更要评估影响人员。</w:t>
      </w:r>
    </w:p>
    <w:p w14:paraId="7238D775">
      <w:pPr>
        <w:numPr>
          <w:ilvl w:val="0"/>
          <w:numId w:val="47"/>
        </w:numPr>
        <w:ind w:firstLineChars="0"/>
        <w:rPr>
          <w:rFonts w:hint="eastAsia"/>
          <w:b/>
          <w:color w:val="000000"/>
        </w:rPr>
      </w:pPr>
      <w:r>
        <w:rPr>
          <w:rFonts w:ascii="Songti SC" w:hAnsi="Songti SC" w:eastAsia="Songti SC" w:cs="Songti SC"/>
          <w:b/>
          <w:color w:val="000000"/>
        </w:rPr>
        <w:t>现金退款功能适配</w:t>
      </w:r>
    </w:p>
    <w:p w14:paraId="09AE8597">
      <w:pPr>
        <w:ind w:firstLine="482"/>
        <w:rPr>
          <w:rFonts w:hint="eastAsia"/>
          <w:color w:val="000000"/>
        </w:rPr>
      </w:pPr>
      <w:r>
        <w:rPr>
          <w:rFonts w:ascii="Songti SC" w:hAnsi="Songti SC" w:eastAsia="Songti SC" w:cs="Songti SC"/>
          <w:b/>
          <w:color w:val="000000"/>
        </w:rPr>
        <w:t>工作目标：</w:t>
      </w:r>
      <w:r>
        <w:rPr>
          <w:rFonts w:ascii="Songti SC" w:hAnsi="Songti SC" w:eastAsia="Songti SC" w:cs="Songti SC"/>
          <w:color w:val="000000"/>
        </w:rPr>
        <w:t>保障退款申请、处理和账户扣减可追溯。</w:t>
      </w:r>
    </w:p>
    <w:p w14:paraId="07479C7E">
      <w:pPr>
        <w:ind w:firstLine="482"/>
        <w:rPr>
          <w:rFonts w:hint="eastAsia"/>
          <w:color w:val="000000"/>
        </w:rPr>
      </w:pPr>
      <w:r>
        <w:rPr>
          <w:rFonts w:ascii="Songti SC" w:hAnsi="Songti SC" w:eastAsia="Songti SC" w:cs="Songti SC"/>
          <w:b/>
          <w:color w:val="000000"/>
        </w:rPr>
        <w:t>具体做法</w:t>
      </w:r>
    </w:p>
    <w:p w14:paraId="614B4ECF">
      <w:pPr>
        <w:ind w:firstLine="480"/>
        <w:rPr>
          <w:rFonts w:hint="eastAsia"/>
          <w:color w:val="000000"/>
        </w:rPr>
      </w:pPr>
      <w:r>
        <w:rPr>
          <w:rFonts w:ascii="Songti SC" w:hAnsi="Songti SC" w:eastAsia="Songti SC" w:cs="Songti SC"/>
          <w:color w:val="000000"/>
        </w:rPr>
        <w:t>验证退款申请、处理状态、退款金额和账户流水。</w:t>
      </w:r>
    </w:p>
    <w:p w14:paraId="211B4E84">
      <w:pPr>
        <w:ind w:firstLine="480"/>
        <w:rPr>
          <w:rFonts w:hint="eastAsia"/>
          <w:color w:val="000000"/>
        </w:rPr>
      </w:pPr>
      <w:r>
        <w:rPr>
          <w:rFonts w:ascii="Songti SC" w:hAnsi="Songti SC" w:eastAsia="Songti SC" w:cs="Songti SC"/>
          <w:color w:val="000000"/>
        </w:rPr>
        <w:t>验证余额不足、冻结账户、未完成订单等限制。</w:t>
      </w:r>
    </w:p>
    <w:p w14:paraId="2F9FE656">
      <w:pPr>
        <w:ind w:firstLine="480"/>
        <w:rPr>
          <w:rFonts w:hint="eastAsia"/>
          <w:color w:val="000000"/>
        </w:rPr>
      </w:pPr>
      <w:r>
        <w:rPr>
          <w:rFonts w:ascii="Songti SC" w:hAnsi="Songti SC" w:eastAsia="Songti SC" w:cs="Songti SC"/>
          <w:color w:val="000000"/>
        </w:rPr>
        <w:t>验证退款记录查询和导出。</w:t>
      </w:r>
    </w:p>
    <w:p w14:paraId="2454368E">
      <w:pPr>
        <w:ind w:firstLine="482"/>
        <w:rPr>
          <w:rFonts w:hint="eastAsia"/>
          <w:color w:val="000000"/>
        </w:rPr>
      </w:pPr>
      <w:r>
        <w:rPr>
          <w:rFonts w:ascii="Songti SC" w:hAnsi="Songti SC" w:eastAsia="Songti SC" w:cs="Songti SC"/>
          <w:b/>
          <w:color w:val="000000"/>
        </w:rPr>
        <w:t>兼容适配关注</w:t>
      </w:r>
    </w:p>
    <w:p w14:paraId="4DBD99BC">
      <w:pPr>
        <w:ind w:firstLine="480"/>
        <w:rPr>
          <w:rFonts w:hint="eastAsia"/>
          <w:color w:val="000000"/>
        </w:rPr>
      </w:pPr>
      <w:r>
        <w:rPr>
          <w:rFonts w:ascii="Songti SC" w:hAnsi="Songti SC" w:eastAsia="Songti SC" w:cs="Songti SC"/>
          <w:color w:val="000000"/>
        </w:rPr>
        <w:t>退款处理与账户余额扣减保持事务一致。</w:t>
      </w:r>
    </w:p>
    <w:p w14:paraId="7DBFAB51">
      <w:pPr>
        <w:ind w:firstLine="480"/>
        <w:rPr>
          <w:rFonts w:hint="eastAsia"/>
          <w:color w:val="000000"/>
        </w:rPr>
      </w:pPr>
      <w:r>
        <w:rPr>
          <w:rFonts w:ascii="Songti SC" w:hAnsi="Songti SC" w:eastAsia="Songti SC" w:cs="Songti SC"/>
          <w:color w:val="000000"/>
        </w:rPr>
        <w:t>退款原因和处理记录进入日志。</w:t>
      </w:r>
    </w:p>
    <w:p w14:paraId="3D1C4374">
      <w:pPr>
        <w:ind w:firstLine="482"/>
        <w:rPr>
          <w:rFonts w:hint="eastAsia"/>
          <w:color w:val="000000"/>
        </w:rPr>
      </w:pPr>
      <w:r>
        <w:rPr>
          <w:rFonts w:ascii="Songti SC" w:hAnsi="Songti SC" w:eastAsia="Songti SC" w:cs="Songti SC"/>
          <w:b/>
          <w:color w:val="000000"/>
        </w:rPr>
        <w:t>运行关注</w:t>
      </w:r>
    </w:p>
    <w:p w14:paraId="00548AE4">
      <w:pPr>
        <w:ind w:firstLine="480"/>
        <w:rPr>
          <w:rFonts w:hint="eastAsia"/>
          <w:color w:val="000000"/>
        </w:rPr>
      </w:pPr>
      <w:r>
        <w:rPr>
          <w:rFonts w:ascii="Songti SC" w:hAnsi="Songti SC" w:eastAsia="Songti SC" w:cs="Songti SC"/>
          <w:color w:val="000000"/>
        </w:rPr>
        <w:t>退款争议可按人员和订单查询。</w:t>
      </w:r>
    </w:p>
    <w:p w14:paraId="466106D3">
      <w:pPr>
        <w:ind w:firstLine="480"/>
        <w:rPr>
          <w:rFonts w:hint="eastAsia"/>
          <w:color w:val="000000"/>
        </w:rPr>
      </w:pPr>
      <w:r>
        <w:rPr>
          <w:rFonts w:ascii="Songti SC" w:hAnsi="Songti SC" w:eastAsia="Songti SC" w:cs="Songti SC"/>
          <w:color w:val="000000"/>
        </w:rPr>
        <w:t>处理中退款要纳入试运行关注。</w:t>
      </w:r>
    </w:p>
    <w:p w14:paraId="134F96C3">
      <w:pPr>
        <w:numPr>
          <w:ilvl w:val="0"/>
          <w:numId w:val="47"/>
        </w:numPr>
        <w:ind w:firstLineChars="0"/>
        <w:rPr>
          <w:rFonts w:hint="eastAsia"/>
          <w:b/>
          <w:color w:val="000000"/>
        </w:rPr>
      </w:pPr>
      <w:r>
        <w:rPr>
          <w:rFonts w:ascii="Songti SC" w:hAnsi="Songti SC" w:eastAsia="Songti SC" w:cs="Songti SC"/>
          <w:b/>
          <w:color w:val="000000"/>
        </w:rPr>
        <w:t>订单查询与售后功能适配</w:t>
      </w:r>
    </w:p>
    <w:p w14:paraId="6F576AFD">
      <w:pPr>
        <w:ind w:firstLine="482"/>
        <w:rPr>
          <w:rFonts w:hint="eastAsia"/>
          <w:color w:val="000000"/>
        </w:rPr>
      </w:pPr>
      <w:r>
        <w:rPr>
          <w:rFonts w:ascii="Songti SC" w:hAnsi="Songti SC" w:eastAsia="Songti SC" w:cs="Songti SC"/>
          <w:b/>
          <w:color w:val="000000"/>
        </w:rPr>
        <w:t>工作目标：</w:t>
      </w:r>
      <w:r>
        <w:rPr>
          <w:rFonts w:ascii="Songti SC" w:hAnsi="Songti SC" w:eastAsia="Songti SC" w:cs="Songti SC"/>
          <w:color w:val="000000"/>
        </w:rPr>
        <w:t>保障消费订单明细、异常订单和售后处理可用。</w:t>
      </w:r>
    </w:p>
    <w:p w14:paraId="07B055F0">
      <w:pPr>
        <w:ind w:firstLine="482"/>
        <w:rPr>
          <w:rFonts w:hint="eastAsia"/>
          <w:color w:val="000000"/>
        </w:rPr>
      </w:pPr>
      <w:r>
        <w:rPr>
          <w:rFonts w:ascii="Songti SC" w:hAnsi="Songti SC" w:eastAsia="Songti SC" w:cs="Songti SC"/>
          <w:b/>
          <w:color w:val="000000"/>
        </w:rPr>
        <w:t>具体做法</w:t>
      </w:r>
    </w:p>
    <w:p w14:paraId="12DD8C91">
      <w:pPr>
        <w:ind w:firstLine="480"/>
        <w:rPr>
          <w:rFonts w:hint="eastAsia"/>
          <w:color w:val="000000"/>
        </w:rPr>
      </w:pPr>
      <w:r>
        <w:rPr>
          <w:rFonts w:ascii="Songti SC" w:hAnsi="Songti SC" w:eastAsia="Songti SC" w:cs="Songti SC"/>
          <w:color w:val="000000"/>
        </w:rPr>
        <w:t>验证按日期、人员、部门、餐厅、消费机、状态查询订单。</w:t>
      </w:r>
    </w:p>
    <w:p w14:paraId="586648E0">
      <w:pPr>
        <w:ind w:firstLine="480"/>
        <w:rPr>
          <w:rFonts w:hint="eastAsia"/>
          <w:color w:val="000000"/>
        </w:rPr>
      </w:pPr>
      <w:r>
        <w:rPr>
          <w:rFonts w:ascii="Songti SC" w:hAnsi="Songti SC" w:eastAsia="Songti SC" w:cs="Songti SC"/>
          <w:color w:val="000000"/>
        </w:rPr>
        <w:t>验证订单详情、菜品明细、金额构成和余额前后值。</w:t>
      </w:r>
    </w:p>
    <w:p w14:paraId="6706AE09">
      <w:pPr>
        <w:ind w:firstLine="480"/>
        <w:rPr>
          <w:rFonts w:hint="eastAsia"/>
          <w:color w:val="000000"/>
        </w:rPr>
      </w:pPr>
      <w:r>
        <w:rPr>
          <w:rFonts w:ascii="Songti SC" w:hAnsi="Songti SC" w:eastAsia="Songti SC" w:cs="Songti SC"/>
          <w:color w:val="000000"/>
        </w:rPr>
        <w:t>验证冲正、退款、补记等售后处理。</w:t>
      </w:r>
    </w:p>
    <w:p w14:paraId="064F885C">
      <w:pPr>
        <w:ind w:firstLine="482"/>
        <w:rPr>
          <w:rFonts w:hint="eastAsia"/>
          <w:color w:val="000000"/>
        </w:rPr>
      </w:pPr>
      <w:r>
        <w:rPr>
          <w:rFonts w:ascii="Songti SC" w:hAnsi="Songti SC" w:eastAsia="Songti SC" w:cs="Songti SC"/>
          <w:b/>
          <w:color w:val="000000"/>
        </w:rPr>
        <w:t>兼容适配关注</w:t>
      </w:r>
    </w:p>
    <w:p w14:paraId="342ED2EA">
      <w:pPr>
        <w:ind w:firstLine="480"/>
        <w:rPr>
          <w:rFonts w:hint="eastAsia"/>
          <w:color w:val="000000"/>
        </w:rPr>
      </w:pPr>
      <w:r>
        <w:rPr>
          <w:rFonts w:ascii="Songti SC" w:hAnsi="Songti SC" w:eastAsia="Songti SC" w:cs="Songti SC"/>
          <w:color w:val="000000"/>
        </w:rPr>
        <w:t>订单大表查询优化索引和分页。</w:t>
      </w:r>
    </w:p>
    <w:p w14:paraId="035E3C45">
      <w:pPr>
        <w:ind w:firstLine="480"/>
        <w:rPr>
          <w:rFonts w:hint="eastAsia"/>
          <w:color w:val="000000"/>
        </w:rPr>
      </w:pPr>
      <w:r>
        <w:rPr>
          <w:rFonts w:ascii="Songti SC" w:hAnsi="Songti SC" w:eastAsia="Songti SC" w:cs="Songti SC"/>
          <w:color w:val="000000"/>
        </w:rPr>
        <w:t>售后处理不得只改订单状态，必须同步账户流水。</w:t>
      </w:r>
    </w:p>
    <w:p w14:paraId="513ACDB3">
      <w:pPr>
        <w:ind w:firstLine="482"/>
        <w:rPr>
          <w:rFonts w:hint="eastAsia"/>
          <w:color w:val="000000"/>
        </w:rPr>
      </w:pPr>
      <w:r>
        <w:rPr>
          <w:rFonts w:ascii="Songti SC" w:hAnsi="Songti SC" w:eastAsia="Songti SC" w:cs="Songti SC"/>
          <w:b/>
          <w:color w:val="000000"/>
        </w:rPr>
        <w:t>运行关注</w:t>
      </w:r>
    </w:p>
    <w:p w14:paraId="57F2336D">
      <w:pPr>
        <w:ind w:firstLine="480"/>
        <w:rPr>
          <w:rFonts w:hint="eastAsia"/>
          <w:color w:val="000000"/>
        </w:rPr>
      </w:pPr>
      <w:r>
        <w:rPr>
          <w:rFonts w:ascii="Songti SC" w:hAnsi="Songti SC" w:eastAsia="Songti SC" w:cs="Songti SC"/>
          <w:color w:val="000000"/>
        </w:rPr>
        <w:t>用户争议优先查订单、流水和消费机日志。</w:t>
      </w:r>
    </w:p>
    <w:p w14:paraId="01ABCFEB">
      <w:pPr>
        <w:ind w:firstLine="480"/>
        <w:rPr>
          <w:rFonts w:hint="eastAsia"/>
          <w:color w:val="000000"/>
        </w:rPr>
      </w:pPr>
      <w:r>
        <w:rPr>
          <w:rFonts w:ascii="Songti SC" w:hAnsi="Songti SC" w:eastAsia="Songti SC" w:cs="Songti SC"/>
          <w:color w:val="000000"/>
        </w:rPr>
        <w:t>异常订单关闭后保留处理记录。</w:t>
      </w:r>
    </w:p>
    <w:p w14:paraId="37540C64">
      <w:pPr>
        <w:numPr>
          <w:ilvl w:val="0"/>
          <w:numId w:val="47"/>
        </w:numPr>
        <w:ind w:firstLineChars="0"/>
        <w:rPr>
          <w:rFonts w:hint="eastAsia"/>
          <w:b/>
          <w:color w:val="000000"/>
        </w:rPr>
      </w:pPr>
      <w:r>
        <w:rPr>
          <w:rFonts w:ascii="Songti SC" w:hAnsi="Songti SC" w:eastAsia="Songti SC" w:cs="Songti SC"/>
          <w:b/>
          <w:color w:val="000000"/>
        </w:rPr>
        <w:t>报表查询功能适配</w:t>
      </w:r>
    </w:p>
    <w:p w14:paraId="2E6C1DA4">
      <w:pPr>
        <w:ind w:firstLine="482"/>
        <w:rPr>
          <w:rFonts w:hint="eastAsia"/>
          <w:color w:val="000000"/>
        </w:rPr>
      </w:pPr>
      <w:r>
        <w:rPr>
          <w:rFonts w:ascii="Songti SC" w:hAnsi="Songti SC" w:eastAsia="Songti SC" w:cs="Songti SC"/>
          <w:b/>
          <w:color w:val="000000"/>
        </w:rPr>
        <w:t>工作目标：</w:t>
      </w:r>
      <w:r>
        <w:rPr>
          <w:rFonts w:ascii="Songti SC" w:hAnsi="Songti SC" w:eastAsia="Songti SC" w:cs="Songti SC"/>
          <w:color w:val="000000"/>
        </w:rPr>
        <w:t>保障管理汇总、财务核对和经营分析可用。</w:t>
      </w:r>
    </w:p>
    <w:p w14:paraId="04B9E7BC">
      <w:pPr>
        <w:ind w:firstLine="482"/>
        <w:rPr>
          <w:rFonts w:hint="eastAsia"/>
          <w:color w:val="000000"/>
        </w:rPr>
      </w:pPr>
      <w:r>
        <w:rPr>
          <w:rFonts w:ascii="Songti SC" w:hAnsi="Songti SC" w:eastAsia="Songti SC" w:cs="Songti SC"/>
          <w:b/>
          <w:color w:val="000000"/>
        </w:rPr>
        <w:t>具体做法</w:t>
      </w:r>
    </w:p>
    <w:p w14:paraId="6AFBD1E3">
      <w:pPr>
        <w:ind w:firstLine="480"/>
        <w:rPr>
          <w:rFonts w:hint="eastAsia"/>
          <w:color w:val="000000"/>
        </w:rPr>
      </w:pPr>
      <w:r>
        <w:rPr>
          <w:rFonts w:ascii="Songti SC" w:hAnsi="Songti SC" w:eastAsia="Songti SC" w:cs="Songti SC"/>
          <w:color w:val="000000"/>
        </w:rPr>
        <w:t>验证收银统计、综合汇总、用户余额、部门消费、餐厅消费、消费机汇总等报表。</w:t>
      </w:r>
    </w:p>
    <w:p w14:paraId="59AFF350">
      <w:pPr>
        <w:ind w:firstLine="480"/>
        <w:rPr>
          <w:rFonts w:hint="eastAsia"/>
          <w:color w:val="000000"/>
        </w:rPr>
      </w:pPr>
      <w:r>
        <w:rPr>
          <w:rFonts w:ascii="Songti SC" w:hAnsi="Songti SC" w:eastAsia="Songti SC" w:cs="Songti SC"/>
          <w:color w:val="000000"/>
        </w:rPr>
        <w:t>验证菜品销售、菜品销量明细、营收统计。</w:t>
      </w:r>
    </w:p>
    <w:p w14:paraId="4E163C06">
      <w:pPr>
        <w:ind w:firstLine="480"/>
        <w:rPr>
          <w:rFonts w:hint="eastAsia"/>
          <w:color w:val="000000"/>
        </w:rPr>
      </w:pPr>
      <w:r>
        <w:rPr>
          <w:rFonts w:ascii="Songti SC" w:hAnsi="Songti SC" w:eastAsia="Songti SC" w:cs="Songti SC"/>
          <w:color w:val="000000"/>
        </w:rPr>
        <w:t>验证导出字段、金额合计和下钻明细。</w:t>
      </w:r>
    </w:p>
    <w:p w14:paraId="4609849A">
      <w:pPr>
        <w:ind w:firstLine="482"/>
        <w:rPr>
          <w:rFonts w:hint="eastAsia"/>
          <w:color w:val="000000"/>
        </w:rPr>
      </w:pPr>
      <w:r>
        <w:rPr>
          <w:rFonts w:ascii="Songti SC" w:hAnsi="Songti SC" w:eastAsia="Songti SC" w:cs="Songti SC"/>
          <w:b/>
          <w:color w:val="000000"/>
        </w:rPr>
        <w:t>兼容适配关注</w:t>
      </w:r>
    </w:p>
    <w:p w14:paraId="7630DA4A">
      <w:pPr>
        <w:ind w:firstLine="480"/>
        <w:rPr>
          <w:rFonts w:hint="eastAsia"/>
          <w:color w:val="000000"/>
        </w:rPr>
      </w:pPr>
      <w:r>
        <w:rPr>
          <w:rFonts w:ascii="Songti SC" w:hAnsi="Songti SC" w:eastAsia="Songti SC" w:cs="Songti SC"/>
          <w:color w:val="000000"/>
        </w:rPr>
        <w:t>数据库下优化报表 SQL 和异步导出。</w:t>
      </w:r>
    </w:p>
    <w:p w14:paraId="4B333AA0">
      <w:pPr>
        <w:ind w:firstLine="480"/>
        <w:rPr>
          <w:rFonts w:hint="eastAsia"/>
          <w:color w:val="000000"/>
        </w:rPr>
      </w:pPr>
      <w:r>
        <w:rPr>
          <w:rFonts w:ascii="Songti SC" w:hAnsi="Songti SC" w:eastAsia="Songti SC" w:cs="Songti SC"/>
          <w:color w:val="000000"/>
        </w:rPr>
        <w:t>导出文件中文名称和表头正常。</w:t>
      </w:r>
    </w:p>
    <w:p w14:paraId="075CDBC7">
      <w:pPr>
        <w:ind w:firstLine="482"/>
        <w:rPr>
          <w:rFonts w:hint="eastAsia"/>
          <w:color w:val="000000"/>
        </w:rPr>
      </w:pPr>
      <w:r>
        <w:rPr>
          <w:rFonts w:ascii="Songti SC" w:hAnsi="Songti SC" w:eastAsia="Songti SC" w:cs="Songti SC"/>
          <w:b/>
          <w:color w:val="000000"/>
        </w:rPr>
        <w:t>运行关注</w:t>
      </w:r>
    </w:p>
    <w:p w14:paraId="106817FE">
      <w:pPr>
        <w:ind w:firstLine="480"/>
        <w:rPr>
          <w:rFonts w:hint="eastAsia"/>
          <w:color w:val="000000"/>
        </w:rPr>
      </w:pPr>
      <w:r>
        <w:rPr>
          <w:rFonts w:ascii="Songti SC" w:hAnsi="Songti SC" w:eastAsia="Songti SC" w:cs="Songti SC"/>
          <w:color w:val="000000"/>
        </w:rPr>
        <w:t>报表高峰查询应避开交易高峰。</w:t>
      </w:r>
    </w:p>
    <w:p w14:paraId="046D35AE">
      <w:pPr>
        <w:ind w:firstLine="480"/>
        <w:rPr>
          <w:rFonts w:hint="eastAsia"/>
          <w:color w:val="000000"/>
        </w:rPr>
      </w:pPr>
      <w:r>
        <w:rPr>
          <w:rFonts w:ascii="Songti SC" w:hAnsi="Songti SC" w:eastAsia="Songti SC" w:cs="Songti SC"/>
          <w:color w:val="000000"/>
        </w:rPr>
        <w:t>报表合计必须能追到明细。</w:t>
      </w:r>
    </w:p>
    <w:p w14:paraId="6CB115D9">
      <w:pPr>
        <w:numPr>
          <w:ilvl w:val="0"/>
          <w:numId w:val="47"/>
        </w:numPr>
        <w:ind w:firstLineChars="0"/>
        <w:rPr>
          <w:rFonts w:hint="eastAsia"/>
          <w:b/>
          <w:color w:val="000000"/>
        </w:rPr>
      </w:pPr>
      <w:r>
        <w:rPr>
          <w:rFonts w:ascii="Songti SC" w:hAnsi="Songti SC" w:eastAsia="Songti SC" w:cs="Songti SC"/>
          <w:b/>
          <w:color w:val="000000"/>
        </w:rPr>
        <w:t>小程序登录与个人查询适配</w:t>
      </w:r>
    </w:p>
    <w:p w14:paraId="60A0042A">
      <w:pPr>
        <w:ind w:firstLine="482"/>
        <w:rPr>
          <w:rFonts w:hint="eastAsia"/>
          <w:color w:val="000000"/>
        </w:rPr>
      </w:pPr>
      <w:r>
        <w:rPr>
          <w:rFonts w:ascii="Songti SC" w:hAnsi="Songti SC" w:eastAsia="Songti SC" w:cs="Songti SC"/>
          <w:b/>
          <w:color w:val="000000"/>
        </w:rPr>
        <w:t>工作目标：</w:t>
      </w:r>
      <w:r>
        <w:rPr>
          <w:rFonts w:ascii="Songti SC" w:hAnsi="Songti SC" w:eastAsia="Songti SC" w:cs="Songti SC"/>
          <w:color w:val="000000"/>
        </w:rPr>
        <w:t>保障用户手机端查询余额、订单和消费记录。</w:t>
      </w:r>
    </w:p>
    <w:p w14:paraId="75CCB378">
      <w:pPr>
        <w:ind w:firstLine="482"/>
        <w:rPr>
          <w:rFonts w:hint="eastAsia"/>
          <w:color w:val="000000"/>
        </w:rPr>
      </w:pPr>
      <w:r>
        <w:rPr>
          <w:rFonts w:ascii="Songti SC" w:hAnsi="Songti SC" w:eastAsia="Songti SC" w:cs="Songti SC"/>
          <w:b/>
          <w:color w:val="000000"/>
        </w:rPr>
        <w:t>具体做法</w:t>
      </w:r>
    </w:p>
    <w:p w14:paraId="490DF83B">
      <w:pPr>
        <w:ind w:firstLine="480"/>
        <w:rPr>
          <w:rFonts w:hint="eastAsia"/>
          <w:color w:val="000000"/>
        </w:rPr>
      </w:pPr>
      <w:r>
        <w:rPr>
          <w:rFonts w:ascii="Songti SC" w:hAnsi="Songti SC" w:eastAsia="Songti SC" w:cs="Songti SC"/>
          <w:color w:val="000000"/>
        </w:rPr>
        <w:t>验证登录、余额展示、充值记录、消费记录、订单明细和售后状态。</w:t>
      </w:r>
    </w:p>
    <w:p w14:paraId="37F8D02B">
      <w:pPr>
        <w:ind w:firstLine="480"/>
        <w:rPr>
          <w:rFonts w:hint="eastAsia"/>
          <w:color w:val="000000"/>
        </w:rPr>
      </w:pPr>
      <w:r>
        <w:rPr>
          <w:rFonts w:ascii="Songti SC" w:hAnsi="Songti SC" w:eastAsia="Songti SC" w:cs="Songti SC"/>
          <w:color w:val="000000"/>
        </w:rPr>
        <w:t>验证分页加载和本人权限控制。</w:t>
      </w:r>
    </w:p>
    <w:p w14:paraId="5F56C834">
      <w:pPr>
        <w:ind w:firstLine="480"/>
        <w:rPr>
          <w:rFonts w:hint="eastAsia"/>
          <w:color w:val="000000"/>
        </w:rPr>
      </w:pPr>
      <w:r>
        <w:rPr>
          <w:rFonts w:ascii="Songti SC" w:hAnsi="Songti SC" w:eastAsia="Songti SC" w:cs="Songti SC"/>
          <w:color w:val="000000"/>
        </w:rPr>
        <w:t>验证消息通知展示。</w:t>
      </w:r>
    </w:p>
    <w:p w14:paraId="1F4B50C7">
      <w:pPr>
        <w:ind w:firstLine="482"/>
        <w:rPr>
          <w:rFonts w:hint="eastAsia"/>
          <w:color w:val="000000"/>
        </w:rPr>
      </w:pPr>
      <w:r>
        <w:rPr>
          <w:rFonts w:ascii="Songti SC" w:hAnsi="Songti SC" w:eastAsia="Songti SC" w:cs="Songti SC"/>
          <w:b/>
          <w:color w:val="000000"/>
        </w:rPr>
        <w:t>兼容适配关注</w:t>
      </w:r>
    </w:p>
    <w:p w14:paraId="2766ACA0">
      <w:pPr>
        <w:ind w:firstLine="480"/>
        <w:rPr>
          <w:rFonts w:hint="eastAsia"/>
          <w:color w:val="000000"/>
        </w:rPr>
      </w:pPr>
      <w:r>
        <w:rPr>
          <w:rFonts w:ascii="Songti SC" w:hAnsi="Songti SC" w:eastAsia="Songti SC" w:cs="Songti SC"/>
          <w:color w:val="000000"/>
        </w:rPr>
        <w:t>小程序接口地址、鉴权、超时和日志适配新环境。</w:t>
      </w:r>
    </w:p>
    <w:p w14:paraId="28F930CC">
      <w:pPr>
        <w:ind w:firstLine="480"/>
        <w:rPr>
          <w:rFonts w:hint="eastAsia"/>
          <w:color w:val="000000"/>
        </w:rPr>
      </w:pPr>
      <w:r>
        <w:rPr>
          <w:rFonts w:ascii="Songti SC" w:hAnsi="Songti SC" w:eastAsia="Songti SC" w:cs="Songti SC"/>
          <w:color w:val="000000"/>
        </w:rPr>
        <w:t>敏感信息不在手机端过度展示。</w:t>
      </w:r>
    </w:p>
    <w:p w14:paraId="7AD1BE33">
      <w:pPr>
        <w:ind w:firstLine="482"/>
        <w:rPr>
          <w:rFonts w:hint="eastAsia"/>
          <w:color w:val="000000"/>
        </w:rPr>
      </w:pPr>
      <w:r>
        <w:rPr>
          <w:rFonts w:ascii="Songti SC" w:hAnsi="Songti SC" w:eastAsia="Songti SC" w:cs="Songti SC"/>
          <w:b/>
          <w:color w:val="000000"/>
        </w:rPr>
        <w:t>运行关注</w:t>
      </w:r>
    </w:p>
    <w:p w14:paraId="5B7A9E4A">
      <w:pPr>
        <w:ind w:firstLine="480"/>
        <w:rPr>
          <w:rFonts w:hint="eastAsia"/>
          <w:color w:val="000000"/>
        </w:rPr>
      </w:pPr>
      <w:r>
        <w:rPr>
          <w:rFonts w:ascii="Songti SC" w:hAnsi="Songti SC" w:eastAsia="Songti SC" w:cs="Songti SC"/>
          <w:color w:val="000000"/>
        </w:rPr>
        <w:t>用户反馈余额异常时以后台账户流水为准。</w:t>
      </w:r>
    </w:p>
    <w:p w14:paraId="0A176F27">
      <w:pPr>
        <w:ind w:firstLine="480"/>
        <w:rPr>
          <w:rFonts w:hint="eastAsia"/>
          <w:color w:val="000000"/>
        </w:rPr>
      </w:pPr>
      <w:r>
        <w:rPr>
          <w:rFonts w:ascii="Songti SC" w:hAnsi="Songti SC" w:eastAsia="Songti SC" w:cs="Songti SC"/>
          <w:color w:val="000000"/>
        </w:rPr>
        <w:t>手机端异常不影响现场消费。</w:t>
      </w:r>
    </w:p>
    <w:p w14:paraId="400FDEB8">
      <w:pPr>
        <w:numPr>
          <w:ilvl w:val="0"/>
          <w:numId w:val="47"/>
        </w:numPr>
        <w:ind w:firstLineChars="0"/>
        <w:rPr>
          <w:rFonts w:hint="eastAsia"/>
          <w:b/>
          <w:color w:val="000000"/>
        </w:rPr>
      </w:pPr>
      <w:r>
        <w:rPr>
          <w:rFonts w:ascii="Songti SC" w:hAnsi="Songti SC" w:eastAsia="Songti SC" w:cs="Songti SC"/>
          <w:b/>
          <w:color w:val="000000"/>
        </w:rPr>
        <w:t>小程序线上充值适配</w:t>
      </w:r>
    </w:p>
    <w:p w14:paraId="3BE0117C">
      <w:pPr>
        <w:ind w:firstLine="482"/>
        <w:rPr>
          <w:rFonts w:hint="eastAsia"/>
          <w:color w:val="000000"/>
        </w:rPr>
      </w:pPr>
      <w:r>
        <w:rPr>
          <w:rFonts w:ascii="Songti SC" w:hAnsi="Songti SC" w:eastAsia="Songti SC" w:cs="Songti SC"/>
          <w:b/>
          <w:color w:val="000000"/>
        </w:rPr>
        <w:t>工作目标：</w:t>
      </w:r>
      <w:r>
        <w:rPr>
          <w:rFonts w:ascii="Songti SC" w:hAnsi="Songti SC" w:eastAsia="Songti SC" w:cs="Songti SC"/>
          <w:color w:val="000000"/>
        </w:rPr>
        <w:t>保障用户线上充值流程完整闭环。</w:t>
      </w:r>
    </w:p>
    <w:p w14:paraId="1E0B9751">
      <w:pPr>
        <w:ind w:firstLine="482"/>
        <w:rPr>
          <w:rFonts w:hint="eastAsia"/>
          <w:color w:val="000000"/>
        </w:rPr>
      </w:pPr>
      <w:r>
        <w:rPr>
          <w:rFonts w:ascii="Songti SC" w:hAnsi="Songti SC" w:eastAsia="Songti SC" w:cs="Songti SC"/>
          <w:b/>
          <w:color w:val="000000"/>
        </w:rPr>
        <w:t>具体做法</w:t>
      </w:r>
    </w:p>
    <w:p w14:paraId="3DB8CD07">
      <w:pPr>
        <w:ind w:firstLine="480"/>
        <w:rPr>
          <w:rFonts w:hint="eastAsia"/>
          <w:color w:val="000000"/>
        </w:rPr>
      </w:pPr>
      <w:r>
        <w:rPr>
          <w:rFonts w:ascii="Songti SC" w:hAnsi="Songti SC" w:eastAsia="Songti SC" w:cs="Songti SC"/>
          <w:color w:val="000000"/>
        </w:rPr>
        <w:t>验证发起充值、生成订单、跳转或提交银行链路、查询结果和余额更新。</w:t>
      </w:r>
    </w:p>
    <w:p w14:paraId="759E4DC5">
      <w:pPr>
        <w:ind w:firstLine="480"/>
        <w:rPr>
          <w:rFonts w:hint="eastAsia"/>
          <w:color w:val="000000"/>
        </w:rPr>
      </w:pPr>
      <w:r>
        <w:rPr>
          <w:rFonts w:ascii="Songti SC" w:hAnsi="Songti SC" w:eastAsia="Songti SC" w:cs="Songti SC"/>
          <w:color w:val="000000"/>
        </w:rPr>
        <w:t>验证取消、超时、失败、重复提交等场景。</w:t>
      </w:r>
    </w:p>
    <w:p w14:paraId="551A82AA">
      <w:pPr>
        <w:ind w:firstLine="480"/>
        <w:rPr>
          <w:rFonts w:hint="eastAsia"/>
          <w:color w:val="000000"/>
        </w:rPr>
      </w:pPr>
      <w:r>
        <w:rPr>
          <w:rFonts w:ascii="Songti SC" w:hAnsi="Songti SC" w:eastAsia="Songti SC" w:cs="Songti SC"/>
          <w:color w:val="000000"/>
        </w:rPr>
        <w:t>验证充值记录在小程序和后台一致。</w:t>
      </w:r>
    </w:p>
    <w:p w14:paraId="75139696">
      <w:pPr>
        <w:ind w:firstLine="482"/>
        <w:rPr>
          <w:rFonts w:hint="eastAsia"/>
          <w:color w:val="000000"/>
        </w:rPr>
      </w:pPr>
      <w:r>
        <w:rPr>
          <w:rFonts w:ascii="Songti SC" w:hAnsi="Songti SC" w:eastAsia="Songti SC" w:cs="Songti SC"/>
          <w:b/>
          <w:color w:val="000000"/>
        </w:rPr>
        <w:t>兼容适配关注</w:t>
      </w:r>
    </w:p>
    <w:p w14:paraId="0B84E8BD">
      <w:pPr>
        <w:ind w:firstLine="480"/>
        <w:rPr>
          <w:rFonts w:hint="eastAsia"/>
          <w:color w:val="000000"/>
        </w:rPr>
      </w:pPr>
      <w:r>
        <w:rPr>
          <w:rFonts w:ascii="Songti SC" w:hAnsi="Songti SC" w:eastAsia="Songti SC" w:cs="Songti SC"/>
          <w:color w:val="000000"/>
        </w:rPr>
        <w:t>银行接口地址、证书、签名、前置库连接和回调地址适配本地运行环境。</w:t>
      </w:r>
    </w:p>
    <w:p w14:paraId="04E15209">
      <w:pPr>
        <w:ind w:firstLine="480"/>
        <w:rPr>
          <w:rFonts w:hint="eastAsia"/>
          <w:color w:val="000000"/>
        </w:rPr>
      </w:pPr>
      <w:r>
        <w:rPr>
          <w:rFonts w:ascii="Songti SC" w:hAnsi="Songti SC" w:eastAsia="Songti SC" w:cs="Songti SC"/>
          <w:color w:val="000000"/>
        </w:rPr>
        <w:t>订单状态机防止重复入账。</w:t>
      </w:r>
    </w:p>
    <w:p w14:paraId="5314DFA9">
      <w:pPr>
        <w:ind w:firstLine="482"/>
        <w:rPr>
          <w:rFonts w:hint="eastAsia"/>
          <w:color w:val="000000"/>
        </w:rPr>
      </w:pPr>
      <w:r>
        <w:rPr>
          <w:rFonts w:ascii="Songti SC" w:hAnsi="Songti SC" w:eastAsia="Songti SC" w:cs="Songti SC"/>
          <w:b/>
          <w:color w:val="000000"/>
        </w:rPr>
        <w:t>运行关注</w:t>
      </w:r>
    </w:p>
    <w:p w14:paraId="62D53FAB">
      <w:pPr>
        <w:ind w:firstLine="480"/>
        <w:rPr>
          <w:rFonts w:hint="eastAsia"/>
          <w:color w:val="000000"/>
        </w:rPr>
      </w:pPr>
      <w:r>
        <w:rPr>
          <w:rFonts w:ascii="Songti SC" w:hAnsi="Songti SC" w:eastAsia="Songti SC" w:cs="Songti SC"/>
          <w:color w:val="000000"/>
        </w:rPr>
        <w:t>充值未完成订单进入回查。</w:t>
      </w:r>
    </w:p>
    <w:p w14:paraId="29F864D4">
      <w:pPr>
        <w:ind w:firstLine="480"/>
        <w:rPr>
          <w:rFonts w:hint="eastAsia"/>
          <w:color w:val="000000"/>
        </w:rPr>
      </w:pPr>
      <w:r>
        <w:rPr>
          <w:rFonts w:ascii="Songti SC" w:hAnsi="Songti SC" w:eastAsia="Songti SC" w:cs="Songti SC"/>
          <w:color w:val="000000"/>
        </w:rPr>
        <w:t>用户咨询优先按订单号查询。</w:t>
      </w:r>
    </w:p>
    <w:p w14:paraId="3940ED76">
      <w:pPr>
        <w:numPr>
          <w:ilvl w:val="0"/>
          <w:numId w:val="47"/>
        </w:numPr>
        <w:ind w:firstLineChars="0"/>
        <w:rPr>
          <w:rFonts w:hint="eastAsia"/>
          <w:b/>
          <w:color w:val="000000"/>
        </w:rPr>
      </w:pPr>
      <w:r>
        <w:rPr>
          <w:rFonts w:ascii="Songti SC" w:hAnsi="Songti SC" w:eastAsia="Songti SC" w:cs="Songti SC"/>
          <w:b/>
          <w:color w:val="000000"/>
        </w:rPr>
        <w:t>工商银行回调与回查适配</w:t>
      </w:r>
    </w:p>
    <w:p w14:paraId="0AE2968C">
      <w:pPr>
        <w:ind w:firstLine="482"/>
        <w:rPr>
          <w:rFonts w:hint="eastAsia"/>
          <w:color w:val="000000"/>
        </w:rPr>
      </w:pPr>
      <w:r>
        <w:rPr>
          <w:rFonts w:ascii="Songti SC" w:hAnsi="Songti SC" w:eastAsia="Songti SC" w:cs="Songti SC"/>
          <w:b/>
          <w:color w:val="000000"/>
        </w:rPr>
        <w:t>工作目标：</w:t>
      </w:r>
      <w:r>
        <w:rPr>
          <w:rFonts w:ascii="Songti SC" w:hAnsi="Songti SC" w:eastAsia="Songti SC" w:cs="Songti SC"/>
          <w:color w:val="000000"/>
        </w:rPr>
        <w:t>保障银行处理结果能准确回写系统。</w:t>
      </w:r>
    </w:p>
    <w:p w14:paraId="31B621B2">
      <w:pPr>
        <w:ind w:firstLine="482"/>
        <w:rPr>
          <w:rFonts w:hint="eastAsia"/>
          <w:color w:val="000000"/>
        </w:rPr>
      </w:pPr>
      <w:r>
        <w:rPr>
          <w:rFonts w:ascii="Songti SC" w:hAnsi="Songti SC" w:eastAsia="Songti SC" w:cs="Songti SC"/>
          <w:b/>
          <w:color w:val="000000"/>
        </w:rPr>
        <w:t>具体做法</w:t>
      </w:r>
    </w:p>
    <w:p w14:paraId="33378348">
      <w:pPr>
        <w:ind w:firstLine="480"/>
        <w:rPr>
          <w:rFonts w:hint="eastAsia"/>
          <w:color w:val="000000"/>
        </w:rPr>
      </w:pPr>
      <w:r>
        <w:rPr>
          <w:rFonts w:ascii="Songti SC" w:hAnsi="Songti SC" w:eastAsia="Songti SC" w:cs="Songti SC"/>
          <w:color w:val="000000"/>
        </w:rPr>
        <w:t>验证成功回调、失败回调、重复回调、延迟回调和主动回查。</w:t>
      </w:r>
    </w:p>
    <w:p w14:paraId="73B41DEC">
      <w:pPr>
        <w:ind w:firstLine="480"/>
        <w:rPr>
          <w:rFonts w:hint="eastAsia"/>
          <w:color w:val="000000"/>
        </w:rPr>
      </w:pPr>
      <w:r>
        <w:rPr>
          <w:rFonts w:ascii="Songti SC" w:hAnsi="Songti SC" w:eastAsia="Songti SC" w:cs="Songti SC"/>
          <w:color w:val="000000"/>
        </w:rPr>
        <w:t>记录每次交互请求、返回、状态和异常原因。</w:t>
      </w:r>
    </w:p>
    <w:p w14:paraId="5FECCC7C">
      <w:pPr>
        <w:ind w:firstLine="480"/>
        <w:rPr>
          <w:rFonts w:hint="eastAsia"/>
          <w:color w:val="000000"/>
        </w:rPr>
      </w:pPr>
      <w:r>
        <w:rPr>
          <w:rFonts w:ascii="Songti SC" w:hAnsi="Songti SC" w:eastAsia="Songti SC" w:cs="Songti SC"/>
          <w:color w:val="000000"/>
        </w:rPr>
        <w:t>状态不一致时进入差异清单。</w:t>
      </w:r>
    </w:p>
    <w:p w14:paraId="1A6DA4AA">
      <w:pPr>
        <w:ind w:firstLine="482"/>
        <w:rPr>
          <w:rFonts w:hint="eastAsia"/>
          <w:color w:val="000000"/>
        </w:rPr>
      </w:pPr>
      <w:r>
        <w:rPr>
          <w:rFonts w:ascii="Songti SC" w:hAnsi="Songti SC" w:eastAsia="Songti SC" w:cs="Songti SC"/>
          <w:b/>
          <w:color w:val="000000"/>
        </w:rPr>
        <w:t>兼容适配关注</w:t>
      </w:r>
    </w:p>
    <w:p w14:paraId="7B52CBA5">
      <w:pPr>
        <w:ind w:firstLine="480"/>
        <w:rPr>
          <w:rFonts w:hint="eastAsia"/>
          <w:color w:val="000000"/>
        </w:rPr>
      </w:pPr>
      <w:r>
        <w:rPr>
          <w:rFonts w:ascii="Songti SC" w:hAnsi="Songti SC" w:eastAsia="Songti SC" w:cs="Songti SC"/>
          <w:color w:val="000000"/>
        </w:rPr>
        <w:t>证书、时间戳、签名和网络策略按目标政务云环境及接口规范完成适配。</w:t>
      </w:r>
    </w:p>
    <w:p w14:paraId="325B7A7E">
      <w:pPr>
        <w:ind w:firstLine="480"/>
        <w:rPr>
          <w:rFonts w:hint="eastAsia"/>
          <w:color w:val="000000"/>
        </w:rPr>
      </w:pPr>
      <w:r>
        <w:rPr>
          <w:rFonts w:ascii="Songti SC" w:hAnsi="Songti SC" w:eastAsia="Songti SC" w:cs="Songti SC"/>
          <w:color w:val="000000"/>
        </w:rPr>
        <w:t>回调接口在中间件和应用层均有日志。</w:t>
      </w:r>
    </w:p>
    <w:p w14:paraId="7A770FDB">
      <w:pPr>
        <w:ind w:firstLine="482"/>
        <w:rPr>
          <w:rFonts w:hint="eastAsia"/>
          <w:color w:val="000000"/>
        </w:rPr>
      </w:pPr>
      <w:r>
        <w:rPr>
          <w:rFonts w:ascii="Songti SC" w:hAnsi="Songti SC" w:eastAsia="Songti SC" w:cs="Songti SC"/>
          <w:b/>
          <w:color w:val="000000"/>
        </w:rPr>
        <w:t>运行关注</w:t>
      </w:r>
    </w:p>
    <w:p w14:paraId="44A84DD4">
      <w:pPr>
        <w:ind w:firstLine="480"/>
        <w:rPr>
          <w:rFonts w:hint="eastAsia"/>
          <w:color w:val="000000"/>
        </w:rPr>
      </w:pPr>
      <w:r>
        <w:rPr>
          <w:rFonts w:ascii="Songti SC" w:hAnsi="Songti SC" w:eastAsia="Songti SC" w:cs="Songti SC"/>
          <w:color w:val="000000"/>
        </w:rPr>
        <w:t>重复回调不重复入账。</w:t>
      </w:r>
    </w:p>
    <w:p w14:paraId="07BE8EDE">
      <w:pPr>
        <w:ind w:firstLine="480"/>
        <w:rPr>
          <w:rFonts w:hint="eastAsia"/>
          <w:color w:val="000000"/>
        </w:rPr>
      </w:pPr>
      <w:r>
        <w:rPr>
          <w:rFonts w:ascii="Songti SC" w:hAnsi="Songti SC" w:eastAsia="Songti SC" w:cs="Songti SC"/>
          <w:color w:val="000000"/>
        </w:rPr>
        <w:t>超时订单通过回查确认最终状态。</w:t>
      </w:r>
    </w:p>
    <w:p w14:paraId="347B8DC0">
      <w:pPr>
        <w:numPr>
          <w:ilvl w:val="0"/>
          <w:numId w:val="47"/>
        </w:numPr>
        <w:ind w:firstLineChars="0"/>
        <w:rPr>
          <w:rFonts w:hint="eastAsia"/>
          <w:b/>
          <w:color w:val="000000"/>
        </w:rPr>
      </w:pPr>
      <w:r>
        <w:rPr>
          <w:rFonts w:ascii="Songti SC" w:hAnsi="Songti SC" w:eastAsia="Songti SC" w:cs="Songti SC"/>
          <w:b/>
          <w:color w:val="000000"/>
        </w:rPr>
        <w:t>前置库与对账适配</w:t>
      </w:r>
    </w:p>
    <w:p w14:paraId="02F9D3F3">
      <w:pPr>
        <w:ind w:firstLine="482"/>
        <w:rPr>
          <w:rFonts w:hint="eastAsia"/>
          <w:color w:val="000000"/>
        </w:rPr>
      </w:pPr>
      <w:r>
        <w:rPr>
          <w:rFonts w:ascii="Songti SC" w:hAnsi="Songti SC" w:eastAsia="Songti SC" w:cs="Songti SC"/>
          <w:b/>
          <w:color w:val="000000"/>
        </w:rPr>
        <w:t>工作目标：</w:t>
      </w:r>
      <w:r>
        <w:rPr>
          <w:rFonts w:ascii="Songti SC" w:hAnsi="Songti SC" w:eastAsia="Songti SC" w:cs="Songti SC"/>
          <w:color w:val="000000"/>
        </w:rPr>
        <w:t>保障平台订单、前置库记录和银行状态可核对。</w:t>
      </w:r>
    </w:p>
    <w:p w14:paraId="4544B28C">
      <w:pPr>
        <w:ind w:firstLine="482"/>
        <w:rPr>
          <w:rFonts w:hint="eastAsia"/>
          <w:color w:val="000000"/>
        </w:rPr>
      </w:pPr>
      <w:r>
        <w:rPr>
          <w:rFonts w:ascii="Songti SC" w:hAnsi="Songti SC" w:eastAsia="Songti SC" w:cs="Songti SC"/>
          <w:b/>
          <w:color w:val="000000"/>
        </w:rPr>
        <w:t>具体做法</w:t>
      </w:r>
    </w:p>
    <w:p w14:paraId="77827136">
      <w:pPr>
        <w:ind w:firstLine="480"/>
        <w:rPr>
          <w:rFonts w:hint="eastAsia"/>
          <w:color w:val="000000"/>
        </w:rPr>
      </w:pPr>
      <w:r>
        <w:rPr>
          <w:rFonts w:ascii="Songti SC" w:hAnsi="Songti SC" w:eastAsia="Songti SC" w:cs="Songti SC"/>
          <w:color w:val="000000"/>
        </w:rPr>
        <w:t>核对前置库表结构、字段、状态枚举和处理周期。</w:t>
      </w:r>
    </w:p>
    <w:p w14:paraId="623E18FB">
      <w:pPr>
        <w:ind w:firstLine="480"/>
        <w:rPr>
          <w:rFonts w:hint="eastAsia"/>
          <w:color w:val="000000"/>
        </w:rPr>
      </w:pPr>
      <w:r>
        <w:rPr>
          <w:rFonts w:ascii="Songti SC" w:hAnsi="Songti SC" w:eastAsia="Songti SC" w:cs="Songti SC"/>
          <w:color w:val="000000"/>
        </w:rPr>
        <w:t>定时拉取或写入需要交换的数据。</w:t>
      </w:r>
    </w:p>
    <w:p w14:paraId="03513279">
      <w:pPr>
        <w:ind w:firstLine="480"/>
        <w:rPr>
          <w:rFonts w:hint="eastAsia"/>
          <w:color w:val="000000"/>
        </w:rPr>
      </w:pPr>
      <w:r>
        <w:rPr>
          <w:rFonts w:ascii="Songti SC" w:hAnsi="Songti SC" w:eastAsia="Songti SC" w:cs="Songti SC"/>
          <w:color w:val="000000"/>
        </w:rPr>
        <w:t>生成充值对账差异并处理。</w:t>
      </w:r>
    </w:p>
    <w:p w14:paraId="5D0A04E7">
      <w:pPr>
        <w:ind w:firstLine="482"/>
        <w:rPr>
          <w:rFonts w:hint="eastAsia"/>
          <w:color w:val="000000"/>
        </w:rPr>
      </w:pPr>
      <w:r>
        <w:rPr>
          <w:rFonts w:ascii="Songti SC" w:hAnsi="Songti SC" w:eastAsia="Songti SC" w:cs="Songti SC"/>
          <w:b/>
          <w:color w:val="000000"/>
        </w:rPr>
        <w:t>兼容适配关注</w:t>
      </w:r>
    </w:p>
    <w:p w14:paraId="646AED8E">
      <w:pPr>
        <w:ind w:firstLine="480"/>
        <w:rPr>
          <w:rFonts w:hint="eastAsia"/>
          <w:color w:val="000000"/>
        </w:rPr>
      </w:pPr>
      <w:r>
        <w:rPr>
          <w:rFonts w:ascii="Songti SC" w:hAnsi="Songti SC" w:eastAsia="Songti SC" w:cs="Songti SC"/>
          <w:color w:val="000000"/>
        </w:rPr>
        <w:t>前置库连接适配数据库驱动和连接池。</w:t>
      </w:r>
    </w:p>
    <w:p w14:paraId="7528570B">
      <w:pPr>
        <w:ind w:firstLine="480"/>
        <w:rPr>
          <w:rFonts w:hint="eastAsia"/>
          <w:color w:val="000000"/>
        </w:rPr>
      </w:pPr>
      <w:r>
        <w:rPr>
          <w:rFonts w:ascii="Songti SC" w:hAnsi="Songti SC" w:eastAsia="Songti SC" w:cs="Songti SC"/>
          <w:color w:val="000000"/>
        </w:rPr>
        <w:t>字段长度、编码和日期格式保持一致。</w:t>
      </w:r>
    </w:p>
    <w:p w14:paraId="27A047DE">
      <w:pPr>
        <w:ind w:firstLine="482"/>
        <w:rPr>
          <w:rFonts w:hint="eastAsia"/>
          <w:color w:val="000000"/>
        </w:rPr>
      </w:pPr>
      <w:r>
        <w:rPr>
          <w:rFonts w:ascii="Songti SC" w:hAnsi="Songti SC" w:eastAsia="Songti SC" w:cs="Songti SC"/>
          <w:b/>
          <w:color w:val="000000"/>
        </w:rPr>
        <w:t>运行关注</w:t>
      </w:r>
    </w:p>
    <w:p w14:paraId="4AF1E7B0">
      <w:pPr>
        <w:ind w:firstLine="480"/>
        <w:rPr>
          <w:rFonts w:hint="eastAsia"/>
          <w:color w:val="000000"/>
        </w:rPr>
      </w:pPr>
      <w:r>
        <w:rPr>
          <w:rFonts w:ascii="Songti SC" w:hAnsi="Songti SC" w:eastAsia="Songti SC" w:cs="Songti SC"/>
          <w:color w:val="000000"/>
        </w:rPr>
        <w:t>对账差异先形成清单，再处理入账或冲正。</w:t>
      </w:r>
    </w:p>
    <w:p w14:paraId="3D523530">
      <w:pPr>
        <w:ind w:firstLine="480"/>
        <w:rPr>
          <w:rFonts w:hint="eastAsia"/>
          <w:color w:val="000000"/>
        </w:rPr>
      </w:pPr>
      <w:r>
        <w:rPr>
          <w:rFonts w:ascii="Songti SC" w:hAnsi="Songti SC" w:eastAsia="Songti SC" w:cs="Songti SC"/>
          <w:color w:val="000000"/>
        </w:rPr>
        <w:t>前置库不作为最终账户余额依据。</w:t>
      </w:r>
    </w:p>
    <w:p w14:paraId="15CF3BA5">
      <w:pPr>
        <w:numPr>
          <w:ilvl w:val="0"/>
          <w:numId w:val="47"/>
        </w:numPr>
        <w:ind w:firstLineChars="0"/>
        <w:rPr>
          <w:rFonts w:hint="eastAsia"/>
          <w:b/>
          <w:color w:val="000000"/>
        </w:rPr>
      </w:pPr>
      <w:r>
        <w:rPr>
          <w:rFonts w:ascii="Songti SC" w:hAnsi="Songti SC" w:eastAsia="Songti SC" w:cs="Songti SC"/>
          <w:b/>
          <w:color w:val="000000"/>
        </w:rPr>
        <w:t>消费机服务地址切换</w:t>
      </w:r>
    </w:p>
    <w:p w14:paraId="4A2FEE2D">
      <w:pPr>
        <w:ind w:firstLine="482"/>
        <w:rPr>
          <w:rFonts w:hint="eastAsia"/>
          <w:color w:val="000000"/>
        </w:rPr>
      </w:pPr>
      <w:r>
        <w:rPr>
          <w:rFonts w:ascii="Songti SC" w:hAnsi="Songti SC" w:eastAsia="Songti SC" w:cs="Songti SC"/>
          <w:b/>
          <w:color w:val="000000"/>
        </w:rPr>
        <w:t>工作目标：使更新后的消费终端稳定接入升级后的政务云平台服务。</w:t>
      </w:r>
    </w:p>
    <w:p w14:paraId="2BD107E5">
      <w:pPr>
        <w:ind w:firstLine="482"/>
        <w:rPr>
          <w:rFonts w:hint="eastAsia"/>
          <w:color w:val="000000"/>
        </w:rPr>
      </w:pPr>
      <w:r>
        <w:rPr>
          <w:rFonts w:ascii="Songti SC" w:hAnsi="Songti SC" w:eastAsia="Songti SC" w:cs="Songti SC"/>
          <w:b/>
          <w:color w:val="000000"/>
        </w:rPr>
        <w:t>具体做法</w:t>
      </w:r>
    </w:p>
    <w:p w14:paraId="0D28A3FA">
      <w:pPr>
        <w:ind w:firstLine="480"/>
        <w:rPr>
          <w:rFonts w:hint="eastAsia"/>
          <w:color w:val="000000"/>
        </w:rPr>
      </w:pPr>
      <w:r>
        <w:rPr>
          <w:rFonts w:ascii="Songti SC" w:hAnsi="Songti SC" w:eastAsia="Songti SC" w:cs="Songti SC"/>
          <w:color w:val="000000"/>
        </w:rPr>
        <w:t>按台账逐台下发或配置新服务地址。</w:t>
      </w:r>
    </w:p>
    <w:p w14:paraId="6B2761BE">
      <w:pPr>
        <w:ind w:firstLine="480"/>
        <w:rPr>
          <w:rFonts w:hint="eastAsia"/>
          <w:color w:val="000000"/>
        </w:rPr>
      </w:pPr>
      <w:r>
        <w:rPr>
          <w:rFonts w:ascii="Songti SC" w:hAnsi="Songti SC" w:eastAsia="Songti SC" w:cs="Songti SC"/>
          <w:color w:val="000000"/>
        </w:rPr>
        <w:t>验证消费机启动、心跳、参数获取和时间同步。</w:t>
      </w:r>
    </w:p>
    <w:p w14:paraId="60DDB181">
      <w:pPr>
        <w:ind w:firstLine="480"/>
        <w:rPr>
          <w:rFonts w:hint="eastAsia"/>
          <w:color w:val="000000"/>
        </w:rPr>
      </w:pPr>
      <w:r>
        <w:rPr>
          <w:rFonts w:ascii="Songti SC" w:hAnsi="Songti SC" w:eastAsia="Songti SC" w:cs="Songti SC"/>
          <w:color w:val="000000"/>
        </w:rPr>
        <w:t>记录切换成功、失败和回退情况。</w:t>
      </w:r>
    </w:p>
    <w:p w14:paraId="33EF88E4">
      <w:pPr>
        <w:ind w:firstLine="482"/>
        <w:rPr>
          <w:rFonts w:hint="eastAsia"/>
          <w:color w:val="000000"/>
        </w:rPr>
      </w:pPr>
      <w:r>
        <w:rPr>
          <w:rFonts w:ascii="Songti SC" w:hAnsi="Songti SC" w:eastAsia="Songti SC" w:cs="Songti SC"/>
          <w:b/>
          <w:color w:val="000000"/>
        </w:rPr>
        <w:t>兼容适配关注</w:t>
      </w:r>
    </w:p>
    <w:p w14:paraId="0763634E">
      <w:pPr>
        <w:ind w:firstLine="480"/>
        <w:rPr>
          <w:rFonts w:hint="eastAsia"/>
          <w:color w:val="000000"/>
        </w:rPr>
      </w:pPr>
      <w:r>
        <w:rPr>
          <w:rFonts w:ascii="Songti SC" w:hAnsi="Songti SC" w:eastAsia="Songti SC" w:cs="Songti SC"/>
          <w:color w:val="000000"/>
        </w:rPr>
        <w:t>新地址、证书、端口和设备身份适配新中间件。</w:t>
      </w:r>
    </w:p>
    <w:p w14:paraId="0AE55DF6">
      <w:pPr>
        <w:ind w:firstLine="480"/>
        <w:rPr>
          <w:rFonts w:hint="eastAsia"/>
          <w:color w:val="000000"/>
        </w:rPr>
      </w:pPr>
      <w:r>
        <w:rPr>
          <w:rFonts w:ascii="Songti SC" w:hAnsi="Songti SC" w:eastAsia="Songti SC" w:cs="Songti SC"/>
          <w:color w:val="000000"/>
        </w:rPr>
        <w:t>不同消费机软件版本分别记录兼容情况。</w:t>
      </w:r>
    </w:p>
    <w:p w14:paraId="1C5269CE">
      <w:pPr>
        <w:ind w:firstLine="482"/>
        <w:rPr>
          <w:rFonts w:hint="eastAsia"/>
          <w:color w:val="000000"/>
        </w:rPr>
      </w:pPr>
      <w:r>
        <w:rPr>
          <w:rFonts w:ascii="Songti SC" w:hAnsi="Songti SC" w:eastAsia="Songti SC" w:cs="Songti SC"/>
          <w:b/>
          <w:color w:val="000000"/>
        </w:rPr>
        <w:t>运行关注</w:t>
      </w:r>
    </w:p>
    <w:p w14:paraId="20B1C999">
      <w:pPr>
        <w:ind w:firstLine="480"/>
        <w:rPr>
          <w:rFonts w:hint="eastAsia"/>
          <w:color w:val="000000"/>
        </w:rPr>
      </w:pPr>
      <w:r>
        <w:rPr>
          <w:rFonts w:ascii="Songti SC" w:hAnsi="Songti SC" w:eastAsia="Songti SC" w:cs="Songti SC"/>
          <w:color w:val="000000"/>
        </w:rPr>
        <w:t>切换应避开就餐高峰。</w:t>
      </w:r>
    </w:p>
    <w:p w14:paraId="5F8FAA2D">
      <w:pPr>
        <w:ind w:firstLine="480"/>
        <w:rPr>
          <w:rFonts w:hint="eastAsia"/>
          <w:color w:val="000000"/>
        </w:rPr>
      </w:pPr>
      <w:r>
        <w:rPr>
          <w:rFonts w:ascii="Songti SC" w:hAnsi="Songti SC" w:eastAsia="Songti SC" w:cs="Songti SC"/>
          <w:color w:val="000000"/>
        </w:rPr>
        <w:t>失败消费机先恢复原地址保障现场。</w:t>
      </w:r>
    </w:p>
    <w:p w14:paraId="25807803">
      <w:pPr>
        <w:numPr>
          <w:ilvl w:val="0"/>
          <w:numId w:val="47"/>
        </w:numPr>
        <w:ind w:firstLineChars="0"/>
        <w:rPr>
          <w:rFonts w:hint="eastAsia"/>
          <w:b/>
          <w:color w:val="000000"/>
        </w:rPr>
      </w:pPr>
      <w:r>
        <w:rPr>
          <w:rFonts w:ascii="Songti SC" w:hAnsi="Songti SC" w:eastAsia="Songti SC" w:cs="Songti SC"/>
          <w:b/>
          <w:color w:val="000000"/>
        </w:rPr>
        <w:t>消费机人员同步</w:t>
      </w:r>
    </w:p>
    <w:p w14:paraId="4C88C1A3">
      <w:pPr>
        <w:ind w:firstLine="482"/>
        <w:rPr>
          <w:rFonts w:hint="eastAsia"/>
          <w:color w:val="000000"/>
        </w:rPr>
      </w:pPr>
      <w:r>
        <w:rPr>
          <w:rFonts w:ascii="Songti SC" w:hAnsi="Songti SC" w:eastAsia="Songti SC" w:cs="Songti SC"/>
          <w:b/>
          <w:color w:val="000000"/>
        </w:rPr>
        <w:t>工作目标：</w:t>
      </w:r>
      <w:r>
        <w:rPr>
          <w:rFonts w:ascii="Songti SC" w:hAnsi="Songti SC" w:eastAsia="Songti SC" w:cs="Songti SC"/>
          <w:color w:val="000000"/>
        </w:rPr>
        <w:t>保障新增、修改、注销、挂失等人员状态能同步到消费机。</w:t>
      </w:r>
    </w:p>
    <w:p w14:paraId="35796D0C">
      <w:pPr>
        <w:ind w:firstLine="482"/>
        <w:rPr>
          <w:rFonts w:hint="eastAsia"/>
          <w:color w:val="000000"/>
        </w:rPr>
      </w:pPr>
      <w:r>
        <w:rPr>
          <w:rFonts w:ascii="Songti SC" w:hAnsi="Songti SC" w:eastAsia="Songti SC" w:cs="Songti SC"/>
          <w:b/>
          <w:color w:val="000000"/>
        </w:rPr>
        <w:t>具体做法</w:t>
      </w:r>
    </w:p>
    <w:p w14:paraId="0E592F3E">
      <w:pPr>
        <w:ind w:firstLine="480"/>
        <w:rPr>
          <w:rFonts w:hint="eastAsia"/>
          <w:color w:val="000000"/>
        </w:rPr>
      </w:pPr>
      <w:r>
        <w:rPr>
          <w:rFonts w:ascii="Songti SC" w:hAnsi="Songti SC" w:eastAsia="Songti SC" w:cs="Songti SC"/>
          <w:color w:val="000000"/>
        </w:rPr>
        <w:t>验证全量同步、增量同步、失败重发和同步结果查询。</w:t>
      </w:r>
    </w:p>
    <w:p w14:paraId="0E7614C0">
      <w:pPr>
        <w:ind w:firstLine="480"/>
        <w:rPr>
          <w:rFonts w:hint="eastAsia"/>
          <w:color w:val="000000"/>
        </w:rPr>
      </w:pPr>
      <w:r>
        <w:rPr>
          <w:rFonts w:ascii="Songti SC" w:hAnsi="Songti SC" w:eastAsia="Songti SC" w:cs="Songti SC"/>
          <w:color w:val="000000"/>
        </w:rPr>
        <w:t>新增人员可消费，注销和挂失人员不可消费。</w:t>
      </w:r>
    </w:p>
    <w:p w14:paraId="6306B834">
      <w:pPr>
        <w:ind w:firstLine="480"/>
        <w:rPr>
          <w:rFonts w:hint="eastAsia"/>
          <w:color w:val="000000"/>
        </w:rPr>
      </w:pPr>
      <w:r>
        <w:rPr>
          <w:rFonts w:ascii="Songti SC" w:hAnsi="Songti SC" w:eastAsia="Songti SC" w:cs="Songti SC"/>
          <w:color w:val="000000"/>
        </w:rPr>
        <w:t>同步批次记录成功数和失败数。</w:t>
      </w:r>
    </w:p>
    <w:p w14:paraId="13D59469">
      <w:pPr>
        <w:ind w:firstLine="482"/>
        <w:rPr>
          <w:rFonts w:hint="eastAsia"/>
          <w:color w:val="000000"/>
        </w:rPr>
      </w:pPr>
      <w:r>
        <w:rPr>
          <w:rFonts w:ascii="Songti SC" w:hAnsi="Songti SC" w:eastAsia="Songti SC" w:cs="Songti SC"/>
          <w:b/>
          <w:color w:val="000000"/>
        </w:rPr>
        <w:t>兼容适配关注</w:t>
      </w:r>
    </w:p>
    <w:p w14:paraId="03AB3ABE">
      <w:pPr>
        <w:ind w:firstLine="480"/>
        <w:rPr>
          <w:rFonts w:hint="eastAsia"/>
          <w:color w:val="000000"/>
        </w:rPr>
      </w:pPr>
      <w:r>
        <w:rPr>
          <w:rFonts w:ascii="Songti SC" w:hAnsi="Songti SC" w:eastAsia="Songti SC" w:cs="Songti SC"/>
          <w:color w:val="000000"/>
        </w:rPr>
        <w:t>人员同步接口适配本地运行环境访问、日志和超时。</w:t>
      </w:r>
    </w:p>
    <w:p w14:paraId="5AF94025">
      <w:pPr>
        <w:ind w:firstLine="480"/>
        <w:rPr>
          <w:rFonts w:hint="eastAsia"/>
          <w:color w:val="000000"/>
        </w:rPr>
      </w:pPr>
      <w:r>
        <w:rPr>
          <w:rFonts w:ascii="Songti SC" w:hAnsi="Songti SC" w:eastAsia="Songti SC" w:cs="Songti SC"/>
          <w:color w:val="000000"/>
        </w:rPr>
        <w:t>中文姓名、卡号和状态字段传输正确。</w:t>
      </w:r>
    </w:p>
    <w:p w14:paraId="271EC354">
      <w:pPr>
        <w:ind w:firstLine="482"/>
        <w:rPr>
          <w:rFonts w:hint="eastAsia"/>
          <w:color w:val="000000"/>
        </w:rPr>
      </w:pPr>
      <w:r>
        <w:rPr>
          <w:rFonts w:ascii="Songti SC" w:hAnsi="Songti SC" w:eastAsia="Songti SC" w:cs="Songti SC"/>
          <w:b/>
          <w:color w:val="000000"/>
        </w:rPr>
        <w:t>运行关注</w:t>
      </w:r>
    </w:p>
    <w:p w14:paraId="623838F7">
      <w:pPr>
        <w:ind w:firstLine="480"/>
        <w:rPr>
          <w:rFonts w:hint="eastAsia"/>
          <w:color w:val="000000"/>
        </w:rPr>
      </w:pPr>
      <w:r>
        <w:rPr>
          <w:rFonts w:ascii="Songti SC" w:hAnsi="Songti SC" w:eastAsia="Songti SC" w:cs="Songti SC"/>
          <w:color w:val="000000"/>
        </w:rPr>
        <w:t>同步失败会影响现场消费。</w:t>
      </w:r>
    </w:p>
    <w:p w14:paraId="21EE5890">
      <w:pPr>
        <w:ind w:firstLine="480"/>
        <w:rPr>
          <w:rFonts w:hint="eastAsia"/>
          <w:color w:val="000000"/>
        </w:rPr>
      </w:pPr>
      <w:r>
        <w:rPr>
          <w:rFonts w:ascii="Songti SC" w:hAnsi="Songti SC" w:eastAsia="Songti SC" w:cs="Songti SC"/>
          <w:color w:val="000000"/>
        </w:rPr>
        <w:t>离职、挂失、注销优先同步。</w:t>
      </w:r>
    </w:p>
    <w:p w14:paraId="4FC85751">
      <w:pPr>
        <w:numPr>
          <w:ilvl w:val="0"/>
          <w:numId w:val="47"/>
        </w:numPr>
        <w:ind w:firstLineChars="0"/>
        <w:rPr>
          <w:rFonts w:hint="eastAsia"/>
          <w:b/>
          <w:color w:val="000000"/>
        </w:rPr>
      </w:pPr>
      <w:r>
        <w:rPr>
          <w:rFonts w:ascii="Songti SC" w:hAnsi="Songti SC" w:eastAsia="Songti SC" w:cs="Songti SC"/>
          <w:b/>
          <w:color w:val="000000"/>
        </w:rPr>
        <w:t>消费机人脸同步</w:t>
      </w:r>
    </w:p>
    <w:p w14:paraId="53CA9172">
      <w:pPr>
        <w:ind w:firstLine="482"/>
        <w:rPr>
          <w:rFonts w:hint="eastAsia"/>
          <w:color w:val="000000"/>
        </w:rPr>
      </w:pPr>
      <w:r>
        <w:rPr>
          <w:rFonts w:ascii="Songti SC" w:hAnsi="Songti SC" w:eastAsia="Songti SC" w:cs="Songti SC"/>
          <w:b/>
          <w:color w:val="000000"/>
        </w:rPr>
        <w:t>工作目标：</w:t>
      </w:r>
      <w:r>
        <w:rPr>
          <w:rFonts w:ascii="Songti SC" w:hAnsi="Songti SC" w:eastAsia="Songti SC" w:cs="Songti SC"/>
          <w:color w:val="000000"/>
        </w:rPr>
        <w:t>保障人脸消费所需数据可同步、更新和删除。</w:t>
      </w:r>
    </w:p>
    <w:p w14:paraId="1D3AA625">
      <w:pPr>
        <w:ind w:firstLine="482"/>
        <w:rPr>
          <w:rFonts w:hint="eastAsia"/>
          <w:color w:val="000000"/>
        </w:rPr>
      </w:pPr>
      <w:r>
        <w:rPr>
          <w:rFonts w:ascii="Songti SC" w:hAnsi="Songti SC" w:eastAsia="Songti SC" w:cs="Songti SC"/>
          <w:b/>
          <w:color w:val="000000"/>
        </w:rPr>
        <w:t>具体做法</w:t>
      </w:r>
    </w:p>
    <w:p w14:paraId="6E04AA36">
      <w:pPr>
        <w:ind w:firstLine="480"/>
        <w:rPr>
          <w:rFonts w:hint="eastAsia"/>
          <w:color w:val="000000"/>
        </w:rPr>
      </w:pPr>
      <w:r>
        <w:rPr>
          <w:rFonts w:ascii="Songti SC" w:hAnsi="Songti SC" w:eastAsia="Songti SC" w:cs="Songti SC"/>
          <w:color w:val="000000"/>
        </w:rPr>
        <w:t>验证人脸新增、更新、删除和批量下发。</w:t>
      </w:r>
    </w:p>
    <w:p w14:paraId="4402D27A">
      <w:pPr>
        <w:ind w:firstLine="480"/>
        <w:rPr>
          <w:rFonts w:hint="eastAsia"/>
          <w:color w:val="000000"/>
        </w:rPr>
      </w:pPr>
      <w:r>
        <w:rPr>
          <w:rFonts w:ascii="Songti SC" w:hAnsi="Songti SC" w:eastAsia="Songti SC" w:cs="Songti SC"/>
          <w:color w:val="000000"/>
        </w:rPr>
        <w:t>验证陌生人、照片攻击、多人入镜等异常场景不扣款。</w:t>
      </w:r>
    </w:p>
    <w:p w14:paraId="3B516BB6">
      <w:pPr>
        <w:ind w:firstLine="480"/>
        <w:rPr>
          <w:rFonts w:hint="eastAsia"/>
          <w:color w:val="000000"/>
        </w:rPr>
      </w:pPr>
      <w:r>
        <w:rPr>
          <w:rFonts w:ascii="Songti SC" w:hAnsi="Songti SC" w:eastAsia="Songti SC" w:cs="Songti SC"/>
          <w:color w:val="000000"/>
        </w:rPr>
        <w:t>记录同步失败原因并可重发。</w:t>
      </w:r>
    </w:p>
    <w:p w14:paraId="3D9DF358">
      <w:pPr>
        <w:ind w:firstLine="482"/>
        <w:rPr>
          <w:rFonts w:hint="eastAsia"/>
          <w:color w:val="000000"/>
        </w:rPr>
      </w:pPr>
      <w:r>
        <w:rPr>
          <w:rFonts w:ascii="Songti SC" w:hAnsi="Songti SC" w:eastAsia="Songti SC" w:cs="Songti SC"/>
          <w:b/>
          <w:color w:val="000000"/>
        </w:rPr>
        <w:t>兼容适配关注</w:t>
      </w:r>
    </w:p>
    <w:p w14:paraId="6F8D42B8">
      <w:pPr>
        <w:ind w:firstLine="480"/>
        <w:rPr>
          <w:rFonts w:hint="eastAsia"/>
          <w:color w:val="000000"/>
        </w:rPr>
      </w:pPr>
      <w:r>
        <w:rPr>
          <w:rFonts w:ascii="Songti SC" w:hAnsi="Songti SC" w:eastAsia="Songti SC" w:cs="Songti SC"/>
          <w:color w:val="000000"/>
        </w:rPr>
        <w:t>人脸文件存储目录和访问权限适配服务器操作系统。</w:t>
      </w:r>
    </w:p>
    <w:p w14:paraId="19457F30">
      <w:pPr>
        <w:ind w:firstLine="480"/>
        <w:rPr>
          <w:rFonts w:hint="eastAsia"/>
          <w:color w:val="000000"/>
        </w:rPr>
      </w:pPr>
      <w:r>
        <w:rPr>
          <w:rFonts w:ascii="Songti SC" w:hAnsi="Songti SC" w:eastAsia="Songti SC" w:cs="Songti SC"/>
          <w:color w:val="000000"/>
        </w:rPr>
        <w:t>传输日志中敏感信息脱敏。</w:t>
      </w:r>
    </w:p>
    <w:p w14:paraId="1A2D0F1C">
      <w:pPr>
        <w:ind w:firstLine="482"/>
        <w:rPr>
          <w:rFonts w:hint="eastAsia"/>
          <w:color w:val="000000"/>
        </w:rPr>
      </w:pPr>
      <w:r>
        <w:rPr>
          <w:rFonts w:ascii="Songti SC" w:hAnsi="Songti SC" w:eastAsia="Songti SC" w:cs="Songti SC"/>
          <w:b/>
          <w:color w:val="000000"/>
        </w:rPr>
        <w:t>运行关注</w:t>
      </w:r>
    </w:p>
    <w:p w14:paraId="4DA96144">
      <w:pPr>
        <w:ind w:firstLine="480"/>
        <w:rPr>
          <w:rFonts w:hint="eastAsia"/>
          <w:color w:val="000000"/>
        </w:rPr>
      </w:pPr>
      <w:r>
        <w:rPr>
          <w:rFonts w:ascii="Songti SC" w:hAnsi="Songti SC" w:eastAsia="Songti SC" w:cs="Songti SC"/>
          <w:color w:val="000000"/>
        </w:rPr>
        <w:t>人脸识别失败先查人脸同步状态。</w:t>
      </w:r>
    </w:p>
    <w:p w14:paraId="76053B1A">
      <w:pPr>
        <w:ind w:firstLine="480"/>
        <w:rPr>
          <w:rFonts w:hint="eastAsia"/>
          <w:color w:val="000000"/>
        </w:rPr>
      </w:pPr>
      <w:r>
        <w:rPr>
          <w:rFonts w:ascii="Songti SC" w:hAnsi="Songti SC" w:eastAsia="Songti SC" w:cs="Songti SC"/>
          <w:color w:val="000000"/>
        </w:rPr>
        <w:t>人员离职后同步删除或禁用人脸数据。</w:t>
      </w:r>
    </w:p>
    <w:p w14:paraId="41B946A3">
      <w:pPr>
        <w:numPr>
          <w:ilvl w:val="0"/>
          <w:numId w:val="47"/>
        </w:numPr>
        <w:ind w:firstLineChars="0"/>
        <w:rPr>
          <w:rFonts w:hint="eastAsia"/>
          <w:b/>
          <w:color w:val="000000"/>
        </w:rPr>
      </w:pPr>
      <w:r>
        <w:rPr>
          <w:rFonts w:ascii="Songti SC" w:hAnsi="Songti SC" w:eastAsia="Songti SC" w:cs="Songti SC"/>
          <w:b/>
          <w:color w:val="000000"/>
        </w:rPr>
        <w:t>消费机刷卡消费适配</w:t>
      </w:r>
    </w:p>
    <w:p w14:paraId="7BD7AE28">
      <w:pPr>
        <w:ind w:firstLine="482"/>
        <w:rPr>
          <w:rFonts w:hint="eastAsia"/>
          <w:color w:val="000000"/>
        </w:rPr>
      </w:pPr>
      <w:r>
        <w:rPr>
          <w:rFonts w:ascii="Songti SC" w:hAnsi="Songti SC" w:eastAsia="Songti SC" w:cs="Songti SC"/>
          <w:b/>
          <w:color w:val="000000"/>
        </w:rPr>
        <w:t>工作目标：</w:t>
      </w:r>
      <w:r>
        <w:rPr>
          <w:rFonts w:ascii="Songti SC" w:hAnsi="Songti SC" w:eastAsia="Songti SC" w:cs="Songti SC"/>
          <w:color w:val="000000"/>
        </w:rPr>
        <w:t>保障刷卡消费在新环境中准确扣款。</w:t>
      </w:r>
    </w:p>
    <w:p w14:paraId="1C4137A9">
      <w:pPr>
        <w:ind w:firstLine="482"/>
        <w:rPr>
          <w:rFonts w:hint="eastAsia"/>
          <w:color w:val="000000"/>
        </w:rPr>
      </w:pPr>
      <w:r>
        <w:rPr>
          <w:rFonts w:ascii="Songti SC" w:hAnsi="Songti SC" w:eastAsia="Songti SC" w:cs="Songti SC"/>
          <w:b/>
          <w:color w:val="000000"/>
        </w:rPr>
        <w:t>具体做法</w:t>
      </w:r>
    </w:p>
    <w:p w14:paraId="0D00FD14">
      <w:pPr>
        <w:ind w:firstLine="480"/>
        <w:rPr>
          <w:rFonts w:hint="eastAsia"/>
          <w:color w:val="000000"/>
        </w:rPr>
      </w:pPr>
      <w:r>
        <w:rPr>
          <w:rFonts w:ascii="Songti SC" w:hAnsi="Songti SC" w:eastAsia="Songti SC" w:cs="Songti SC"/>
          <w:color w:val="000000"/>
        </w:rPr>
        <w:t>验证正常卡、挂失卡、注销人员、余额不足、超出餐次等场景。</w:t>
      </w:r>
    </w:p>
    <w:p w14:paraId="79F9A1F5">
      <w:pPr>
        <w:ind w:firstLine="480"/>
        <w:rPr>
          <w:rFonts w:hint="eastAsia"/>
          <w:color w:val="000000"/>
        </w:rPr>
      </w:pPr>
      <w:r>
        <w:rPr>
          <w:rFonts w:ascii="Songti SC" w:hAnsi="Songti SC" w:eastAsia="Songti SC" w:cs="Songti SC"/>
          <w:color w:val="000000"/>
        </w:rPr>
        <w:t>消费机上传卡号、金额、设备号、本地订单号和时间。</w:t>
      </w:r>
    </w:p>
    <w:p w14:paraId="78C72EF5">
      <w:pPr>
        <w:ind w:firstLine="480"/>
        <w:rPr>
          <w:rFonts w:hint="eastAsia"/>
          <w:color w:val="000000"/>
        </w:rPr>
      </w:pPr>
      <w:r>
        <w:rPr>
          <w:rFonts w:ascii="Songti SC" w:hAnsi="Songti SC" w:eastAsia="Songti SC" w:cs="Songti SC"/>
          <w:color w:val="000000"/>
        </w:rPr>
        <w:t>后台返回成功或明确失败原因。</w:t>
      </w:r>
    </w:p>
    <w:p w14:paraId="0C61700F">
      <w:pPr>
        <w:ind w:firstLine="482"/>
        <w:rPr>
          <w:rFonts w:hint="eastAsia"/>
          <w:color w:val="000000"/>
        </w:rPr>
      </w:pPr>
      <w:r>
        <w:rPr>
          <w:rFonts w:ascii="Songti SC" w:hAnsi="Songti SC" w:eastAsia="Songti SC" w:cs="Songti SC"/>
          <w:b/>
          <w:color w:val="000000"/>
        </w:rPr>
        <w:t>兼容适配关注</w:t>
      </w:r>
    </w:p>
    <w:p w14:paraId="11149717">
      <w:pPr>
        <w:ind w:firstLine="480"/>
        <w:rPr>
          <w:rFonts w:hint="eastAsia"/>
          <w:color w:val="000000"/>
        </w:rPr>
      </w:pPr>
      <w:r>
        <w:rPr>
          <w:rFonts w:ascii="Songti SC" w:hAnsi="Songti SC" w:eastAsia="Songti SC" w:cs="Songti SC"/>
          <w:color w:val="000000"/>
        </w:rPr>
        <w:t>卡号格式、接口签名、交易幂等和账户事务适配。</w:t>
      </w:r>
    </w:p>
    <w:p w14:paraId="5DF50434">
      <w:pPr>
        <w:ind w:firstLine="480"/>
        <w:rPr>
          <w:rFonts w:hint="eastAsia"/>
          <w:color w:val="000000"/>
        </w:rPr>
      </w:pPr>
      <w:r>
        <w:rPr>
          <w:rFonts w:ascii="Songti SC" w:hAnsi="Songti SC" w:eastAsia="Songti SC" w:cs="Songti SC"/>
          <w:color w:val="000000"/>
        </w:rPr>
        <w:t>交易日志按订单号和设备号可查询。</w:t>
      </w:r>
    </w:p>
    <w:p w14:paraId="1BAF173C">
      <w:pPr>
        <w:ind w:firstLine="482"/>
        <w:rPr>
          <w:rFonts w:hint="eastAsia"/>
          <w:color w:val="000000"/>
        </w:rPr>
      </w:pPr>
      <w:r>
        <w:rPr>
          <w:rFonts w:ascii="Songti SC" w:hAnsi="Songti SC" w:eastAsia="Songti SC" w:cs="Songti SC"/>
          <w:b/>
          <w:color w:val="000000"/>
        </w:rPr>
        <w:t>运行关注</w:t>
      </w:r>
    </w:p>
    <w:p w14:paraId="271B1232">
      <w:pPr>
        <w:ind w:firstLine="480"/>
        <w:rPr>
          <w:rFonts w:hint="eastAsia"/>
          <w:color w:val="000000"/>
        </w:rPr>
      </w:pPr>
      <w:r>
        <w:rPr>
          <w:rFonts w:ascii="Songti SC" w:hAnsi="Songti SC" w:eastAsia="Songti SC" w:cs="Songti SC"/>
          <w:color w:val="000000"/>
        </w:rPr>
        <w:t>刷卡失败先查人员状态、卡状态和余额。</w:t>
      </w:r>
    </w:p>
    <w:p w14:paraId="5495C0E2">
      <w:pPr>
        <w:ind w:firstLine="480"/>
        <w:rPr>
          <w:rFonts w:hint="eastAsia"/>
          <w:color w:val="000000"/>
        </w:rPr>
      </w:pPr>
      <w:r>
        <w:rPr>
          <w:rFonts w:ascii="Songti SC" w:hAnsi="Songti SC" w:eastAsia="Songti SC" w:cs="Songti SC"/>
          <w:color w:val="000000"/>
        </w:rPr>
        <w:t>成功交易必须有订单和账户流水。</w:t>
      </w:r>
    </w:p>
    <w:p w14:paraId="10158B33">
      <w:pPr>
        <w:numPr>
          <w:ilvl w:val="0"/>
          <w:numId w:val="47"/>
        </w:numPr>
        <w:ind w:firstLineChars="0"/>
        <w:rPr>
          <w:rFonts w:hint="eastAsia"/>
          <w:b/>
          <w:color w:val="000000"/>
        </w:rPr>
      </w:pPr>
      <w:r>
        <w:rPr>
          <w:rFonts w:ascii="Songti SC" w:hAnsi="Songti SC" w:eastAsia="Songti SC" w:cs="Songti SC"/>
          <w:b/>
          <w:color w:val="000000"/>
        </w:rPr>
        <w:t>消费机扫码消费适配</w:t>
      </w:r>
    </w:p>
    <w:p w14:paraId="2589E8FD">
      <w:pPr>
        <w:ind w:firstLine="482"/>
        <w:rPr>
          <w:rFonts w:hint="eastAsia"/>
          <w:color w:val="000000"/>
        </w:rPr>
      </w:pPr>
      <w:r>
        <w:rPr>
          <w:rFonts w:ascii="Songti SC" w:hAnsi="Songti SC" w:eastAsia="Songti SC" w:cs="Songti SC"/>
          <w:b/>
          <w:color w:val="000000"/>
        </w:rPr>
        <w:t>工作目标：</w:t>
      </w:r>
      <w:r>
        <w:rPr>
          <w:rFonts w:ascii="Songti SC" w:hAnsi="Songti SC" w:eastAsia="Songti SC" w:cs="Songti SC"/>
          <w:color w:val="000000"/>
        </w:rPr>
        <w:t>保障扫码消费凭证有效、不可重复、可追溯。</w:t>
      </w:r>
    </w:p>
    <w:p w14:paraId="36BBF3FF">
      <w:pPr>
        <w:ind w:firstLine="482"/>
        <w:rPr>
          <w:rFonts w:hint="eastAsia"/>
          <w:color w:val="000000"/>
        </w:rPr>
      </w:pPr>
      <w:r>
        <w:rPr>
          <w:rFonts w:ascii="Songti SC" w:hAnsi="Songti SC" w:eastAsia="Songti SC" w:cs="Songti SC"/>
          <w:b/>
          <w:color w:val="000000"/>
        </w:rPr>
        <w:t>具体做法</w:t>
      </w:r>
    </w:p>
    <w:p w14:paraId="638C5F6B">
      <w:pPr>
        <w:ind w:firstLine="480"/>
        <w:rPr>
          <w:rFonts w:hint="eastAsia"/>
          <w:color w:val="000000"/>
        </w:rPr>
      </w:pPr>
      <w:r>
        <w:rPr>
          <w:rFonts w:ascii="Songti SC" w:hAnsi="Songti SC" w:eastAsia="Songti SC" w:cs="Songti SC"/>
          <w:color w:val="000000"/>
        </w:rPr>
        <w:t>验证有效码、过期码、重复码、非法码和网络异常。</w:t>
      </w:r>
    </w:p>
    <w:p w14:paraId="1B356749">
      <w:pPr>
        <w:ind w:firstLine="480"/>
        <w:rPr>
          <w:rFonts w:hint="eastAsia"/>
          <w:color w:val="000000"/>
        </w:rPr>
      </w:pPr>
      <w:r>
        <w:rPr>
          <w:rFonts w:ascii="Songti SC" w:hAnsi="Songti SC" w:eastAsia="Songti SC" w:cs="Songti SC"/>
          <w:color w:val="000000"/>
        </w:rPr>
        <w:t>后台校验二维码有效期、人员、账户和消费策略。</w:t>
      </w:r>
    </w:p>
    <w:p w14:paraId="6AC82612">
      <w:pPr>
        <w:ind w:firstLine="480"/>
        <w:rPr>
          <w:rFonts w:hint="eastAsia"/>
          <w:color w:val="000000"/>
        </w:rPr>
      </w:pPr>
      <w:r>
        <w:rPr>
          <w:rFonts w:ascii="Songti SC" w:hAnsi="Songti SC" w:eastAsia="Songti SC" w:cs="Songti SC"/>
          <w:color w:val="000000"/>
        </w:rPr>
        <w:t>生成订单后二维码按规则失效。</w:t>
      </w:r>
    </w:p>
    <w:p w14:paraId="1B69767B">
      <w:pPr>
        <w:ind w:firstLine="482"/>
        <w:rPr>
          <w:rFonts w:hint="eastAsia"/>
          <w:color w:val="000000"/>
        </w:rPr>
      </w:pPr>
      <w:r>
        <w:rPr>
          <w:rFonts w:ascii="Songti SC" w:hAnsi="Songti SC" w:eastAsia="Songti SC" w:cs="Songti SC"/>
          <w:b/>
          <w:color w:val="000000"/>
        </w:rPr>
        <w:t>兼容适配关注</w:t>
      </w:r>
    </w:p>
    <w:p w14:paraId="37F2FC90">
      <w:pPr>
        <w:ind w:firstLine="480"/>
        <w:rPr>
          <w:rFonts w:hint="eastAsia"/>
          <w:color w:val="000000"/>
        </w:rPr>
      </w:pPr>
      <w:r>
        <w:rPr>
          <w:rFonts w:ascii="Songti SC" w:hAnsi="Songti SC" w:eastAsia="Songti SC" w:cs="Songti SC"/>
          <w:color w:val="000000"/>
        </w:rPr>
        <w:t>防重放、时间戳和签名适配新环境。</w:t>
      </w:r>
    </w:p>
    <w:p w14:paraId="7FCFFCC5">
      <w:pPr>
        <w:ind w:firstLine="480"/>
        <w:rPr>
          <w:rFonts w:hint="eastAsia"/>
          <w:color w:val="000000"/>
        </w:rPr>
      </w:pPr>
      <w:r>
        <w:rPr>
          <w:rFonts w:ascii="Songti SC" w:hAnsi="Songti SC" w:eastAsia="Songti SC" w:cs="Songti SC"/>
          <w:color w:val="000000"/>
        </w:rPr>
        <w:t>扫码失败原因可返回消费机或前端提示。</w:t>
      </w:r>
    </w:p>
    <w:p w14:paraId="69211750">
      <w:pPr>
        <w:ind w:firstLine="482"/>
        <w:rPr>
          <w:rFonts w:hint="eastAsia"/>
          <w:color w:val="000000"/>
        </w:rPr>
      </w:pPr>
      <w:r>
        <w:rPr>
          <w:rFonts w:ascii="Songti SC" w:hAnsi="Songti SC" w:eastAsia="Songti SC" w:cs="Songti SC"/>
          <w:b/>
          <w:color w:val="000000"/>
        </w:rPr>
        <w:t>运行关注</w:t>
      </w:r>
    </w:p>
    <w:p w14:paraId="35883ABE">
      <w:pPr>
        <w:ind w:firstLine="480"/>
        <w:rPr>
          <w:rFonts w:hint="eastAsia"/>
          <w:color w:val="000000"/>
        </w:rPr>
      </w:pPr>
      <w:r>
        <w:rPr>
          <w:rFonts w:ascii="Songti SC" w:hAnsi="Songti SC" w:eastAsia="Songti SC" w:cs="Songti SC"/>
          <w:color w:val="000000"/>
        </w:rPr>
        <w:t>重复扫码不得重复扣款。</w:t>
      </w:r>
    </w:p>
    <w:p w14:paraId="46426D54">
      <w:pPr>
        <w:ind w:firstLine="480"/>
        <w:rPr>
          <w:rFonts w:hint="eastAsia"/>
          <w:color w:val="000000"/>
        </w:rPr>
      </w:pPr>
      <w:r>
        <w:rPr>
          <w:rFonts w:ascii="Songti SC" w:hAnsi="Songti SC" w:eastAsia="Songti SC" w:cs="Songti SC"/>
          <w:color w:val="000000"/>
        </w:rPr>
        <w:t>扫码异常按订单号和凭证号追踪。</w:t>
      </w:r>
    </w:p>
    <w:p w14:paraId="7D691557">
      <w:pPr>
        <w:numPr>
          <w:ilvl w:val="0"/>
          <w:numId w:val="47"/>
        </w:numPr>
        <w:ind w:firstLineChars="0"/>
        <w:rPr>
          <w:rFonts w:hint="eastAsia"/>
          <w:b/>
          <w:color w:val="000000"/>
        </w:rPr>
      </w:pPr>
      <w:r>
        <w:rPr>
          <w:rFonts w:ascii="Songti SC" w:hAnsi="Songti SC" w:eastAsia="Songti SC" w:cs="Songti SC"/>
          <w:b/>
          <w:color w:val="000000"/>
        </w:rPr>
        <w:t>消费机人脸消费适配</w:t>
      </w:r>
    </w:p>
    <w:p w14:paraId="4364A50A">
      <w:pPr>
        <w:ind w:firstLine="482"/>
        <w:rPr>
          <w:rFonts w:hint="eastAsia"/>
          <w:color w:val="000000"/>
        </w:rPr>
      </w:pPr>
      <w:r>
        <w:rPr>
          <w:rFonts w:ascii="Songti SC" w:hAnsi="Songti SC" w:eastAsia="Songti SC" w:cs="Songti SC"/>
          <w:b/>
          <w:color w:val="000000"/>
        </w:rPr>
        <w:t>工作目标：</w:t>
      </w:r>
      <w:r>
        <w:rPr>
          <w:rFonts w:ascii="Songti SC" w:hAnsi="Songti SC" w:eastAsia="Songti SC" w:cs="Songti SC"/>
          <w:color w:val="000000"/>
        </w:rPr>
        <w:t>保障人脸识别消费安全、准确、可追溯。</w:t>
      </w:r>
    </w:p>
    <w:p w14:paraId="071C42FC">
      <w:pPr>
        <w:ind w:firstLine="482"/>
        <w:rPr>
          <w:rFonts w:hint="eastAsia"/>
          <w:color w:val="000000"/>
        </w:rPr>
      </w:pPr>
      <w:r>
        <w:rPr>
          <w:rFonts w:ascii="Songti SC" w:hAnsi="Songti SC" w:eastAsia="Songti SC" w:cs="Songti SC"/>
          <w:b/>
          <w:color w:val="000000"/>
        </w:rPr>
        <w:t>具体做法</w:t>
      </w:r>
    </w:p>
    <w:p w14:paraId="6242628F">
      <w:pPr>
        <w:ind w:firstLine="480"/>
        <w:rPr>
          <w:rFonts w:hint="eastAsia"/>
          <w:color w:val="000000"/>
        </w:rPr>
      </w:pPr>
      <w:r>
        <w:rPr>
          <w:rFonts w:ascii="Songti SC" w:hAnsi="Songti SC" w:eastAsia="Songti SC" w:cs="Songti SC"/>
          <w:color w:val="000000"/>
        </w:rPr>
        <w:t>验证本人识别、陌生人拒识、多人入镜、照片攻击和识别失败。</w:t>
      </w:r>
    </w:p>
    <w:p w14:paraId="27CBFDD0">
      <w:pPr>
        <w:ind w:firstLine="480"/>
        <w:rPr>
          <w:rFonts w:hint="eastAsia"/>
          <w:color w:val="000000"/>
        </w:rPr>
      </w:pPr>
      <w:r>
        <w:rPr>
          <w:rFonts w:ascii="Songti SC" w:hAnsi="Songti SC" w:eastAsia="Songti SC" w:cs="Songti SC"/>
          <w:color w:val="000000"/>
        </w:rPr>
        <w:t>后台结合人员状态、账户余额、消费策略和确认机制处理。</w:t>
      </w:r>
    </w:p>
    <w:p w14:paraId="57D4E3B0">
      <w:pPr>
        <w:ind w:firstLine="480"/>
        <w:rPr>
          <w:rFonts w:hint="eastAsia"/>
          <w:color w:val="000000"/>
        </w:rPr>
      </w:pPr>
      <w:r>
        <w:rPr>
          <w:rFonts w:ascii="Songti SC" w:hAnsi="Songti SC" w:eastAsia="Songti SC" w:cs="Songti SC"/>
          <w:color w:val="000000"/>
        </w:rPr>
        <w:t>必要时结合双屏确认后扣款。</w:t>
      </w:r>
    </w:p>
    <w:p w14:paraId="1D2FA996">
      <w:pPr>
        <w:ind w:firstLine="482"/>
        <w:rPr>
          <w:rFonts w:hint="eastAsia"/>
          <w:color w:val="000000"/>
        </w:rPr>
      </w:pPr>
      <w:r>
        <w:rPr>
          <w:rFonts w:ascii="Songti SC" w:hAnsi="Songti SC" w:eastAsia="Songti SC" w:cs="Songti SC"/>
          <w:b/>
          <w:color w:val="000000"/>
        </w:rPr>
        <w:t>兼容适配关注</w:t>
      </w:r>
    </w:p>
    <w:p w14:paraId="4889A061">
      <w:pPr>
        <w:ind w:firstLine="480"/>
        <w:rPr>
          <w:rFonts w:hint="eastAsia"/>
          <w:color w:val="000000"/>
        </w:rPr>
      </w:pPr>
      <w:r>
        <w:rPr>
          <w:rFonts w:ascii="Songti SC" w:hAnsi="Songti SC" w:eastAsia="Songti SC" w:cs="Songti SC"/>
          <w:color w:val="000000"/>
        </w:rPr>
        <w:t>人脸识别结果、设备号和订单号记录完整。</w:t>
      </w:r>
    </w:p>
    <w:p w14:paraId="62DA8E9D">
      <w:pPr>
        <w:ind w:firstLine="480"/>
        <w:rPr>
          <w:rFonts w:hint="eastAsia"/>
          <w:color w:val="000000"/>
        </w:rPr>
      </w:pPr>
      <w:r>
        <w:rPr>
          <w:rFonts w:ascii="Songti SC" w:hAnsi="Songti SC" w:eastAsia="Songti SC" w:cs="Songti SC"/>
          <w:color w:val="000000"/>
        </w:rPr>
        <w:t>人脸相关数据按权限和脱敏要求处理。</w:t>
      </w:r>
    </w:p>
    <w:p w14:paraId="759E1405">
      <w:pPr>
        <w:ind w:firstLine="482"/>
        <w:rPr>
          <w:rFonts w:hint="eastAsia"/>
          <w:color w:val="000000"/>
        </w:rPr>
      </w:pPr>
      <w:r>
        <w:rPr>
          <w:rFonts w:ascii="Songti SC" w:hAnsi="Songti SC" w:eastAsia="Songti SC" w:cs="Songti SC"/>
          <w:b/>
          <w:color w:val="000000"/>
        </w:rPr>
        <w:t>运行关注</w:t>
      </w:r>
    </w:p>
    <w:p w14:paraId="4C72EEBD">
      <w:pPr>
        <w:ind w:firstLine="480"/>
        <w:rPr>
          <w:rFonts w:hint="eastAsia"/>
          <w:color w:val="000000"/>
        </w:rPr>
      </w:pPr>
      <w:r>
        <w:rPr>
          <w:rFonts w:ascii="Songti SC" w:hAnsi="Songti SC" w:eastAsia="Songti SC" w:cs="Songti SC"/>
          <w:color w:val="000000"/>
        </w:rPr>
        <w:t>人脸识别不等于扣款成功，最终以后台订单为准。</w:t>
      </w:r>
    </w:p>
    <w:p w14:paraId="703DAA4A">
      <w:pPr>
        <w:ind w:firstLine="480"/>
        <w:rPr>
          <w:rFonts w:hint="eastAsia"/>
          <w:color w:val="000000"/>
        </w:rPr>
      </w:pPr>
      <w:r>
        <w:rPr>
          <w:rFonts w:ascii="Songti SC" w:hAnsi="Songti SC" w:eastAsia="Songti SC" w:cs="Songti SC"/>
          <w:color w:val="000000"/>
        </w:rPr>
        <w:t>误识别争议可结合交易记录核查。</w:t>
      </w:r>
    </w:p>
    <w:p w14:paraId="08BACCBA">
      <w:pPr>
        <w:numPr>
          <w:ilvl w:val="0"/>
          <w:numId w:val="47"/>
        </w:numPr>
        <w:ind w:firstLineChars="0"/>
        <w:rPr>
          <w:rFonts w:hint="eastAsia"/>
          <w:b/>
          <w:color w:val="000000"/>
        </w:rPr>
      </w:pPr>
      <w:r>
        <w:rPr>
          <w:rFonts w:ascii="Songti SC" w:hAnsi="Songti SC" w:eastAsia="Songti SC" w:cs="Songti SC"/>
          <w:b/>
          <w:color w:val="000000"/>
        </w:rPr>
        <w:t>消费机菜品与称重消费适配</w:t>
      </w:r>
    </w:p>
    <w:p w14:paraId="014CA828">
      <w:pPr>
        <w:ind w:firstLine="482"/>
        <w:rPr>
          <w:rFonts w:hint="eastAsia"/>
          <w:color w:val="000000"/>
        </w:rPr>
      </w:pPr>
      <w:r>
        <w:rPr>
          <w:rFonts w:ascii="Songti SC" w:hAnsi="Songti SC" w:eastAsia="Songti SC" w:cs="Songti SC"/>
          <w:b/>
          <w:color w:val="000000"/>
        </w:rPr>
        <w:t>工作目标：</w:t>
      </w:r>
      <w:r>
        <w:rPr>
          <w:rFonts w:ascii="Songti SC" w:hAnsi="Songti SC" w:eastAsia="Songti SC" w:cs="Songti SC"/>
          <w:color w:val="000000"/>
        </w:rPr>
        <w:t>保障菜品消费、重量、单价和金额复核。</w:t>
      </w:r>
    </w:p>
    <w:p w14:paraId="74DBBCED">
      <w:pPr>
        <w:ind w:firstLine="482"/>
        <w:rPr>
          <w:rFonts w:hint="eastAsia"/>
          <w:color w:val="000000"/>
        </w:rPr>
      </w:pPr>
      <w:r>
        <w:rPr>
          <w:rFonts w:ascii="Songti SC" w:hAnsi="Songti SC" w:eastAsia="Songti SC" w:cs="Songti SC"/>
          <w:b/>
          <w:color w:val="000000"/>
        </w:rPr>
        <w:t>具体做法</w:t>
      </w:r>
    </w:p>
    <w:p w14:paraId="2CEBCB5B">
      <w:pPr>
        <w:ind w:firstLine="480"/>
        <w:rPr>
          <w:rFonts w:hint="eastAsia"/>
          <w:color w:val="000000"/>
        </w:rPr>
      </w:pPr>
      <w:r>
        <w:rPr>
          <w:rFonts w:ascii="Songti SC" w:hAnsi="Songti SC" w:eastAsia="Songti SC" w:cs="Songti SC"/>
          <w:color w:val="000000"/>
        </w:rPr>
        <w:t>验证菜品选择、重量采集、单价读取、金额计算和后台复核。</w:t>
      </w:r>
    </w:p>
    <w:p w14:paraId="6CE53FCB">
      <w:pPr>
        <w:ind w:firstLine="480"/>
        <w:rPr>
          <w:rFonts w:hint="eastAsia"/>
          <w:color w:val="000000"/>
        </w:rPr>
      </w:pPr>
      <w:r>
        <w:rPr>
          <w:rFonts w:ascii="Songti SC" w:hAnsi="Songti SC" w:eastAsia="Songti SC" w:cs="Songti SC"/>
          <w:color w:val="000000"/>
        </w:rPr>
        <w:t>金额不一致订单进入异常处理。</w:t>
      </w:r>
    </w:p>
    <w:p w14:paraId="31CD3181">
      <w:pPr>
        <w:ind w:firstLine="482"/>
        <w:rPr>
          <w:rFonts w:hint="eastAsia"/>
          <w:color w:val="000000"/>
        </w:rPr>
      </w:pPr>
      <w:r>
        <w:rPr>
          <w:rFonts w:ascii="Songti SC" w:hAnsi="Songti SC" w:eastAsia="Songti SC" w:cs="Songti SC"/>
          <w:b/>
          <w:color w:val="000000"/>
        </w:rPr>
        <w:t>兼容适配关注</w:t>
      </w:r>
    </w:p>
    <w:p w14:paraId="27F0E4ED">
      <w:pPr>
        <w:ind w:firstLine="480"/>
        <w:rPr>
          <w:rFonts w:hint="eastAsia"/>
          <w:color w:val="000000"/>
        </w:rPr>
      </w:pPr>
      <w:r>
        <w:rPr>
          <w:rFonts w:ascii="Songti SC" w:hAnsi="Songti SC" w:eastAsia="Songti SC" w:cs="Songti SC"/>
          <w:color w:val="000000"/>
        </w:rPr>
        <w:t>金额精度、菜品编码、重量字段适配数据库。</w:t>
      </w:r>
    </w:p>
    <w:p w14:paraId="5F8B2160">
      <w:pPr>
        <w:ind w:firstLine="480"/>
        <w:rPr>
          <w:rFonts w:hint="eastAsia"/>
          <w:color w:val="000000"/>
        </w:rPr>
      </w:pPr>
      <w:r>
        <w:rPr>
          <w:rFonts w:ascii="Songti SC" w:hAnsi="Songti SC" w:eastAsia="Songti SC" w:cs="Songti SC"/>
          <w:color w:val="000000"/>
        </w:rPr>
        <w:t>服务端复核结果作为最终订单依据。</w:t>
      </w:r>
    </w:p>
    <w:p w14:paraId="778C5270">
      <w:pPr>
        <w:ind w:firstLine="482"/>
        <w:rPr>
          <w:rFonts w:hint="eastAsia"/>
          <w:color w:val="000000"/>
        </w:rPr>
      </w:pPr>
      <w:r>
        <w:rPr>
          <w:rFonts w:ascii="Songti SC" w:hAnsi="Songti SC" w:eastAsia="Songti SC" w:cs="Songti SC"/>
          <w:b/>
          <w:color w:val="000000"/>
        </w:rPr>
        <w:t>运行关注</w:t>
      </w:r>
    </w:p>
    <w:p w14:paraId="5D438879">
      <w:pPr>
        <w:ind w:firstLine="480"/>
        <w:rPr>
          <w:rFonts w:hint="eastAsia"/>
          <w:color w:val="000000"/>
        </w:rPr>
      </w:pPr>
      <w:r>
        <w:rPr>
          <w:rFonts w:ascii="Songti SC" w:hAnsi="Songti SC" w:eastAsia="Songti SC" w:cs="Songti SC"/>
          <w:color w:val="000000"/>
        </w:rPr>
        <w:t>菜品价格调整后先验证消费机显示和后台金额。</w:t>
      </w:r>
    </w:p>
    <w:p w14:paraId="02D7787B">
      <w:pPr>
        <w:ind w:firstLine="480"/>
        <w:rPr>
          <w:rFonts w:hint="eastAsia"/>
          <w:color w:val="000000"/>
        </w:rPr>
      </w:pPr>
      <w:r>
        <w:rPr>
          <w:rFonts w:ascii="Songti SC" w:hAnsi="Songti SC" w:eastAsia="Songti SC" w:cs="Songti SC"/>
          <w:color w:val="000000"/>
        </w:rPr>
        <w:t>称重异常不应直接扣款。</w:t>
      </w:r>
    </w:p>
    <w:p w14:paraId="1F35B717">
      <w:pPr>
        <w:numPr>
          <w:ilvl w:val="0"/>
          <w:numId w:val="47"/>
        </w:numPr>
        <w:ind w:firstLineChars="0"/>
        <w:rPr>
          <w:rFonts w:hint="eastAsia"/>
          <w:b/>
          <w:color w:val="000000"/>
        </w:rPr>
      </w:pPr>
      <w:r>
        <w:rPr>
          <w:rFonts w:ascii="Songti SC" w:hAnsi="Songti SC" w:eastAsia="Songti SC" w:cs="Songti SC"/>
          <w:b/>
          <w:color w:val="000000"/>
        </w:rPr>
        <w:t>消费机双屏确认适配</w:t>
      </w:r>
    </w:p>
    <w:p w14:paraId="6ABDADDE">
      <w:pPr>
        <w:ind w:firstLine="482"/>
        <w:rPr>
          <w:rFonts w:hint="eastAsia"/>
          <w:color w:val="000000"/>
        </w:rPr>
      </w:pPr>
      <w:r>
        <w:rPr>
          <w:rFonts w:ascii="Songti SC" w:hAnsi="Songti SC" w:eastAsia="Songti SC" w:cs="Songti SC"/>
          <w:b/>
          <w:color w:val="000000"/>
        </w:rPr>
        <w:t>工作目标：</w:t>
      </w:r>
      <w:r>
        <w:rPr>
          <w:rFonts w:ascii="Songti SC" w:hAnsi="Songti SC" w:eastAsia="Songti SC" w:cs="Songti SC"/>
          <w:color w:val="000000"/>
        </w:rPr>
        <w:t>保障启用双屏确认时用户确认后再扣款。</w:t>
      </w:r>
    </w:p>
    <w:p w14:paraId="09C41D8E">
      <w:pPr>
        <w:ind w:firstLine="482"/>
        <w:rPr>
          <w:rFonts w:hint="eastAsia"/>
          <w:color w:val="000000"/>
        </w:rPr>
      </w:pPr>
      <w:r>
        <w:rPr>
          <w:rFonts w:ascii="Songti SC" w:hAnsi="Songti SC" w:eastAsia="Songti SC" w:cs="Songti SC"/>
          <w:b/>
          <w:color w:val="000000"/>
        </w:rPr>
        <w:t>具体做法</w:t>
      </w:r>
    </w:p>
    <w:p w14:paraId="43AE8662">
      <w:pPr>
        <w:ind w:firstLine="480"/>
        <w:rPr>
          <w:rFonts w:hint="eastAsia"/>
          <w:color w:val="000000"/>
        </w:rPr>
      </w:pPr>
      <w:r>
        <w:rPr>
          <w:rFonts w:ascii="Songti SC" w:hAnsi="Songti SC" w:eastAsia="Songti SC" w:cs="Songti SC"/>
          <w:color w:val="000000"/>
        </w:rPr>
        <w:t>验证显示人员、金额、菜品、确认、取消和超时。</w:t>
      </w:r>
    </w:p>
    <w:p w14:paraId="1966477A">
      <w:pPr>
        <w:ind w:firstLine="480"/>
        <w:rPr>
          <w:rFonts w:hint="eastAsia"/>
          <w:color w:val="000000"/>
        </w:rPr>
      </w:pPr>
      <w:r>
        <w:rPr>
          <w:rFonts w:ascii="Songti SC" w:hAnsi="Songti SC" w:eastAsia="Songti SC" w:cs="Songti SC"/>
          <w:color w:val="000000"/>
        </w:rPr>
        <w:t>确认前不扣款，取消或超时不扣款。</w:t>
      </w:r>
    </w:p>
    <w:p w14:paraId="03D0E00D">
      <w:pPr>
        <w:ind w:firstLine="480"/>
        <w:rPr>
          <w:rFonts w:hint="eastAsia"/>
          <w:color w:val="000000"/>
        </w:rPr>
      </w:pPr>
      <w:r>
        <w:rPr>
          <w:rFonts w:ascii="Songti SC" w:hAnsi="Songti SC" w:eastAsia="Songti SC" w:cs="Songti SC"/>
          <w:color w:val="000000"/>
        </w:rPr>
        <w:t>确认后生成订单和账户流水。</w:t>
      </w:r>
    </w:p>
    <w:p w14:paraId="7F300632">
      <w:pPr>
        <w:ind w:firstLine="482"/>
        <w:rPr>
          <w:rFonts w:hint="eastAsia"/>
          <w:color w:val="000000"/>
        </w:rPr>
      </w:pPr>
      <w:r>
        <w:rPr>
          <w:rFonts w:ascii="Songti SC" w:hAnsi="Songti SC" w:eastAsia="Songti SC" w:cs="Songti SC"/>
          <w:b/>
          <w:color w:val="000000"/>
        </w:rPr>
        <w:t>兼容适配关注</w:t>
      </w:r>
    </w:p>
    <w:p w14:paraId="706AA432">
      <w:pPr>
        <w:ind w:firstLine="480"/>
        <w:rPr>
          <w:rFonts w:hint="eastAsia"/>
          <w:color w:val="000000"/>
        </w:rPr>
      </w:pPr>
      <w:r>
        <w:rPr>
          <w:rFonts w:ascii="Songti SC" w:hAnsi="Songti SC" w:eastAsia="Songti SC" w:cs="Songti SC"/>
          <w:color w:val="000000"/>
        </w:rPr>
        <w:t>确认状态和订单状态在数据库中保持一致。</w:t>
      </w:r>
    </w:p>
    <w:p w14:paraId="462A1211">
      <w:pPr>
        <w:ind w:firstLine="480"/>
        <w:rPr>
          <w:rFonts w:hint="eastAsia"/>
          <w:color w:val="000000"/>
        </w:rPr>
      </w:pPr>
      <w:r>
        <w:rPr>
          <w:rFonts w:ascii="Songti SC" w:hAnsi="Songti SC" w:eastAsia="Songti SC" w:cs="Songti SC"/>
          <w:color w:val="000000"/>
        </w:rPr>
        <w:t>确认超时时间可配置。</w:t>
      </w:r>
    </w:p>
    <w:p w14:paraId="5703F269">
      <w:pPr>
        <w:ind w:firstLine="482"/>
        <w:rPr>
          <w:rFonts w:hint="eastAsia"/>
          <w:color w:val="000000"/>
        </w:rPr>
      </w:pPr>
      <w:r>
        <w:rPr>
          <w:rFonts w:ascii="Songti SC" w:hAnsi="Songti SC" w:eastAsia="Songti SC" w:cs="Songti SC"/>
          <w:b/>
          <w:color w:val="000000"/>
        </w:rPr>
        <w:t>运行关注</w:t>
      </w:r>
    </w:p>
    <w:p w14:paraId="4D7796FC">
      <w:pPr>
        <w:ind w:firstLine="480"/>
        <w:rPr>
          <w:rFonts w:hint="eastAsia"/>
          <w:color w:val="000000"/>
        </w:rPr>
      </w:pPr>
      <w:r>
        <w:rPr>
          <w:rFonts w:ascii="Songti SC" w:hAnsi="Songti SC" w:eastAsia="Songti SC" w:cs="Songti SC"/>
          <w:color w:val="000000"/>
        </w:rPr>
        <w:t>现场争议可查询确认状态。</w:t>
      </w:r>
    </w:p>
    <w:p w14:paraId="7FE83083">
      <w:pPr>
        <w:ind w:firstLine="480"/>
        <w:rPr>
          <w:rFonts w:hint="eastAsia"/>
          <w:color w:val="000000"/>
        </w:rPr>
      </w:pPr>
      <w:r>
        <w:rPr>
          <w:rFonts w:ascii="Songti SC" w:hAnsi="Songti SC" w:eastAsia="Songti SC" w:cs="Songti SC"/>
          <w:color w:val="000000"/>
        </w:rPr>
        <w:t>双屏异常时可按参数临时关闭。</w:t>
      </w:r>
    </w:p>
    <w:p w14:paraId="099A122C">
      <w:pPr>
        <w:numPr>
          <w:ilvl w:val="0"/>
          <w:numId w:val="47"/>
        </w:numPr>
        <w:ind w:firstLineChars="0"/>
        <w:rPr>
          <w:rFonts w:hint="eastAsia"/>
          <w:b/>
          <w:color w:val="000000"/>
        </w:rPr>
      </w:pPr>
      <w:r>
        <w:rPr>
          <w:rFonts w:ascii="Songti SC" w:hAnsi="Songti SC" w:eastAsia="Songti SC" w:cs="Songti SC"/>
          <w:b/>
          <w:color w:val="000000"/>
        </w:rPr>
        <w:t>消费机离线补传适配</w:t>
      </w:r>
    </w:p>
    <w:p w14:paraId="76B7C9C5">
      <w:pPr>
        <w:ind w:firstLine="482"/>
        <w:rPr>
          <w:rFonts w:hint="eastAsia"/>
          <w:color w:val="000000"/>
        </w:rPr>
      </w:pPr>
      <w:r>
        <w:rPr>
          <w:rFonts w:ascii="Songti SC" w:hAnsi="Songti SC" w:eastAsia="Songti SC" w:cs="Songti SC"/>
          <w:b/>
          <w:color w:val="000000"/>
        </w:rPr>
        <w:t>工作目标：</w:t>
      </w:r>
      <w:r>
        <w:rPr>
          <w:rFonts w:ascii="Songti SC" w:hAnsi="Songti SC" w:eastAsia="Songti SC" w:cs="Songti SC"/>
          <w:color w:val="000000"/>
        </w:rPr>
        <w:t>保障网络异常后订单能补传且不重复扣款。</w:t>
      </w:r>
    </w:p>
    <w:p w14:paraId="03C475B8">
      <w:pPr>
        <w:ind w:firstLine="482"/>
        <w:rPr>
          <w:rFonts w:hint="eastAsia"/>
          <w:color w:val="000000"/>
        </w:rPr>
      </w:pPr>
      <w:r>
        <w:rPr>
          <w:rFonts w:ascii="Songti SC" w:hAnsi="Songti SC" w:eastAsia="Songti SC" w:cs="Songti SC"/>
          <w:b/>
          <w:color w:val="000000"/>
        </w:rPr>
        <w:t>具体做法</w:t>
      </w:r>
    </w:p>
    <w:p w14:paraId="22E4BDBB">
      <w:pPr>
        <w:ind w:firstLine="480"/>
        <w:rPr>
          <w:rFonts w:hint="eastAsia"/>
          <w:color w:val="000000"/>
        </w:rPr>
      </w:pPr>
      <w:r>
        <w:rPr>
          <w:rFonts w:ascii="Songti SC" w:hAnsi="Songti SC" w:eastAsia="Songti SC" w:cs="Songti SC"/>
          <w:color w:val="000000"/>
        </w:rPr>
        <w:t>断网时消费机本地保存订单。</w:t>
      </w:r>
    </w:p>
    <w:p w14:paraId="3C4F7704">
      <w:pPr>
        <w:ind w:firstLine="480"/>
        <w:rPr>
          <w:rFonts w:hint="eastAsia"/>
          <w:color w:val="000000"/>
        </w:rPr>
      </w:pPr>
      <w:r>
        <w:rPr>
          <w:rFonts w:ascii="Songti SC" w:hAnsi="Songti SC" w:eastAsia="Songti SC" w:cs="Songti SC"/>
          <w:color w:val="000000"/>
        </w:rPr>
        <w:t>恢复网络后按队列上传并接收处理结果。</w:t>
      </w:r>
    </w:p>
    <w:p w14:paraId="4F95A440">
      <w:pPr>
        <w:ind w:firstLine="480"/>
        <w:rPr>
          <w:rFonts w:hint="eastAsia"/>
          <w:color w:val="000000"/>
        </w:rPr>
      </w:pPr>
      <w:r>
        <w:rPr>
          <w:rFonts w:ascii="Songti SC" w:hAnsi="Songti SC" w:eastAsia="Songti SC" w:cs="Songti SC"/>
          <w:color w:val="000000"/>
        </w:rPr>
        <w:t>补传失败进入异常清单并支持重试。</w:t>
      </w:r>
    </w:p>
    <w:p w14:paraId="3ACB1640">
      <w:pPr>
        <w:ind w:firstLine="482"/>
        <w:rPr>
          <w:rFonts w:hint="eastAsia"/>
          <w:color w:val="000000"/>
        </w:rPr>
      </w:pPr>
      <w:r>
        <w:rPr>
          <w:rFonts w:ascii="Songti SC" w:hAnsi="Songti SC" w:eastAsia="Songti SC" w:cs="Songti SC"/>
          <w:b/>
          <w:color w:val="000000"/>
        </w:rPr>
        <w:t>兼容适配关注</w:t>
      </w:r>
    </w:p>
    <w:p w14:paraId="1C21576A">
      <w:pPr>
        <w:ind w:firstLine="480"/>
        <w:rPr>
          <w:rFonts w:hint="eastAsia"/>
          <w:color w:val="000000"/>
        </w:rPr>
      </w:pPr>
      <w:r>
        <w:rPr>
          <w:rFonts w:ascii="Songti SC" w:hAnsi="Songti SC" w:eastAsia="Songti SC" w:cs="Songti SC"/>
          <w:color w:val="000000"/>
        </w:rPr>
        <w:t>设备号、本地订单号和交易时间用于幂等处理。</w:t>
      </w:r>
    </w:p>
    <w:p w14:paraId="46233FE5">
      <w:pPr>
        <w:ind w:firstLine="480"/>
        <w:rPr>
          <w:rFonts w:hint="eastAsia"/>
          <w:color w:val="000000"/>
        </w:rPr>
      </w:pPr>
      <w:r>
        <w:rPr>
          <w:rFonts w:ascii="Songti SC" w:hAnsi="Songti SC" w:eastAsia="Songti SC" w:cs="Songti SC"/>
          <w:color w:val="000000"/>
        </w:rPr>
        <w:t>补传接口超时和批量请求适配中间件。</w:t>
      </w:r>
    </w:p>
    <w:p w14:paraId="51570B7B">
      <w:pPr>
        <w:ind w:firstLine="482"/>
        <w:rPr>
          <w:rFonts w:hint="eastAsia"/>
          <w:color w:val="000000"/>
        </w:rPr>
      </w:pPr>
      <w:r>
        <w:rPr>
          <w:rFonts w:ascii="Songti SC" w:hAnsi="Songti SC" w:eastAsia="Songti SC" w:cs="Songti SC"/>
          <w:b/>
          <w:color w:val="000000"/>
        </w:rPr>
        <w:t>运行关注</w:t>
      </w:r>
    </w:p>
    <w:p w14:paraId="13605EFA">
      <w:pPr>
        <w:ind w:firstLine="480"/>
        <w:rPr>
          <w:rFonts w:hint="eastAsia"/>
          <w:color w:val="000000"/>
        </w:rPr>
      </w:pPr>
      <w:r>
        <w:rPr>
          <w:rFonts w:ascii="Songti SC" w:hAnsi="Songti SC" w:eastAsia="Songti SC" w:cs="Songti SC"/>
          <w:color w:val="000000"/>
        </w:rPr>
        <w:t>补传积压需重点监控。</w:t>
      </w:r>
    </w:p>
    <w:p w14:paraId="732868DF">
      <w:pPr>
        <w:ind w:firstLine="480"/>
        <w:rPr>
          <w:rFonts w:hint="eastAsia"/>
          <w:color w:val="000000"/>
        </w:rPr>
      </w:pPr>
      <w:r>
        <w:rPr>
          <w:rFonts w:ascii="Songti SC" w:hAnsi="Songti SC" w:eastAsia="Songti SC" w:cs="Songti SC"/>
          <w:color w:val="000000"/>
        </w:rPr>
        <w:t>重复补传不得重复扣款。</w:t>
      </w:r>
    </w:p>
    <w:p w14:paraId="704C1ADC">
      <w:pPr>
        <w:numPr>
          <w:ilvl w:val="0"/>
          <w:numId w:val="47"/>
        </w:numPr>
        <w:ind w:firstLineChars="0"/>
        <w:rPr>
          <w:rFonts w:hint="eastAsia"/>
          <w:b/>
          <w:color w:val="000000"/>
        </w:rPr>
      </w:pPr>
      <w:r>
        <w:rPr>
          <w:rFonts w:ascii="Songti SC" w:hAnsi="Songti SC" w:eastAsia="Songti SC" w:cs="Songti SC"/>
          <w:b/>
          <w:color w:val="000000"/>
        </w:rPr>
        <w:t>消费机状态监测适配</w:t>
      </w:r>
    </w:p>
    <w:p w14:paraId="32AF60D6">
      <w:pPr>
        <w:ind w:firstLine="482"/>
        <w:rPr>
          <w:rFonts w:hint="eastAsia"/>
          <w:color w:val="000000"/>
        </w:rPr>
      </w:pPr>
      <w:r>
        <w:rPr>
          <w:rFonts w:ascii="Songti SC" w:hAnsi="Songti SC" w:eastAsia="Songti SC" w:cs="Songti SC"/>
          <w:b/>
          <w:color w:val="000000"/>
        </w:rPr>
        <w:t>工作目标：</w:t>
      </w:r>
      <w:r>
        <w:rPr>
          <w:rFonts w:ascii="Songti SC" w:hAnsi="Songti SC" w:eastAsia="Songti SC" w:cs="Songti SC"/>
          <w:color w:val="000000"/>
        </w:rPr>
        <w:t>保障管理端能看到消费机在线、离线和异常状态。</w:t>
      </w:r>
    </w:p>
    <w:p w14:paraId="0D22AF69">
      <w:pPr>
        <w:ind w:firstLine="482"/>
        <w:rPr>
          <w:rFonts w:hint="eastAsia"/>
          <w:color w:val="000000"/>
        </w:rPr>
      </w:pPr>
      <w:r>
        <w:rPr>
          <w:rFonts w:ascii="Songti SC" w:hAnsi="Songti SC" w:eastAsia="Songti SC" w:cs="Songti SC"/>
          <w:b/>
          <w:color w:val="000000"/>
        </w:rPr>
        <w:t>具体做法</w:t>
      </w:r>
    </w:p>
    <w:p w14:paraId="06B0156E">
      <w:pPr>
        <w:ind w:firstLine="480"/>
        <w:rPr>
          <w:rFonts w:hint="eastAsia"/>
          <w:color w:val="000000"/>
        </w:rPr>
      </w:pPr>
      <w:r>
        <w:rPr>
          <w:rFonts w:ascii="Songti SC" w:hAnsi="Songti SC" w:eastAsia="Songti SC" w:cs="Songti SC"/>
          <w:color w:val="000000"/>
        </w:rPr>
        <w:t>验证心跳上报、在线状态、离线判断、恢复在线和异常码。</w:t>
      </w:r>
    </w:p>
    <w:p w14:paraId="2C32DEF9">
      <w:pPr>
        <w:ind w:firstLine="480"/>
        <w:rPr>
          <w:rFonts w:hint="eastAsia"/>
          <w:color w:val="000000"/>
        </w:rPr>
      </w:pPr>
      <w:r>
        <w:rPr>
          <w:rFonts w:ascii="Songti SC" w:hAnsi="Songti SC" w:eastAsia="Songti SC" w:cs="Songti SC"/>
          <w:color w:val="000000"/>
        </w:rPr>
        <w:t>按办公区、餐厅、查询消费机状态。</w:t>
      </w:r>
    </w:p>
    <w:p w14:paraId="36A0D145">
      <w:pPr>
        <w:ind w:firstLine="480"/>
        <w:rPr>
          <w:rFonts w:hint="eastAsia"/>
          <w:color w:val="000000"/>
        </w:rPr>
      </w:pPr>
      <w:r>
        <w:rPr>
          <w:rFonts w:ascii="Songti SC" w:hAnsi="Songti SC" w:eastAsia="Songti SC" w:cs="Songti SC"/>
          <w:color w:val="000000"/>
        </w:rPr>
        <w:t>记录最近交易和最近心跳。</w:t>
      </w:r>
    </w:p>
    <w:p w14:paraId="52892399">
      <w:pPr>
        <w:ind w:firstLine="482"/>
        <w:rPr>
          <w:rFonts w:hint="eastAsia"/>
          <w:color w:val="000000"/>
        </w:rPr>
      </w:pPr>
      <w:r>
        <w:rPr>
          <w:rFonts w:ascii="Songti SC" w:hAnsi="Songti SC" w:eastAsia="Songti SC" w:cs="Songti SC"/>
          <w:b/>
          <w:color w:val="000000"/>
        </w:rPr>
        <w:t>兼容适配关注</w:t>
      </w:r>
    </w:p>
    <w:p w14:paraId="7227951F">
      <w:pPr>
        <w:ind w:firstLine="480"/>
        <w:rPr>
          <w:rFonts w:hint="eastAsia"/>
          <w:color w:val="000000"/>
        </w:rPr>
      </w:pPr>
      <w:r>
        <w:rPr>
          <w:rFonts w:ascii="Songti SC" w:hAnsi="Songti SC" w:eastAsia="Songti SC" w:cs="Songti SC"/>
          <w:color w:val="000000"/>
        </w:rPr>
        <w:t>状态数据进入数据库设备运行库。</w:t>
      </w:r>
    </w:p>
    <w:p w14:paraId="7390BFB8">
      <w:pPr>
        <w:ind w:firstLine="480"/>
        <w:rPr>
          <w:rFonts w:hint="eastAsia"/>
          <w:color w:val="000000"/>
        </w:rPr>
      </w:pPr>
      <w:r>
        <w:rPr>
          <w:rFonts w:ascii="Songti SC" w:hAnsi="Songti SC" w:eastAsia="Songti SC" w:cs="Songti SC"/>
          <w:color w:val="000000"/>
        </w:rPr>
        <w:t>心跳频率和日志保留按运行需要设置。</w:t>
      </w:r>
    </w:p>
    <w:p w14:paraId="1317E09F">
      <w:pPr>
        <w:ind w:firstLine="482"/>
        <w:rPr>
          <w:rFonts w:hint="eastAsia"/>
          <w:color w:val="000000"/>
        </w:rPr>
      </w:pPr>
      <w:r>
        <w:rPr>
          <w:rFonts w:ascii="Songti SC" w:hAnsi="Songti SC" w:eastAsia="Songti SC" w:cs="Songti SC"/>
          <w:b/>
          <w:color w:val="000000"/>
        </w:rPr>
        <w:t>运行关注</w:t>
      </w:r>
    </w:p>
    <w:p w14:paraId="1610E119">
      <w:pPr>
        <w:ind w:firstLine="480"/>
        <w:rPr>
          <w:rFonts w:hint="eastAsia"/>
          <w:color w:val="000000"/>
        </w:rPr>
      </w:pPr>
      <w:r>
        <w:rPr>
          <w:rFonts w:ascii="Songti SC" w:hAnsi="Songti SC" w:eastAsia="Songti SC" w:cs="Songti SC"/>
          <w:color w:val="000000"/>
        </w:rPr>
        <w:t>高峰前查看离线消费机。</w:t>
      </w:r>
    </w:p>
    <w:p w14:paraId="20982B70">
      <w:pPr>
        <w:ind w:firstLine="480"/>
        <w:rPr>
          <w:rFonts w:hint="eastAsia"/>
          <w:color w:val="000000"/>
        </w:rPr>
      </w:pPr>
      <w:r>
        <w:rPr>
          <w:rFonts w:ascii="Songti SC" w:hAnsi="Songti SC" w:eastAsia="Songti SC" w:cs="Songti SC"/>
          <w:color w:val="000000"/>
        </w:rPr>
        <w:t>连续异常设备进入问题跟踪。</w:t>
      </w:r>
    </w:p>
    <w:p w14:paraId="08C739BD">
      <w:pPr>
        <w:numPr>
          <w:ilvl w:val="0"/>
          <w:numId w:val="47"/>
        </w:numPr>
        <w:ind w:firstLineChars="0"/>
        <w:rPr>
          <w:rFonts w:hint="eastAsia"/>
          <w:b/>
          <w:color w:val="000000"/>
        </w:rPr>
      </w:pPr>
      <w:r>
        <w:rPr>
          <w:rFonts w:ascii="Songti SC" w:hAnsi="Songti SC" w:eastAsia="Songti SC" w:cs="Songti SC"/>
          <w:b/>
          <w:color w:val="000000"/>
        </w:rPr>
        <w:t>浏览器兼容适配</w:t>
      </w:r>
    </w:p>
    <w:p w14:paraId="5DFEB72A">
      <w:pPr>
        <w:ind w:firstLine="482"/>
        <w:rPr>
          <w:rFonts w:hint="eastAsia"/>
          <w:color w:val="000000"/>
        </w:rPr>
      </w:pPr>
      <w:r>
        <w:rPr>
          <w:rFonts w:ascii="Songti SC" w:hAnsi="Songti SC" w:eastAsia="Songti SC" w:cs="Songti SC"/>
          <w:b/>
          <w:color w:val="000000"/>
        </w:rPr>
        <w:t>工作目标：</w:t>
      </w:r>
      <w:r>
        <w:rPr>
          <w:rFonts w:ascii="Songti SC" w:hAnsi="Songti SC" w:eastAsia="Songti SC" w:cs="Songti SC"/>
          <w:color w:val="000000"/>
        </w:rPr>
        <w:t>保障政府办公常用浏览器下管理端可正常办理业务。</w:t>
      </w:r>
    </w:p>
    <w:p w14:paraId="0FC5A63F">
      <w:pPr>
        <w:ind w:firstLine="482"/>
        <w:rPr>
          <w:rFonts w:hint="eastAsia"/>
          <w:color w:val="000000"/>
        </w:rPr>
      </w:pPr>
      <w:r>
        <w:rPr>
          <w:rFonts w:ascii="Songti SC" w:hAnsi="Songti SC" w:eastAsia="Songti SC" w:cs="Songti SC"/>
          <w:b/>
          <w:color w:val="000000"/>
        </w:rPr>
        <w:t>具体做法</w:t>
      </w:r>
    </w:p>
    <w:p w14:paraId="2C876627">
      <w:pPr>
        <w:ind w:firstLine="480"/>
        <w:rPr>
          <w:rFonts w:hint="eastAsia"/>
          <w:color w:val="000000"/>
        </w:rPr>
      </w:pPr>
      <w:r>
        <w:rPr>
          <w:rFonts w:ascii="Songti SC" w:hAnsi="Songti SC" w:eastAsia="Songti SC" w:cs="Songti SC"/>
          <w:color w:val="000000"/>
        </w:rPr>
        <w:t>验证登录、菜单、查询、弹窗、日期、表单、上传、下载、导出和打印。</w:t>
      </w:r>
    </w:p>
    <w:p w14:paraId="6166A089">
      <w:pPr>
        <w:ind w:firstLine="480"/>
        <w:rPr>
          <w:rFonts w:hint="eastAsia"/>
          <w:color w:val="000000"/>
        </w:rPr>
      </w:pPr>
      <w:r>
        <w:rPr>
          <w:rFonts w:ascii="Songti SC" w:hAnsi="Songti SC" w:eastAsia="Songti SC" w:cs="Songti SC"/>
          <w:color w:val="000000"/>
        </w:rPr>
        <w:t>重点验证人员导入、报表导出、充值处理和消费机管理页面。</w:t>
      </w:r>
    </w:p>
    <w:p w14:paraId="392994B7">
      <w:pPr>
        <w:ind w:firstLine="480"/>
        <w:rPr>
          <w:rFonts w:hint="eastAsia"/>
          <w:color w:val="000000"/>
        </w:rPr>
      </w:pPr>
      <w:r>
        <w:rPr>
          <w:rFonts w:ascii="Songti SC" w:hAnsi="Songti SC" w:eastAsia="Songti SC" w:cs="Songti SC"/>
          <w:color w:val="000000"/>
        </w:rPr>
        <w:t>处理页面错位、按钮不可点、文件名乱码等问题。</w:t>
      </w:r>
    </w:p>
    <w:p w14:paraId="0B3B0E5F">
      <w:pPr>
        <w:ind w:firstLine="482"/>
        <w:rPr>
          <w:rFonts w:hint="eastAsia"/>
          <w:color w:val="000000"/>
        </w:rPr>
      </w:pPr>
      <w:r>
        <w:rPr>
          <w:rFonts w:ascii="Songti SC" w:hAnsi="Songti SC" w:eastAsia="Songti SC" w:cs="Songti SC"/>
          <w:b/>
          <w:color w:val="000000"/>
        </w:rPr>
        <w:t>兼容适配关注</w:t>
      </w:r>
    </w:p>
    <w:p w14:paraId="73A2F679">
      <w:pPr>
        <w:ind w:firstLine="480"/>
        <w:rPr>
          <w:rFonts w:hint="eastAsia"/>
          <w:color w:val="000000"/>
        </w:rPr>
      </w:pPr>
      <w:r>
        <w:rPr>
          <w:rFonts w:ascii="Songti SC" w:hAnsi="Songti SC" w:eastAsia="Songti SC" w:cs="Songti SC"/>
          <w:color w:val="000000"/>
        </w:rPr>
        <w:t>不依赖非必要插件完成核心功能。</w:t>
      </w:r>
    </w:p>
    <w:p w14:paraId="4DD6875A">
      <w:pPr>
        <w:ind w:firstLine="480"/>
        <w:rPr>
          <w:rFonts w:hint="eastAsia"/>
          <w:color w:val="000000"/>
        </w:rPr>
      </w:pPr>
      <w:r>
        <w:rPr>
          <w:rFonts w:ascii="Songti SC" w:hAnsi="Songti SC" w:eastAsia="Songti SC" w:cs="Songti SC"/>
          <w:color w:val="000000"/>
        </w:rPr>
        <w:t>中文文件名和 Excel 导出在本地运行环境中正常。</w:t>
      </w:r>
    </w:p>
    <w:p w14:paraId="3A136A3A">
      <w:pPr>
        <w:ind w:firstLine="482"/>
        <w:rPr>
          <w:rFonts w:hint="eastAsia"/>
          <w:color w:val="000000"/>
        </w:rPr>
      </w:pPr>
      <w:r>
        <w:rPr>
          <w:rFonts w:ascii="Songti SC" w:hAnsi="Songti SC" w:eastAsia="Songti SC" w:cs="Songti SC"/>
          <w:b/>
          <w:color w:val="000000"/>
        </w:rPr>
        <w:t>运行关注</w:t>
      </w:r>
    </w:p>
    <w:p w14:paraId="15DF0771">
      <w:pPr>
        <w:ind w:firstLine="480"/>
        <w:rPr>
          <w:rFonts w:hint="eastAsia"/>
          <w:color w:val="000000"/>
        </w:rPr>
      </w:pPr>
      <w:r>
        <w:rPr>
          <w:rFonts w:ascii="Songti SC" w:hAnsi="Songti SC" w:eastAsia="Songti SC" w:cs="Songti SC"/>
          <w:color w:val="000000"/>
        </w:rPr>
        <w:t>浏览器问题应与业务数据问题区分。</w:t>
      </w:r>
    </w:p>
    <w:p w14:paraId="282D41C2">
      <w:pPr>
        <w:ind w:firstLine="480"/>
        <w:rPr>
          <w:rFonts w:hint="eastAsia"/>
          <w:color w:val="000000"/>
        </w:rPr>
      </w:pPr>
      <w:r>
        <w:rPr>
          <w:rFonts w:ascii="Songti SC" w:hAnsi="Songti SC" w:eastAsia="Songti SC" w:cs="Songti SC"/>
          <w:color w:val="000000"/>
        </w:rPr>
        <w:t>推荐使用已验证浏览器版本。</w:t>
      </w:r>
    </w:p>
    <w:p w14:paraId="6B4082CB">
      <w:pPr>
        <w:numPr>
          <w:ilvl w:val="0"/>
          <w:numId w:val="47"/>
        </w:numPr>
        <w:ind w:firstLineChars="0"/>
        <w:rPr>
          <w:rFonts w:hint="eastAsia"/>
          <w:b/>
          <w:color w:val="000000"/>
        </w:rPr>
      </w:pPr>
      <w:r>
        <w:rPr>
          <w:rFonts w:ascii="Songti SC" w:hAnsi="Songti SC" w:eastAsia="Songti SC" w:cs="Songti SC"/>
          <w:b/>
          <w:color w:val="000000"/>
        </w:rPr>
        <w:t>安全权限适配</w:t>
      </w:r>
    </w:p>
    <w:p w14:paraId="24E6A55A">
      <w:pPr>
        <w:ind w:firstLine="482"/>
        <w:rPr>
          <w:rFonts w:hint="eastAsia"/>
          <w:color w:val="000000"/>
        </w:rPr>
      </w:pPr>
      <w:r>
        <w:rPr>
          <w:rFonts w:ascii="Songti SC" w:hAnsi="Songti SC" w:eastAsia="Songti SC" w:cs="Songti SC"/>
          <w:b/>
          <w:color w:val="000000"/>
        </w:rPr>
        <w:t>工作目标：</w:t>
      </w:r>
      <w:r>
        <w:rPr>
          <w:rFonts w:ascii="Songti SC" w:hAnsi="Songti SC" w:eastAsia="Songti SC" w:cs="Songti SC"/>
          <w:color w:val="000000"/>
        </w:rPr>
        <w:t>保障账号、角色、数据范围和敏感操作可控。</w:t>
      </w:r>
    </w:p>
    <w:p w14:paraId="3F622E0F">
      <w:pPr>
        <w:ind w:firstLine="482"/>
        <w:rPr>
          <w:rFonts w:hint="eastAsia"/>
          <w:color w:val="000000"/>
        </w:rPr>
      </w:pPr>
      <w:r>
        <w:rPr>
          <w:rFonts w:ascii="Songti SC" w:hAnsi="Songti SC" w:eastAsia="Songti SC" w:cs="Songti SC"/>
          <w:b/>
          <w:color w:val="000000"/>
        </w:rPr>
        <w:t>具体做法</w:t>
      </w:r>
    </w:p>
    <w:p w14:paraId="348DD06A">
      <w:pPr>
        <w:ind w:firstLine="480"/>
        <w:rPr>
          <w:rFonts w:hint="eastAsia"/>
          <w:color w:val="000000"/>
        </w:rPr>
      </w:pPr>
      <w:r>
        <w:rPr>
          <w:rFonts w:ascii="Songti SC" w:hAnsi="Songti SC" w:eastAsia="Songti SC" w:cs="Songti SC"/>
          <w:color w:val="000000"/>
        </w:rPr>
        <w:t>配置角色、菜单、按钮、数据范围和导出权限。</w:t>
      </w:r>
    </w:p>
    <w:p w14:paraId="3F81399D">
      <w:pPr>
        <w:ind w:firstLine="480"/>
        <w:rPr>
          <w:rFonts w:hint="eastAsia"/>
          <w:color w:val="000000"/>
        </w:rPr>
      </w:pPr>
      <w:r>
        <w:rPr>
          <w:rFonts w:ascii="Songti SC" w:hAnsi="Songti SC" w:eastAsia="Songti SC" w:cs="Songti SC"/>
          <w:color w:val="000000"/>
        </w:rPr>
        <w:t>关键操作记录操作人、对象、时间、结果和原因。</w:t>
      </w:r>
    </w:p>
    <w:p w14:paraId="5B8C2455">
      <w:pPr>
        <w:ind w:firstLine="480"/>
        <w:rPr>
          <w:rFonts w:hint="eastAsia"/>
          <w:color w:val="000000"/>
        </w:rPr>
      </w:pPr>
      <w:r>
        <w:rPr>
          <w:rFonts w:ascii="Songti SC" w:hAnsi="Songti SC" w:eastAsia="Songti SC" w:cs="Songti SC"/>
          <w:color w:val="000000"/>
        </w:rPr>
        <w:t>停用无效账号和过度授权角色。</w:t>
      </w:r>
    </w:p>
    <w:p w14:paraId="2A5ACB17">
      <w:pPr>
        <w:ind w:firstLine="482"/>
        <w:rPr>
          <w:rFonts w:hint="eastAsia"/>
          <w:color w:val="000000"/>
        </w:rPr>
      </w:pPr>
      <w:r>
        <w:rPr>
          <w:rFonts w:ascii="Songti SC" w:hAnsi="Songti SC" w:eastAsia="Songti SC" w:cs="Songti SC"/>
          <w:b/>
          <w:color w:val="000000"/>
        </w:rPr>
        <w:t>兼容适配关注</w:t>
      </w:r>
    </w:p>
    <w:p w14:paraId="782DEEA5">
      <w:pPr>
        <w:ind w:firstLine="480"/>
        <w:rPr>
          <w:rFonts w:hint="eastAsia"/>
          <w:color w:val="000000"/>
        </w:rPr>
      </w:pPr>
      <w:r>
        <w:rPr>
          <w:rFonts w:ascii="Songti SC" w:hAnsi="Songti SC" w:eastAsia="Songti SC" w:cs="Songti SC"/>
          <w:color w:val="000000"/>
        </w:rPr>
        <w:t>现有运行环境下适配登录策略、会话超时和审计日志。</w:t>
      </w:r>
    </w:p>
    <w:p w14:paraId="1529201D">
      <w:pPr>
        <w:ind w:firstLine="480"/>
        <w:rPr>
          <w:rFonts w:hint="eastAsia"/>
          <w:color w:val="000000"/>
        </w:rPr>
      </w:pPr>
      <w:r>
        <w:rPr>
          <w:rFonts w:ascii="Songti SC" w:hAnsi="Songti SC" w:eastAsia="Songti SC" w:cs="Songti SC"/>
          <w:color w:val="000000"/>
        </w:rPr>
        <w:t>敏感字段展示和导出按权限控制。</w:t>
      </w:r>
    </w:p>
    <w:p w14:paraId="65C1A8DD">
      <w:pPr>
        <w:ind w:firstLine="482"/>
        <w:rPr>
          <w:rFonts w:hint="eastAsia"/>
          <w:color w:val="000000"/>
        </w:rPr>
      </w:pPr>
      <w:r>
        <w:rPr>
          <w:rFonts w:ascii="Songti SC" w:hAnsi="Songti SC" w:eastAsia="Songti SC" w:cs="Songti SC"/>
          <w:b/>
          <w:color w:val="000000"/>
        </w:rPr>
        <w:t>运行关注</w:t>
      </w:r>
    </w:p>
    <w:p w14:paraId="51780631">
      <w:pPr>
        <w:ind w:firstLine="480"/>
        <w:rPr>
          <w:rFonts w:hint="eastAsia"/>
          <w:color w:val="000000"/>
        </w:rPr>
      </w:pPr>
      <w:r>
        <w:rPr>
          <w:rFonts w:ascii="Songti SC" w:hAnsi="Songti SC" w:eastAsia="Songti SC" w:cs="Songti SC"/>
          <w:color w:val="000000"/>
        </w:rPr>
        <w:t>权限调整应有记录。</w:t>
      </w:r>
    </w:p>
    <w:p w14:paraId="049272D3">
      <w:pPr>
        <w:ind w:firstLine="480"/>
        <w:rPr>
          <w:rFonts w:hint="eastAsia"/>
          <w:color w:val="000000"/>
        </w:rPr>
      </w:pPr>
      <w:r>
        <w:rPr>
          <w:rFonts w:ascii="Songti SC" w:hAnsi="Songti SC" w:eastAsia="Songti SC" w:cs="Songti SC"/>
          <w:color w:val="000000"/>
        </w:rPr>
        <w:t>账号异常登录需进入巡检关注。</w:t>
      </w:r>
    </w:p>
    <w:p w14:paraId="014BC726">
      <w:pPr>
        <w:numPr>
          <w:ilvl w:val="0"/>
          <w:numId w:val="47"/>
        </w:numPr>
        <w:ind w:firstLineChars="0"/>
        <w:rPr>
          <w:rFonts w:hint="eastAsia"/>
          <w:b/>
          <w:color w:val="000000"/>
        </w:rPr>
      </w:pPr>
      <w:r>
        <w:rPr>
          <w:rFonts w:ascii="Songti SC" w:hAnsi="Songti SC" w:eastAsia="Songti SC" w:cs="Songti SC"/>
          <w:b/>
          <w:color w:val="000000"/>
        </w:rPr>
        <w:t>通信安全适配</w:t>
      </w:r>
    </w:p>
    <w:p w14:paraId="53239CA6">
      <w:pPr>
        <w:ind w:firstLine="482"/>
        <w:rPr>
          <w:rFonts w:hint="eastAsia"/>
          <w:color w:val="000000"/>
        </w:rPr>
      </w:pPr>
      <w:r>
        <w:rPr>
          <w:rFonts w:ascii="Songti SC" w:hAnsi="Songti SC" w:eastAsia="Songti SC" w:cs="Songti SC"/>
          <w:b/>
          <w:color w:val="000000"/>
        </w:rPr>
        <w:t>工作目标：</w:t>
      </w:r>
      <w:r>
        <w:rPr>
          <w:rFonts w:ascii="Songti SC" w:hAnsi="Songti SC" w:eastAsia="Songti SC" w:cs="Songti SC"/>
          <w:color w:val="000000"/>
        </w:rPr>
        <w:t>保障管理端、小程序端、消费机和外部接口通信安全。</w:t>
      </w:r>
    </w:p>
    <w:p w14:paraId="183D6DB7">
      <w:pPr>
        <w:ind w:firstLine="482"/>
        <w:rPr>
          <w:rFonts w:hint="eastAsia"/>
          <w:color w:val="000000"/>
        </w:rPr>
      </w:pPr>
      <w:r>
        <w:rPr>
          <w:rFonts w:ascii="Songti SC" w:hAnsi="Songti SC" w:eastAsia="Songti SC" w:cs="Songti SC"/>
          <w:b/>
          <w:color w:val="000000"/>
        </w:rPr>
        <w:t>具体做法</w:t>
      </w:r>
    </w:p>
    <w:p w14:paraId="07A6C985">
      <w:pPr>
        <w:ind w:firstLine="480"/>
        <w:rPr>
          <w:rFonts w:hint="eastAsia"/>
          <w:color w:val="000000"/>
        </w:rPr>
      </w:pPr>
      <w:r>
        <w:rPr>
          <w:rFonts w:ascii="Songti SC" w:hAnsi="Songti SC" w:eastAsia="Songti SC" w:cs="Songti SC"/>
          <w:color w:val="000000"/>
        </w:rPr>
        <w:t>配置安全传输、证书、签名、时间戳和防重放策略。</w:t>
      </w:r>
    </w:p>
    <w:p w14:paraId="248DA419">
      <w:pPr>
        <w:ind w:firstLine="480"/>
        <w:rPr>
          <w:rFonts w:hint="eastAsia"/>
          <w:color w:val="000000"/>
        </w:rPr>
      </w:pPr>
      <w:r>
        <w:rPr>
          <w:rFonts w:ascii="Songti SC" w:hAnsi="Songti SC" w:eastAsia="Songti SC" w:cs="Songti SC"/>
          <w:color w:val="000000"/>
        </w:rPr>
        <w:t>消费机接口校验设备身份。</w:t>
      </w:r>
    </w:p>
    <w:p w14:paraId="68DD1012">
      <w:pPr>
        <w:ind w:firstLine="480"/>
        <w:rPr>
          <w:rFonts w:hint="eastAsia"/>
          <w:color w:val="000000"/>
        </w:rPr>
      </w:pPr>
      <w:r>
        <w:rPr>
          <w:rFonts w:ascii="Songti SC" w:hAnsi="Songti SC" w:eastAsia="Songti SC" w:cs="Songti SC"/>
          <w:color w:val="000000"/>
        </w:rPr>
        <w:t>外部接口记录完整交互流水。</w:t>
      </w:r>
    </w:p>
    <w:p w14:paraId="03BE7D33">
      <w:pPr>
        <w:ind w:firstLine="482"/>
        <w:rPr>
          <w:rFonts w:hint="eastAsia"/>
          <w:color w:val="000000"/>
        </w:rPr>
      </w:pPr>
      <w:r>
        <w:rPr>
          <w:rFonts w:ascii="Songti SC" w:hAnsi="Songti SC" w:eastAsia="Songti SC" w:cs="Songti SC"/>
          <w:b/>
          <w:color w:val="000000"/>
        </w:rPr>
        <w:t>兼容适配关注</w:t>
      </w:r>
    </w:p>
    <w:p w14:paraId="3DD5CE44">
      <w:pPr>
        <w:ind w:firstLine="480"/>
        <w:rPr>
          <w:rFonts w:hint="eastAsia"/>
          <w:color w:val="000000"/>
        </w:rPr>
      </w:pPr>
      <w:r>
        <w:rPr>
          <w:rFonts w:ascii="Songti SC" w:hAnsi="Songti SC" w:eastAsia="Songti SC" w:cs="Songti SC"/>
          <w:color w:val="000000"/>
        </w:rPr>
        <w:t>证书路径、加密组件和时间同步适配本地运行环境。</w:t>
      </w:r>
    </w:p>
    <w:p w14:paraId="4E56DE25">
      <w:pPr>
        <w:ind w:firstLine="480"/>
        <w:rPr>
          <w:rFonts w:hint="eastAsia"/>
          <w:color w:val="000000"/>
        </w:rPr>
      </w:pPr>
      <w:r>
        <w:rPr>
          <w:rFonts w:ascii="Songti SC" w:hAnsi="Songti SC" w:eastAsia="Songti SC" w:cs="Songti SC"/>
          <w:color w:val="000000"/>
        </w:rPr>
        <w:t>接口日志脱敏保存。</w:t>
      </w:r>
    </w:p>
    <w:p w14:paraId="75950A4E">
      <w:pPr>
        <w:ind w:firstLine="482"/>
        <w:rPr>
          <w:rFonts w:hint="eastAsia"/>
          <w:color w:val="000000"/>
        </w:rPr>
      </w:pPr>
      <w:r>
        <w:rPr>
          <w:rFonts w:ascii="Songti SC" w:hAnsi="Songti SC" w:eastAsia="Songti SC" w:cs="Songti SC"/>
          <w:b/>
          <w:color w:val="000000"/>
        </w:rPr>
        <w:t>运行关注</w:t>
      </w:r>
    </w:p>
    <w:p w14:paraId="71B93C82">
      <w:pPr>
        <w:ind w:firstLine="480"/>
        <w:rPr>
          <w:rFonts w:hint="eastAsia"/>
          <w:color w:val="000000"/>
        </w:rPr>
      </w:pPr>
      <w:r>
        <w:rPr>
          <w:rFonts w:ascii="Songti SC" w:hAnsi="Songti SC" w:eastAsia="Songti SC" w:cs="Songti SC"/>
          <w:color w:val="000000"/>
        </w:rPr>
        <w:t>证书到期、时间不同步和签名失败是常见风险。</w:t>
      </w:r>
    </w:p>
    <w:p w14:paraId="6A532FE6">
      <w:pPr>
        <w:ind w:firstLine="480"/>
        <w:rPr>
          <w:rFonts w:hint="eastAsia"/>
          <w:color w:val="000000"/>
        </w:rPr>
      </w:pPr>
      <w:r>
        <w:rPr>
          <w:rFonts w:ascii="Songti SC" w:hAnsi="Songti SC" w:eastAsia="Songti SC" w:cs="Songti SC"/>
          <w:color w:val="000000"/>
        </w:rPr>
        <w:t>通信异常需快速区分网络和应用问题。</w:t>
      </w:r>
    </w:p>
    <w:p w14:paraId="14618152">
      <w:pPr>
        <w:numPr>
          <w:ilvl w:val="0"/>
          <w:numId w:val="47"/>
        </w:numPr>
        <w:ind w:firstLineChars="0"/>
        <w:rPr>
          <w:rFonts w:hint="eastAsia"/>
          <w:b/>
          <w:color w:val="000000"/>
        </w:rPr>
      </w:pPr>
      <w:r>
        <w:rPr>
          <w:rFonts w:ascii="Songti SC" w:hAnsi="Songti SC" w:eastAsia="Songti SC" w:cs="Songti SC"/>
          <w:b/>
          <w:color w:val="000000"/>
        </w:rPr>
        <w:t>性能优化适配</w:t>
      </w:r>
    </w:p>
    <w:p w14:paraId="7BAAD671">
      <w:pPr>
        <w:ind w:firstLine="482"/>
        <w:rPr>
          <w:rFonts w:hint="eastAsia"/>
          <w:color w:val="000000"/>
        </w:rPr>
      </w:pPr>
      <w:r>
        <w:rPr>
          <w:rFonts w:ascii="Songti SC" w:hAnsi="Songti SC" w:eastAsia="Songti SC" w:cs="Songti SC"/>
          <w:b/>
          <w:color w:val="000000"/>
        </w:rPr>
        <w:t>工作目标：</w:t>
      </w:r>
      <w:r>
        <w:rPr>
          <w:rFonts w:ascii="Songti SC" w:hAnsi="Songti SC" w:eastAsia="Songti SC" w:cs="Songti SC"/>
          <w:color w:val="000000"/>
        </w:rPr>
        <w:t>保障高峰消费和大报表查询下系统稳定。</w:t>
      </w:r>
    </w:p>
    <w:p w14:paraId="63F19AF8">
      <w:pPr>
        <w:ind w:firstLine="482"/>
        <w:rPr>
          <w:rFonts w:hint="eastAsia"/>
          <w:color w:val="000000"/>
        </w:rPr>
      </w:pPr>
      <w:r>
        <w:rPr>
          <w:rFonts w:ascii="Songti SC" w:hAnsi="Songti SC" w:eastAsia="Songti SC" w:cs="Songti SC"/>
          <w:b/>
          <w:color w:val="000000"/>
        </w:rPr>
        <w:t>具体做法</w:t>
      </w:r>
    </w:p>
    <w:p w14:paraId="46D307EA">
      <w:pPr>
        <w:ind w:firstLine="480"/>
        <w:rPr>
          <w:rFonts w:hint="eastAsia"/>
          <w:color w:val="000000"/>
        </w:rPr>
      </w:pPr>
      <w:r>
        <w:rPr>
          <w:rFonts w:ascii="Songti SC" w:hAnsi="Songti SC" w:eastAsia="Songti SC" w:cs="Songti SC"/>
          <w:color w:val="000000"/>
        </w:rPr>
        <w:t>优化人员查询、订单查询、余额查询、报表汇总和消费机状态查询。</w:t>
      </w:r>
    </w:p>
    <w:p w14:paraId="28E38476">
      <w:pPr>
        <w:ind w:firstLine="480"/>
        <w:rPr>
          <w:rFonts w:hint="eastAsia"/>
          <w:color w:val="000000"/>
        </w:rPr>
      </w:pPr>
      <w:r>
        <w:rPr>
          <w:rFonts w:ascii="Songti SC" w:hAnsi="Songti SC" w:eastAsia="Songti SC" w:cs="Songti SC"/>
          <w:color w:val="000000"/>
        </w:rPr>
        <w:t>对导出和大报表采用异步任务。</w:t>
      </w:r>
    </w:p>
    <w:p w14:paraId="3B5D5E49">
      <w:pPr>
        <w:ind w:firstLine="480"/>
        <w:rPr>
          <w:rFonts w:hint="eastAsia"/>
          <w:color w:val="000000"/>
        </w:rPr>
      </w:pPr>
      <w:r>
        <w:rPr>
          <w:rFonts w:ascii="Songti SC" w:hAnsi="Songti SC" w:eastAsia="Songti SC" w:cs="Songti SC"/>
          <w:color w:val="000000"/>
        </w:rPr>
        <w:t>就餐高峰优先保障交易接口。</w:t>
      </w:r>
    </w:p>
    <w:p w14:paraId="07F6F1F0">
      <w:pPr>
        <w:ind w:firstLine="482"/>
        <w:rPr>
          <w:rFonts w:hint="eastAsia"/>
          <w:color w:val="000000"/>
        </w:rPr>
      </w:pPr>
      <w:r>
        <w:rPr>
          <w:rFonts w:ascii="Songti SC" w:hAnsi="Songti SC" w:eastAsia="Songti SC" w:cs="Songti SC"/>
          <w:b/>
          <w:color w:val="000000"/>
        </w:rPr>
        <w:t>兼容适配关注</w:t>
      </w:r>
    </w:p>
    <w:p w14:paraId="27AC2861">
      <w:pPr>
        <w:ind w:firstLine="480"/>
        <w:rPr>
          <w:rFonts w:hint="eastAsia"/>
          <w:color w:val="000000"/>
        </w:rPr>
      </w:pPr>
      <w:r>
        <w:rPr>
          <w:rFonts w:ascii="Songti SC" w:hAnsi="Songti SC" w:eastAsia="Songti SC" w:cs="Songti SC"/>
          <w:color w:val="000000"/>
        </w:rPr>
        <w:t>数据库索引、分页和汇总策略按实际数据量优化。</w:t>
      </w:r>
    </w:p>
    <w:p w14:paraId="1295E0D1">
      <w:pPr>
        <w:ind w:firstLine="480"/>
        <w:rPr>
          <w:rFonts w:hint="eastAsia"/>
          <w:color w:val="000000"/>
        </w:rPr>
      </w:pPr>
      <w:r>
        <w:rPr>
          <w:rFonts w:ascii="Songti SC" w:hAnsi="Songti SC" w:eastAsia="Songti SC" w:cs="Songti SC"/>
          <w:color w:val="000000"/>
        </w:rPr>
        <w:t>中间件连接数和超时设置按业务压力调整。</w:t>
      </w:r>
    </w:p>
    <w:p w14:paraId="1ADE61A8">
      <w:pPr>
        <w:ind w:firstLine="482"/>
        <w:rPr>
          <w:rFonts w:hint="eastAsia"/>
          <w:color w:val="000000"/>
        </w:rPr>
      </w:pPr>
      <w:r>
        <w:rPr>
          <w:rFonts w:ascii="Songti SC" w:hAnsi="Songti SC" w:eastAsia="Songti SC" w:cs="Songti SC"/>
          <w:b/>
          <w:color w:val="000000"/>
        </w:rPr>
        <w:t>运行关注</w:t>
      </w:r>
    </w:p>
    <w:p w14:paraId="6055388E">
      <w:pPr>
        <w:ind w:firstLine="480"/>
        <w:rPr>
          <w:rFonts w:hint="eastAsia"/>
          <w:color w:val="000000"/>
        </w:rPr>
      </w:pPr>
      <w:r>
        <w:rPr>
          <w:rFonts w:ascii="Songti SC" w:hAnsi="Songti SC" w:eastAsia="Songti SC" w:cs="Songti SC"/>
          <w:color w:val="000000"/>
        </w:rPr>
        <w:t>慢查询和导出任务纳入巡检。</w:t>
      </w:r>
    </w:p>
    <w:p w14:paraId="40678736">
      <w:pPr>
        <w:ind w:firstLine="480"/>
        <w:rPr>
          <w:rFonts w:hint="eastAsia"/>
          <w:color w:val="000000"/>
        </w:rPr>
      </w:pPr>
      <w:r>
        <w:rPr>
          <w:rFonts w:ascii="Songti SC" w:hAnsi="Songti SC" w:eastAsia="Songti SC" w:cs="Songti SC"/>
          <w:color w:val="000000"/>
        </w:rPr>
        <w:t>重型报表避开就餐高峰。</w:t>
      </w:r>
    </w:p>
    <w:p w14:paraId="5EBB0479">
      <w:pPr>
        <w:numPr>
          <w:ilvl w:val="0"/>
          <w:numId w:val="47"/>
        </w:numPr>
        <w:ind w:firstLineChars="0"/>
        <w:rPr>
          <w:rFonts w:hint="eastAsia"/>
          <w:b/>
          <w:color w:val="000000"/>
        </w:rPr>
      </w:pPr>
      <w:r>
        <w:rPr>
          <w:rFonts w:ascii="Songti SC" w:hAnsi="Songti SC" w:eastAsia="Songti SC" w:cs="Songti SC"/>
          <w:b/>
          <w:color w:val="000000"/>
        </w:rPr>
        <w:t>上线切换准备</w:t>
      </w:r>
    </w:p>
    <w:p w14:paraId="47A77856">
      <w:pPr>
        <w:ind w:firstLine="482"/>
        <w:rPr>
          <w:rFonts w:hint="eastAsia"/>
          <w:color w:val="000000"/>
        </w:rPr>
      </w:pPr>
      <w:r>
        <w:rPr>
          <w:rFonts w:ascii="Songti SC" w:hAnsi="Songti SC" w:eastAsia="Songti SC" w:cs="Songti SC"/>
          <w:b/>
          <w:color w:val="000000"/>
        </w:rPr>
        <w:t>工作目标：</w:t>
      </w:r>
      <w:r>
        <w:rPr>
          <w:rFonts w:ascii="Songti SC" w:hAnsi="Songti SC" w:eastAsia="Songti SC" w:cs="Songti SC"/>
          <w:color w:val="000000"/>
        </w:rPr>
        <w:t>保障正式切换前环境、数据、接口和消费机均具备切换条件。</w:t>
      </w:r>
    </w:p>
    <w:p w14:paraId="7EC06809">
      <w:pPr>
        <w:ind w:firstLine="482"/>
        <w:rPr>
          <w:rFonts w:hint="eastAsia"/>
          <w:color w:val="000000"/>
        </w:rPr>
      </w:pPr>
      <w:r>
        <w:rPr>
          <w:rFonts w:ascii="Songti SC" w:hAnsi="Songti SC" w:eastAsia="Songti SC" w:cs="Songti SC"/>
          <w:b/>
          <w:color w:val="000000"/>
        </w:rPr>
        <w:t>具体做法</w:t>
      </w:r>
    </w:p>
    <w:p w14:paraId="36641795">
      <w:pPr>
        <w:ind w:firstLine="480"/>
        <w:rPr>
          <w:rFonts w:hint="eastAsia"/>
          <w:color w:val="000000"/>
        </w:rPr>
      </w:pPr>
      <w:r>
        <w:rPr>
          <w:rFonts w:ascii="Songti SC" w:hAnsi="Songti SC" w:eastAsia="Songti SC" w:cs="Songti SC"/>
          <w:color w:val="000000"/>
        </w:rPr>
        <w:t>完成应用备份、数据库备份、配置备份和消费机原地址记录。</w:t>
      </w:r>
    </w:p>
    <w:p w14:paraId="38E981C7">
      <w:pPr>
        <w:ind w:firstLine="480"/>
        <w:rPr>
          <w:rFonts w:hint="eastAsia"/>
          <w:color w:val="000000"/>
        </w:rPr>
      </w:pPr>
      <w:r>
        <w:rPr>
          <w:rFonts w:ascii="Songti SC" w:hAnsi="Songti SC" w:eastAsia="Songti SC" w:cs="Songti SC"/>
          <w:color w:val="000000"/>
        </w:rPr>
        <w:t>确认数据增量同步、接口联通、消费机联通和关键人员到位。</w:t>
      </w:r>
    </w:p>
    <w:p w14:paraId="7124702E">
      <w:pPr>
        <w:ind w:firstLine="480"/>
        <w:rPr>
          <w:rFonts w:hint="eastAsia"/>
          <w:color w:val="000000"/>
        </w:rPr>
      </w:pPr>
      <w:r>
        <w:rPr>
          <w:rFonts w:ascii="Songti SC" w:hAnsi="Songti SC" w:eastAsia="Songti SC" w:cs="Songti SC"/>
          <w:color w:val="000000"/>
        </w:rPr>
        <w:t>确认切换窗口和沟通机制。</w:t>
      </w:r>
    </w:p>
    <w:p w14:paraId="1DF07A17">
      <w:pPr>
        <w:ind w:firstLine="482"/>
        <w:rPr>
          <w:rFonts w:hint="eastAsia"/>
          <w:color w:val="000000"/>
        </w:rPr>
      </w:pPr>
      <w:r>
        <w:rPr>
          <w:rFonts w:ascii="Songti SC" w:hAnsi="Songti SC" w:eastAsia="Songti SC" w:cs="Songti SC"/>
          <w:b/>
          <w:color w:val="000000"/>
        </w:rPr>
        <w:t>兼容适配关注</w:t>
      </w:r>
    </w:p>
    <w:p w14:paraId="2D88950E">
      <w:pPr>
        <w:ind w:firstLine="480"/>
        <w:rPr>
          <w:rFonts w:hint="eastAsia"/>
          <w:color w:val="000000"/>
        </w:rPr>
      </w:pPr>
      <w:r>
        <w:rPr>
          <w:rFonts w:ascii="Songti SC" w:hAnsi="Songti SC" w:eastAsia="Songti SC" w:cs="Songti SC"/>
          <w:color w:val="000000"/>
        </w:rPr>
        <w:t>切换参数通过配置版本完成。</w:t>
      </w:r>
    </w:p>
    <w:p w14:paraId="6BCB059C">
      <w:pPr>
        <w:ind w:firstLine="480"/>
        <w:rPr>
          <w:rFonts w:hint="eastAsia"/>
          <w:color w:val="000000"/>
        </w:rPr>
      </w:pPr>
      <w:r>
        <w:rPr>
          <w:rFonts w:ascii="Songti SC" w:hAnsi="Songti SC" w:eastAsia="Songti SC" w:cs="Songti SC"/>
          <w:color w:val="000000"/>
        </w:rPr>
        <w:t>本地运行环境中的备份和恢复命令提前演练。</w:t>
      </w:r>
    </w:p>
    <w:p w14:paraId="66A33578">
      <w:pPr>
        <w:ind w:firstLine="482"/>
        <w:rPr>
          <w:rFonts w:hint="eastAsia"/>
          <w:color w:val="000000"/>
        </w:rPr>
      </w:pPr>
      <w:r>
        <w:rPr>
          <w:rFonts w:ascii="Songti SC" w:hAnsi="Songti SC" w:eastAsia="Songti SC" w:cs="Songti SC"/>
          <w:b/>
          <w:color w:val="000000"/>
        </w:rPr>
        <w:t>运行关注</w:t>
      </w:r>
    </w:p>
    <w:p w14:paraId="1E4729EB">
      <w:pPr>
        <w:ind w:firstLine="480"/>
        <w:rPr>
          <w:rFonts w:hint="eastAsia"/>
          <w:color w:val="000000"/>
        </w:rPr>
      </w:pPr>
      <w:r>
        <w:rPr>
          <w:rFonts w:ascii="Songti SC" w:hAnsi="Songti SC" w:eastAsia="Songti SC" w:cs="Songti SC"/>
          <w:color w:val="000000"/>
        </w:rPr>
        <w:t>切换期间优先保障充值和消费。</w:t>
      </w:r>
    </w:p>
    <w:p w14:paraId="2B1FD05F">
      <w:pPr>
        <w:ind w:firstLine="480"/>
        <w:rPr>
          <w:rFonts w:hint="eastAsia"/>
          <w:color w:val="000000"/>
        </w:rPr>
      </w:pPr>
      <w:r>
        <w:rPr>
          <w:rFonts w:ascii="Songti SC" w:hAnsi="Songti SC" w:eastAsia="Songti SC" w:cs="Songti SC"/>
          <w:color w:val="000000"/>
        </w:rPr>
        <w:t>出现重大异常按回退策略处理。</w:t>
      </w:r>
    </w:p>
    <w:p w14:paraId="7E89A898">
      <w:pPr>
        <w:numPr>
          <w:ilvl w:val="0"/>
          <w:numId w:val="47"/>
        </w:numPr>
        <w:ind w:firstLineChars="0"/>
        <w:rPr>
          <w:rFonts w:hint="eastAsia"/>
          <w:b/>
          <w:color w:val="000000"/>
        </w:rPr>
      </w:pPr>
      <w:r>
        <w:rPr>
          <w:rFonts w:ascii="Songti SC" w:hAnsi="Songti SC" w:eastAsia="Songti SC" w:cs="Songti SC"/>
          <w:b/>
          <w:color w:val="000000"/>
        </w:rPr>
        <w:t>上线后值守</w:t>
      </w:r>
    </w:p>
    <w:p w14:paraId="0215D87E">
      <w:pPr>
        <w:ind w:firstLine="482"/>
        <w:rPr>
          <w:rFonts w:hint="eastAsia"/>
          <w:color w:val="000000"/>
        </w:rPr>
      </w:pPr>
      <w:r>
        <w:rPr>
          <w:rFonts w:ascii="Songti SC" w:hAnsi="Songti SC" w:eastAsia="Songti SC" w:cs="Songti SC"/>
          <w:b/>
          <w:color w:val="000000"/>
        </w:rPr>
        <w:t>工作目标：</w:t>
      </w:r>
      <w:r>
        <w:rPr>
          <w:rFonts w:ascii="Songti SC" w:hAnsi="Songti SC" w:eastAsia="Songti SC" w:cs="Songti SC"/>
          <w:color w:val="000000"/>
        </w:rPr>
        <w:t>保障上线初期问题能够及时发现和处理。</w:t>
      </w:r>
    </w:p>
    <w:p w14:paraId="1B1F0443">
      <w:pPr>
        <w:ind w:firstLine="482"/>
        <w:rPr>
          <w:rFonts w:hint="eastAsia"/>
          <w:color w:val="000000"/>
        </w:rPr>
      </w:pPr>
      <w:r>
        <w:rPr>
          <w:rFonts w:ascii="Songti SC" w:hAnsi="Songti SC" w:eastAsia="Songti SC" w:cs="Songti SC"/>
          <w:b/>
          <w:color w:val="000000"/>
        </w:rPr>
        <w:t>具体做法</w:t>
      </w:r>
    </w:p>
    <w:p w14:paraId="0FF33172">
      <w:pPr>
        <w:ind w:firstLine="480"/>
        <w:rPr>
          <w:rFonts w:hint="eastAsia"/>
          <w:color w:val="000000"/>
        </w:rPr>
      </w:pPr>
      <w:r>
        <w:rPr>
          <w:rFonts w:ascii="Songti SC" w:hAnsi="Songti SC" w:eastAsia="Songti SC" w:cs="Songti SC"/>
          <w:color w:val="000000"/>
        </w:rPr>
        <w:t>每日关注登录、充值、消费、余额、报表、消费机在线和补传积压。</w:t>
      </w:r>
    </w:p>
    <w:p w14:paraId="7FBCA83E">
      <w:pPr>
        <w:ind w:firstLine="480"/>
        <w:rPr>
          <w:rFonts w:hint="eastAsia"/>
          <w:color w:val="000000"/>
        </w:rPr>
      </w:pPr>
      <w:r>
        <w:rPr>
          <w:rFonts w:ascii="Songti SC" w:hAnsi="Songti SC" w:eastAsia="Songti SC" w:cs="Songti SC"/>
          <w:color w:val="000000"/>
        </w:rPr>
        <w:t>记录问题、影响范围、原因、处理措施和关闭状态。</w:t>
      </w:r>
    </w:p>
    <w:p w14:paraId="038F5DD2">
      <w:pPr>
        <w:ind w:firstLine="480"/>
        <w:rPr>
          <w:rFonts w:hint="eastAsia"/>
          <w:color w:val="000000"/>
        </w:rPr>
      </w:pPr>
      <w:r>
        <w:rPr>
          <w:rFonts w:ascii="Songti SC" w:hAnsi="Songti SC" w:eastAsia="Songti SC" w:cs="Songti SC"/>
          <w:color w:val="000000"/>
        </w:rPr>
        <w:t>对重复问题进行集中分析。</w:t>
      </w:r>
    </w:p>
    <w:p w14:paraId="2E0EE82E">
      <w:pPr>
        <w:ind w:firstLine="482"/>
        <w:rPr>
          <w:rFonts w:hint="eastAsia"/>
          <w:color w:val="000000"/>
        </w:rPr>
      </w:pPr>
      <w:r>
        <w:rPr>
          <w:rFonts w:ascii="Songti SC" w:hAnsi="Songti SC" w:eastAsia="Songti SC" w:cs="Songti SC"/>
          <w:b/>
          <w:color w:val="000000"/>
        </w:rPr>
        <w:t>兼容适配关注</w:t>
      </w:r>
    </w:p>
    <w:p w14:paraId="0CEDEA9B">
      <w:pPr>
        <w:ind w:firstLine="480"/>
        <w:rPr>
          <w:rFonts w:hint="eastAsia"/>
          <w:color w:val="000000"/>
        </w:rPr>
      </w:pPr>
      <w:r>
        <w:rPr>
          <w:rFonts w:ascii="Songti SC" w:hAnsi="Songti SC" w:eastAsia="Songti SC" w:cs="Songti SC"/>
          <w:color w:val="000000"/>
        </w:rPr>
        <w:t>本地运行环境监控项覆盖服务、数据库、中间件、接口和文件目录。</w:t>
      </w:r>
    </w:p>
    <w:p w14:paraId="1E4DF123">
      <w:pPr>
        <w:ind w:firstLine="480"/>
        <w:rPr>
          <w:rFonts w:hint="eastAsia"/>
          <w:color w:val="000000"/>
        </w:rPr>
      </w:pPr>
      <w:r>
        <w:rPr>
          <w:rFonts w:ascii="Songti SC" w:hAnsi="Songti SC" w:eastAsia="Songti SC" w:cs="Songti SC"/>
          <w:color w:val="000000"/>
        </w:rPr>
        <w:t>日志路径和告警渠道保持畅通。</w:t>
      </w:r>
    </w:p>
    <w:p w14:paraId="2F28815D">
      <w:pPr>
        <w:ind w:firstLine="482"/>
        <w:rPr>
          <w:rFonts w:hint="eastAsia"/>
          <w:color w:val="000000"/>
        </w:rPr>
      </w:pPr>
      <w:r>
        <w:rPr>
          <w:rFonts w:ascii="Songti SC" w:hAnsi="Songti SC" w:eastAsia="Songti SC" w:cs="Songti SC"/>
          <w:b/>
          <w:color w:val="000000"/>
        </w:rPr>
        <w:t>运行关注</w:t>
      </w:r>
    </w:p>
    <w:p w14:paraId="3FF7A8B9">
      <w:pPr>
        <w:ind w:firstLine="480"/>
        <w:rPr>
          <w:rFonts w:hint="eastAsia"/>
          <w:color w:val="000000"/>
        </w:rPr>
      </w:pPr>
      <w:r>
        <w:rPr>
          <w:rFonts w:ascii="Songti SC" w:hAnsi="Songti SC" w:eastAsia="Songti SC" w:cs="Songti SC"/>
          <w:color w:val="000000"/>
        </w:rPr>
        <w:t>早午餐高峰安排重点值守。</w:t>
      </w:r>
    </w:p>
    <w:p w14:paraId="1B10962E">
      <w:pPr>
        <w:ind w:firstLine="480"/>
        <w:rPr>
          <w:rFonts w:hint="eastAsia"/>
          <w:color w:val="000000"/>
        </w:rPr>
      </w:pPr>
      <w:r>
        <w:rPr>
          <w:rFonts w:ascii="Songti SC" w:hAnsi="Songti SC" w:eastAsia="Songti SC" w:cs="Songti SC"/>
          <w:color w:val="000000"/>
        </w:rPr>
        <w:t>财务对账问题优先处理。</w:t>
      </w:r>
    </w:p>
    <w:p w14:paraId="665E156F">
      <w:pPr>
        <w:numPr>
          <w:ilvl w:val="0"/>
          <w:numId w:val="47"/>
        </w:numPr>
        <w:ind w:firstLineChars="0"/>
        <w:rPr>
          <w:rFonts w:hint="eastAsia"/>
          <w:b/>
          <w:color w:val="000000"/>
        </w:rPr>
      </w:pPr>
      <w:r>
        <w:rPr>
          <w:rFonts w:ascii="Songti SC" w:hAnsi="Songti SC" w:eastAsia="Songti SC" w:cs="Songti SC"/>
          <w:b/>
          <w:color w:val="000000"/>
        </w:rPr>
        <w:t>运维交接</w:t>
      </w:r>
    </w:p>
    <w:p w14:paraId="42694267">
      <w:pPr>
        <w:ind w:firstLine="482"/>
        <w:rPr>
          <w:rFonts w:hint="eastAsia"/>
          <w:color w:val="000000"/>
        </w:rPr>
      </w:pPr>
      <w:r>
        <w:rPr>
          <w:rFonts w:ascii="Songti SC" w:hAnsi="Songti SC" w:eastAsia="Songti SC" w:cs="Songti SC"/>
          <w:b/>
          <w:color w:val="000000"/>
        </w:rPr>
        <w:t>工作目标：</w:t>
      </w:r>
      <w:r>
        <w:rPr>
          <w:rFonts w:ascii="Songti SC" w:hAnsi="Songti SC" w:eastAsia="Songti SC" w:cs="Songti SC"/>
          <w:color w:val="000000"/>
        </w:rPr>
        <w:t>让日常运维人员能够独立处理常见问题。</w:t>
      </w:r>
    </w:p>
    <w:p w14:paraId="5B2545A7">
      <w:pPr>
        <w:ind w:firstLine="482"/>
        <w:rPr>
          <w:rFonts w:hint="eastAsia"/>
          <w:color w:val="000000"/>
        </w:rPr>
      </w:pPr>
      <w:r>
        <w:rPr>
          <w:rFonts w:ascii="Songti SC" w:hAnsi="Songti SC" w:eastAsia="Songti SC" w:cs="Songti SC"/>
          <w:b/>
          <w:color w:val="000000"/>
        </w:rPr>
        <w:t>具体做法</w:t>
      </w:r>
    </w:p>
    <w:p w14:paraId="3FEE0883">
      <w:pPr>
        <w:ind w:firstLine="480"/>
        <w:rPr>
          <w:rFonts w:hint="eastAsia"/>
          <w:color w:val="000000"/>
        </w:rPr>
      </w:pPr>
      <w:r>
        <w:rPr>
          <w:rFonts w:ascii="Songti SC" w:hAnsi="Songti SC" w:eastAsia="Songti SC" w:cs="Songti SC"/>
          <w:color w:val="000000"/>
        </w:rPr>
        <w:t>交接系统访问地址、账号权限、配置项、日志目录、备份策略和消费机台账。</w:t>
      </w:r>
    </w:p>
    <w:p w14:paraId="29C95232">
      <w:pPr>
        <w:ind w:firstLine="480"/>
        <w:rPr>
          <w:rFonts w:hint="eastAsia"/>
          <w:color w:val="000000"/>
        </w:rPr>
      </w:pPr>
      <w:r>
        <w:rPr>
          <w:rFonts w:ascii="Songti SC" w:hAnsi="Songti SC" w:eastAsia="Songti SC" w:cs="Songti SC"/>
          <w:color w:val="000000"/>
        </w:rPr>
        <w:t>讲解充值异常、消费异常、补传异常、报表异常和接口异常处理路径。</w:t>
      </w:r>
    </w:p>
    <w:p w14:paraId="2B632261">
      <w:pPr>
        <w:ind w:firstLine="480"/>
        <w:rPr>
          <w:rFonts w:hint="eastAsia"/>
          <w:color w:val="000000"/>
        </w:rPr>
      </w:pPr>
      <w:r>
        <w:rPr>
          <w:rFonts w:ascii="Songti SC" w:hAnsi="Songti SC" w:eastAsia="Songti SC" w:cs="Songti SC"/>
          <w:color w:val="000000"/>
        </w:rPr>
        <w:t>明确问题升级联系人。</w:t>
      </w:r>
    </w:p>
    <w:p w14:paraId="152AB164">
      <w:pPr>
        <w:ind w:firstLine="482"/>
        <w:rPr>
          <w:rFonts w:hint="eastAsia"/>
          <w:color w:val="000000"/>
        </w:rPr>
      </w:pPr>
      <w:r>
        <w:rPr>
          <w:rFonts w:ascii="Songti SC" w:hAnsi="Songti SC" w:eastAsia="Songti SC" w:cs="Songti SC"/>
          <w:b/>
          <w:color w:val="000000"/>
        </w:rPr>
        <w:t>兼容适配关注</w:t>
      </w:r>
    </w:p>
    <w:p w14:paraId="21E40E1D">
      <w:pPr>
        <w:ind w:firstLine="480"/>
        <w:rPr>
          <w:rFonts w:hint="eastAsia"/>
          <w:color w:val="000000"/>
        </w:rPr>
      </w:pPr>
      <w:r>
        <w:rPr>
          <w:rFonts w:ascii="Songti SC" w:hAnsi="Songti SC" w:eastAsia="Songti SC" w:cs="Songti SC"/>
          <w:color w:val="000000"/>
        </w:rPr>
        <w:t>运维命令和目录路径使用服务器操作系统实际口径。</w:t>
      </w:r>
    </w:p>
    <w:p w14:paraId="44FE3EA2">
      <w:pPr>
        <w:ind w:firstLine="480"/>
        <w:rPr>
          <w:rFonts w:hint="eastAsia"/>
          <w:color w:val="000000"/>
        </w:rPr>
      </w:pPr>
      <w:r>
        <w:rPr>
          <w:rFonts w:ascii="Songti SC" w:hAnsi="Songti SC" w:eastAsia="Songti SC" w:cs="Songti SC"/>
          <w:color w:val="000000"/>
        </w:rPr>
        <w:t>数据库巡检和备份恢复使用数据库工具。</w:t>
      </w:r>
    </w:p>
    <w:p w14:paraId="68B5AD5B">
      <w:pPr>
        <w:ind w:firstLine="482"/>
        <w:rPr>
          <w:rFonts w:hint="eastAsia"/>
          <w:color w:val="000000"/>
        </w:rPr>
      </w:pPr>
      <w:r>
        <w:rPr>
          <w:rFonts w:ascii="Songti SC" w:hAnsi="Songti SC" w:eastAsia="Songti SC" w:cs="Songti SC"/>
          <w:b/>
          <w:color w:val="000000"/>
        </w:rPr>
        <w:t>运行关注</w:t>
      </w:r>
    </w:p>
    <w:p w14:paraId="1CC87A77">
      <w:pPr>
        <w:ind w:firstLine="480"/>
        <w:rPr>
          <w:rFonts w:hint="eastAsia"/>
          <w:color w:val="000000"/>
        </w:rPr>
      </w:pPr>
      <w:r>
        <w:rPr>
          <w:rFonts w:ascii="Songti SC" w:hAnsi="Songti SC" w:eastAsia="Songti SC" w:cs="Songti SC"/>
          <w:color w:val="000000"/>
        </w:rPr>
        <w:t>交接后仍保留试运行支持窗口。</w:t>
      </w:r>
    </w:p>
    <w:p w14:paraId="520EEB1D">
      <w:pPr>
        <w:ind w:firstLine="480"/>
        <w:rPr>
          <w:rFonts w:hint="eastAsia"/>
          <w:color w:val="000000"/>
        </w:rPr>
      </w:pPr>
      <w:r>
        <w:rPr>
          <w:rFonts w:ascii="Songti SC" w:hAnsi="Songti SC" w:eastAsia="Songti SC" w:cs="Songti SC"/>
          <w:color w:val="000000"/>
        </w:rPr>
        <w:t>关键运维操作留痕。</w:t>
      </w:r>
    </w:p>
    <w:p w14:paraId="215EA71B">
      <w:pPr>
        <w:numPr>
          <w:ilvl w:val="0"/>
          <w:numId w:val="47"/>
        </w:numPr>
        <w:ind w:firstLineChars="0"/>
        <w:rPr>
          <w:rFonts w:hint="eastAsia"/>
          <w:b/>
          <w:color w:val="000000"/>
        </w:rPr>
      </w:pPr>
      <w:r>
        <w:rPr>
          <w:rFonts w:ascii="Songti SC" w:hAnsi="Songti SC" w:eastAsia="Songti SC" w:cs="Songti SC"/>
          <w:b/>
          <w:color w:val="000000"/>
        </w:rPr>
        <w:t>业务培训</w:t>
      </w:r>
    </w:p>
    <w:p w14:paraId="473D7C0B">
      <w:pPr>
        <w:ind w:firstLine="482"/>
        <w:rPr>
          <w:rFonts w:hint="eastAsia"/>
          <w:color w:val="000000"/>
        </w:rPr>
      </w:pPr>
      <w:r>
        <w:rPr>
          <w:rFonts w:ascii="Songti SC" w:hAnsi="Songti SC" w:eastAsia="Songti SC" w:cs="Songti SC"/>
          <w:b/>
          <w:color w:val="000000"/>
        </w:rPr>
        <w:t>工作目标：</w:t>
      </w:r>
      <w:r>
        <w:rPr>
          <w:rFonts w:ascii="Songti SC" w:hAnsi="Songti SC" w:eastAsia="Songti SC" w:cs="Songti SC"/>
          <w:color w:val="000000"/>
        </w:rPr>
        <w:t>让业务和财务人员按新环境继续办理日常工作。</w:t>
      </w:r>
    </w:p>
    <w:p w14:paraId="1CCC858B">
      <w:pPr>
        <w:ind w:firstLine="482"/>
        <w:rPr>
          <w:rFonts w:hint="eastAsia"/>
          <w:color w:val="000000"/>
        </w:rPr>
      </w:pPr>
      <w:r>
        <w:rPr>
          <w:rFonts w:ascii="Songti SC" w:hAnsi="Songti SC" w:eastAsia="Songti SC" w:cs="Songti SC"/>
          <w:b/>
          <w:color w:val="000000"/>
        </w:rPr>
        <w:t>具体做法</w:t>
      </w:r>
    </w:p>
    <w:p w14:paraId="6D2BED46">
      <w:pPr>
        <w:ind w:firstLine="480"/>
        <w:rPr>
          <w:rFonts w:hint="eastAsia"/>
          <w:color w:val="000000"/>
        </w:rPr>
      </w:pPr>
      <w:r>
        <w:rPr>
          <w:rFonts w:ascii="Songti SC" w:hAnsi="Songti SC" w:eastAsia="Songti SC" w:cs="Songti SC"/>
          <w:color w:val="000000"/>
        </w:rPr>
        <w:t>培训人员注册、批量导入、挂失、离职、充值、退款、补贴和报表查询。</w:t>
      </w:r>
    </w:p>
    <w:p w14:paraId="493A9715">
      <w:pPr>
        <w:ind w:firstLine="480"/>
        <w:rPr>
          <w:rFonts w:hint="eastAsia"/>
          <w:color w:val="000000"/>
        </w:rPr>
      </w:pPr>
      <w:r>
        <w:rPr>
          <w:rFonts w:ascii="Songti SC" w:hAnsi="Songti SC" w:eastAsia="Songti SC" w:cs="Songti SC"/>
          <w:color w:val="000000"/>
        </w:rPr>
        <w:t>培训小程序充值问题查询和用户咨询处理。</w:t>
      </w:r>
    </w:p>
    <w:p w14:paraId="67C2D5D2">
      <w:pPr>
        <w:ind w:firstLine="480"/>
        <w:rPr>
          <w:rFonts w:hint="eastAsia"/>
          <w:color w:val="000000"/>
        </w:rPr>
      </w:pPr>
      <w:r>
        <w:rPr>
          <w:rFonts w:ascii="Songti SC" w:hAnsi="Songti SC" w:eastAsia="Songti SC" w:cs="Songti SC"/>
          <w:color w:val="000000"/>
        </w:rPr>
        <w:t>培训消费机状态查询和常见异常识别。</w:t>
      </w:r>
    </w:p>
    <w:p w14:paraId="3891C749">
      <w:pPr>
        <w:ind w:firstLine="482"/>
        <w:rPr>
          <w:rFonts w:hint="eastAsia"/>
          <w:color w:val="000000"/>
        </w:rPr>
      </w:pPr>
      <w:r>
        <w:rPr>
          <w:rFonts w:ascii="Songti SC" w:hAnsi="Songti SC" w:eastAsia="Songti SC" w:cs="Songti SC"/>
          <w:b/>
          <w:color w:val="000000"/>
        </w:rPr>
        <w:t>兼容适配关注</w:t>
      </w:r>
    </w:p>
    <w:p w14:paraId="4B9707DF">
      <w:pPr>
        <w:ind w:firstLine="480"/>
        <w:rPr>
          <w:rFonts w:hint="eastAsia"/>
          <w:color w:val="000000"/>
        </w:rPr>
      </w:pPr>
      <w:r>
        <w:rPr>
          <w:rFonts w:ascii="Songti SC" w:hAnsi="Songti SC" w:eastAsia="Songti SC" w:cs="Songti SC"/>
          <w:color w:val="000000"/>
        </w:rPr>
        <w:t>培训用语侧重业务办理，不强调底层技术。</w:t>
      </w:r>
    </w:p>
    <w:p w14:paraId="7C15D35E">
      <w:pPr>
        <w:ind w:firstLine="480"/>
        <w:rPr>
          <w:rFonts w:hint="eastAsia"/>
          <w:color w:val="000000"/>
        </w:rPr>
      </w:pPr>
      <w:r>
        <w:rPr>
          <w:rFonts w:ascii="Songti SC" w:hAnsi="Songti SC" w:eastAsia="Songti SC" w:cs="Songti SC"/>
          <w:color w:val="000000"/>
        </w:rPr>
        <w:t>系统菜单名称与实际功能保持一致。</w:t>
      </w:r>
    </w:p>
    <w:p w14:paraId="6C5AC9C9">
      <w:pPr>
        <w:ind w:firstLine="482"/>
        <w:rPr>
          <w:rFonts w:hint="eastAsia"/>
          <w:color w:val="000000"/>
        </w:rPr>
      </w:pPr>
      <w:r>
        <w:rPr>
          <w:rFonts w:ascii="Songti SC" w:hAnsi="Songti SC" w:eastAsia="Songti SC" w:cs="Songti SC"/>
          <w:b/>
          <w:color w:val="000000"/>
        </w:rPr>
        <w:t>运行关注</w:t>
      </w:r>
    </w:p>
    <w:p w14:paraId="71FC21F9">
      <w:pPr>
        <w:ind w:firstLine="480"/>
        <w:rPr>
          <w:rFonts w:hint="eastAsia"/>
          <w:color w:val="000000"/>
        </w:rPr>
      </w:pPr>
      <w:r>
        <w:rPr>
          <w:rFonts w:ascii="Songti SC" w:hAnsi="Songti SC" w:eastAsia="Songti SC" w:cs="Songti SC"/>
          <w:color w:val="000000"/>
        </w:rPr>
        <w:t>培训后收集高频问题并优化操作说明。</w:t>
      </w:r>
    </w:p>
    <w:p w14:paraId="70B03455">
      <w:pPr>
        <w:ind w:firstLine="480"/>
        <w:rPr>
          <w:rFonts w:hint="eastAsia"/>
          <w:color w:val="000000"/>
        </w:rPr>
      </w:pPr>
      <w:r>
        <w:rPr>
          <w:rFonts w:ascii="Songti SC" w:hAnsi="Songti SC" w:eastAsia="Songti SC" w:cs="Songti SC"/>
          <w:color w:val="000000"/>
        </w:rPr>
        <w:t>财务功能培训单独覆盖对账和余额核对。</w:t>
      </w:r>
    </w:p>
    <w:p w14:paraId="32D489DB">
      <w:pPr>
        <w:numPr>
          <w:ilvl w:val="0"/>
          <w:numId w:val="47"/>
        </w:numPr>
        <w:ind w:firstLineChars="0"/>
        <w:rPr>
          <w:rFonts w:hint="eastAsia"/>
          <w:b/>
          <w:color w:val="000000"/>
        </w:rPr>
      </w:pPr>
      <w:r>
        <w:rPr>
          <w:rFonts w:ascii="Songti SC" w:hAnsi="Songti SC" w:eastAsia="Songti SC" w:cs="Songti SC"/>
          <w:b/>
          <w:color w:val="000000"/>
        </w:rPr>
        <w:t>运行复盘与持续优化</w:t>
      </w:r>
    </w:p>
    <w:p w14:paraId="1EB95C78">
      <w:pPr>
        <w:ind w:firstLine="482"/>
        <w:rPr>
          <w:rFonts w:hint="eastAsia"/>
          <w:color w:val="000000"/>
        </w:rPr>
      </w:pPr>
      <w:r>
        <w:rPr>
          <w:rFonts w:ascii="Songti SC" w:hAnsi="Songti SC" w:eastAsia="Songti SC" w:cs="Songti SC"/>
          <w:b/>
          <w:color w:val="000000"/>
        </w:rPr>
        <w:t>工作目标：</w:t>
      </w:r>
      <w:r>
        <w:rPr>
          <w:rFonts w:ascii="Songti SC" w:hAnsi="Songti SC" w:eastAsia="Songti SC" w:cs="Songti SC"/>
          <w:color w:val="000000"/>
        </w:rPr>
        <w:t>上线稳定后总结运行问题，形成持续优化方向。</w:t>
      </w:r>
    </w:p>
    <w:p w14:paraId="481D2D21">
      <w:pPr>
        <w:ind w:firstLine="482"/>
        <w:rPr>
          <w:rFonts w:hint="eastAsia"/>
          <w:color w:val="000000"/>
        </w:rPr>
      </w:pPr>
      <w:r>
        <w:rPr>
          <w:rFonts w:ascii="Songti SC" w:hAnsi="Songti SC" w:eastAsia="Songti SC" w:cs="Songti SC"/>
          <w:b/>
          <w:color w:val="000000"/>
        </w:rPr>
        <w:t>具体做法</w:t>
      </w:r>
    </w:p>
    <w:p w14:paraId="2259140C">
      <w:pPr>
        <w:ind w:firstLine="480"/>
        <w:rPr>
          <w:rFonts w:hint="eastAsia"/>
          <w:color w:val="000000"/>
        </w:rPr>
      </w:pPr>
      <w:r>
        <w:rPr>
          <w:rFonts w:ascii="Songti SC" w:hAnsi="Songti SC" w:eastAsia="Songti SC" w:cs="Songti SC"/>
          <w:color w:val="000000"/>
        </w:rPr>
        <w:t>梳理试运行期间充值、消费、补传、报表、权限和接口问题。</w:t>
      </w:r>
    </w:p>
    <w:p w14:paraId="4E62C7A8">
      <w:pPr>
        <w:ind w:firstLine="480"/>
        <w:rPr>
          <w:rFonts w:hint="eastAsia"/>
          <w:color w:val="000000"/>
        </w:rPr>
      </w:pPr>
      <w:r>
        <w:rPr>
          <w:rFonts w:ascii="Songti SC" w:hAnsi="Songti SC" w:eastAsia="Songti SC" w:cs="Songti SC"/>
          <w:color w:val="000000"/>
        </w:rPr>
        <w:t>识别可通过参数、流程或功能优化解决的事项。</w:t>
      </w:r>
    </w:p>
    <w:p w14:paraId="3E9253D2">
      <w:pPr>
        <w:ind w:firstLine="480"/>
        <w:rPr>
          <w:rFonts w:hint="eastAsia"/>
          <w:color w:val="000000"/>
        </w:rPr>
      </w:pPr>
      <w:r>
        <w:rPr>
          <w:rFonts w:ascii="Songti SC" w:hAnsi="Songti SC" w:eastAsia="Songti SC" w:cs="Songti SC"/>
          <w:color w:val="000000"/>
        </w:rPr>
        <w:t>形成后续优化建议，避免影响当前立项范围。</w:t>
      </w:r>
    </w:p>
    <w:p w14:paraId="0EA66653">
      <w:pPr>
        <w:ind w:firstLine="482"/>
        <w:rPr>
          <w:rFonts w:hint="eastAsia"/>
          <w:color w:val="000000"/>
        </w:rPr>
      </w:pPr>
      <w:r>
        <w:rPr>
          <w:rFonts w:ascii="Songti SC" w:hAnsi="Songti SC" w:eastAsia="Songti SC" w:cs="Songti SC"/>
          <w:b/>
          <w:color w:val="000000"/>
        </w:rPr>
        <w:t>兼容适配关注</w:t>
      </w:r>
    </w:p>
    <w:p w14:paraId="20B03920">
      <w:pPr>
        <w:ind w:firstLine="480"/>
        <w:rPr>
          <w:rFonts w:hint="eastAsia"/>
          <w:color w:val="000000"/>
        </w:rPr>
      </w:pPr>
      <w:r>
        <w:rPr>
          <w:rFonts w:ascii="Songti SC" w:hAnsi="Songti SC" w:eastAsia="Songti SC" w:cs="Songti SC"/>
          <w:color w:val="000000"/>
        </w:rPr>
        <w:t>优化建议区分兼容适配问题和业务新增需求。</w:t>
      </w:r>
    </w:p>
    <w:p w14:paraId="238C323B">
      <w:pPr>
        <w:ind w:firstLine="480"/>
        <w:rPr>
          <w:rFonts w:hint="eastAsia"/>
          <w:color w:val="000000"/>
        </w:rPr>
      </w:pPr>
      <w:r>
        <w:rPr>
          <w:rFonts w:ascii="Songti SC" w:hAnsi="Songti SC" w:eastAsia="Songti SC" w:cs="Songti SC"/>
          <w:color w:val="000000"/>
        </w:rPr>
        <w:t>涉及数据库、接口和消费机软件的优化需评估影响范围。</w:t>
      </w:r>
    </w:p>
    <w:p w14:paraId="546FBE59">
      <w:pPr>
        <w:ind w:firstLine="482"/>
        <w:rPr>
          <w:rFonts w:hint="eastAsia"/>
          <w:color w:val="000000"/>
        </w:rPr>
      </w:pPr>
      <w:r>
        <w:rPr>
          <w:rFonts w:ascii="Songti SC" w:hAnsi="Songti SC" w:eastAsia="Songti SC" w:cs="Songti SC"/>
          <w:b/>
          <w:color w:val="000000"/>
        </w:rPr>
        <w:t>运行关注</w:t>
      </w:r>
    </w:p>
    <w:p w14:paraId="5DE65005">
      <w:pPr>
        <w:ind w:firstLine="480"/>
        <w:rPr>
          <w:rFonts w:hint="eastAsia"/>
          <w:color w:val="000000"/>
        </w:rPr>
      </w:pPr>
      <w:r>
        <w:rPr>
          <w:rFonts w:ascii="Songti SC" w:hAnsi="Songti SC" w:eastAsia="Songti SC" w:cs="Songti SC"/>
          <w:color w:val="000000"/>
        </w:rPr>
        <w:t>持续关注消费机在线率、充值成功率、账务差异和用户反馈。</w:t>
      </w:r>
    </w:p>
    <w:p w14:paraId="6798BB09">
      <w:pPr>
        <w:ind w:firstLine="480"/>
        <w:rPr>
          <w:rFonts w:hint="eastAsia"/>
          <w:color w:val="000000"/>
        </w:rPr>
      </w:pPr>
      <w:r>
        <w:rPr>
          <w:rFonts w:ascii="Songti SC" w:hAnsi="Songti SC" w:eastAsia="Songti SC" w:cs="Songti SC"/>
          <w:color w:val="000000"/>
        </w:rPr>
        <w:t>后续优化以业务连续和财务准确为优先。</w:t>
      </w:r>
    </w:p>
    <w:p w14:paraId="694C45B3">
      <w:pPr>
        <w:numPr>
          <w:ilvl w:val="0"/>
          <w:numId w:val="47"/>
        </w:numPr>
        <w:ind w:firstLineChars="0"/>
        <w:rPr>
          <w:rFonts w:hint="eastAsia"/>
          <w:b/>
          <w:color w:val="000000"/>
        </w:rPr>
      </w:pPr>
      <w:r>
        <w:rPr>
          <w:rFonts w:ascii="Songti SC" w:hAnsi="Songti SC" w:eastAsia="Songti SC" w:cs="Songti SC"/>
          <w:b/>
          <w:color w:val="000000"/>
        </w:rPr>
        <w:t>餐次与营业时段配置</w:t>
      </w:r>
    </w:p>
    <w:p w14:paraId="2E1AC06A">
      <w:pPr>
        <w:ind w:firstLine="482"/>
        <w:rPr>
          <w:rFonts w:hint="eastAsia"/>
          <w:color w:val="000000"/>
        </w:rPr>
      </w:pPr>
      <w:r>
        <w:rPr>
          <w:rFonts w:ascii="Songti SC" w:hAnsi="Songti SC" w:eastAsia="Songti SC" w:cs="Songti SC"/>
          <w:b/>
          <w:color w:val="000000"/>
        </w:rPr>
        <w:t>工作目标：</w:t>
      </w:r>
      <w:r>
        <w:rPr>
          <w:rFonts w:ascii="Songti SC" w:hAnsi="Songti SC" w:eastAsia="Songti SC" w:cs="Songti SC"/>
          <w:color w:val="000000"/>
        </w:rPr>
        <w:t>把早餐、午餐、晚餐和临时供餐等业务时段转化为系统可执行规则。</w:t>
      </w:r>
    </w:p>
    <w:p w14:paraId="53547AEC">
      <w:pPr>
        <w:ind w:firstLine="482"/>
        <w:rPr>
          <w:rFonts w:hint="eastAsia"/>
          <w:color w:val="000000"/>
        </w:rPr>
      </w:pPr>
      <w:r>
        <w:rPr>
          <w:rFonts w:ascii="Songti SC" w:hAnsi="Songti SC" w:eastAsia="Songti SC" w:cs="Songti SC"/>
          <w:b/>
          <w:color w:val="000000"/>
        </w:rPr>
        <w:t>具体做法</w:t>
      </w:r>
    </w:p>
    <w:p w14:paraId="6AFC9675">
      <w:pPr>
        <w:ind w:firstLine="480"/>
        <w:rPr>
          <w:rFonts w:hint="eastAsia"/>
          <w:color w:val="000000"/>
        </w:rPr>
      </w:pPr>
      <w:r>
        <w:rPr>
          <w:rFonts w:ascii="Songti SC" w:hAnsi="Songti SC" w:eastAsia="Songti SC" w:cs="Songti SC"/>
          <w:color w:val="000000"/>
        </w:rPr>
        <w:t>梳理各办公区食堂餐次名称、开始时间、结束时间和可用。</w:t>
      </w:r>
    </w:p>
    <w:p w14:paraId="772507D4">
      <w:pPr>
        <w:ind w:firstLine="480"/>
        <w:rPr>
          <w:rFonts w:hint="eastAsia"/>
          <w:color w:val="000000"/>
        </w:rPr>
      </w:pPr>
      <w:r>
        <w:rPr>
          <w:rFonts w:ascii="Songti SC" w:hAnsi="Songti SC" w:eastAsia="Songti SC" w:cs="Songti SC"/>
          <w:color w:val="000000"/>
        </w:rPr>
        <w:t>配置每个餐次的消费次数、可用消费方式和特殊日期规则。</w:t>
      </w:r>
    </w:p>
    <w:p w14:paraId="62AA3DA2">
      <w:pPr>
        <w:ind w:firstLine="480"/>
        <w:rPr>
          <w:rFonts w:hint="eastAsia"/>
          <w:color w:val="000000"/>
        </w:rPr>
      </w:pPr>
      <w:r>
        <w:rPr>
          <w:rFonts w:ascii="Songti SC" w:hAnsi="Songti SC" w:eastAsia="Songti SC" w:cs="Songti SC"/>
          <w:color w:val="000000"/>
        </w:rPr>
        <w:t>将餐次规则同步到消费策略和消费机参数。</w:t>
      </w:r>
    </w:p>
    <w:p w14:paraId="380B662A">
      <w:pPr>
        <w:ind w:firstLine="482"/>
        <w:rPr>
          <w:rFonts w:hint="eastAsia"/>
          <w:color w:val="000000"/>
        </w:rPr>
      </w:pPr>
      <w:r>
        <w:rPr>
          <w:rFonts w:ascii="Songti SC" w:hAnsi="Songti SC" w:eastAsia="Songti SC" w:cs="Songti SC"/>
          <w:b/>
          <w:color w:val="000000"/>
        </w:rPr>
        <w:t>兼容适配关注</w:t>
      </w:r>
    </w:p>
    <w:p w14:paraId="285B2BD5">
      <w:pPr>
        <w:ind w:firstLine="480"/>
        <w:rPr>
          <w:rFonts w:hint="eastAsia"/>
          <w:color w:val="000000"/>
        </w:rPr>
      </w:pPr>
      <w:r>
        <w:rPr>
          <w:rFonts w:ascii="Songti SC" w:hAnsi="Songti SC" w:eastAsia="Songti SC" w:cs="Songti SC"/>
          <w:color w:val="000000"/>
        </w:rPr>
        <w:t>服务器时间、数据库时间和消费机时间保持一致。</w:t>
      </w:r>
    </w:p>
    <w:p w14:paraId="4CAD444C">
      <w:pPr>
        <w:ind w:firstLine="480"/>
        <w:rPr>
          <w:rFonts w:hint="eastAsia"/>
          <w:color w:val="000000"/>
        </w:rPr>
      </w:pPr>
      <w:r>
        <w:rPr>
          <w:rFonts w:ascii="Songti SC" w:hAnsi="Songti SC" w:eastAsia="Songti SC" w:cs="Songti SC"/>
          <w:color w:val="000000"/>
        </w:rPr>
        <w:t>餐次字段在数据库中统一编码，避免同名不同义。</w:t>
      </w:r>
    </w:p>
    <w:p w14:paraId="2E22011C">
      <w:pPr>
        <w:ind w:firstLine="482"/>
        <w:rPr>
          <w:rFonts w:hint="eastAsia"/>
          <w:color w:val="000000"/>
        </w:rPr>
      </w:pPr>
      <w:r>
        <w:rPr>
          <w:rFonts w:ascii="Songti SC" w:hAnsi="Songti SC" w:eastAsia="Songti SC" w:cs="Songti SC"/>
          <w:b/>
          <w:color w:val="000000"/>
        </w:rPr>
        <w:t>运行关注</w:t>
      </w:r>
    </w:p>
    <w:p w14:paraId="69915F6B">
      <w:pPr>
        <w:ind w:firstLine="480"/>
        <w:rPr>
          <w:rFonts w:hint="eastAsia"/>
          <w:color w:val="000000"/>
        </w:rPr>
      </w:pPr>
      <w:r>
        <w:rPr>
          <w:rFonts w:ascii="Songti SC" w:hAnsi="Songti SC" w:eastAsia="Songti SC" w:cs="Songti SC"/>
          <w:color w:val="000000"/>
        </w:rPr>
        <w:t>餐次调整应提前通知食堂和现场人员。</w:t>
      </w:r>
    </w:p>
    <w:p w14:paraId="09067A52">
      <w:pPr>
        <w:ind w:firstLine="480"/>
        <w:rPr>
          <w:rFonts w:hint="eastAsia"/>
          <w:color w:val="000000"/>
        </w:rPr>
      </w:pPr>
      <w:r>
        <w:rPr>
          <w:rFonts w:ascii="Songti SC" w:hAnsi="Songti SC" w:eastAsia="Songti SC" w:cs="Songti SC"/>
          <w:color w:val="000000"/>
        </w:rPr>
        <w:t>餐次异常会直接影响现场能否消费。</w:t>
      </w:r>
    </w:p>
    <w:p w14:paraId="588F4539">
      <w:pPr>
        <w:numPr>
          <w:ilvl w:val="0"/>
          <w:numId w:val="47"/>
        </w:numPr>
        <w:ind w:firstLineChars="0"/>
        <w:rPr>
          <w:rFonts w:hint="eastAsia"/>
          <w:b/>
          <w:color w:val="000000"/>
        </w:rPr>
      </w:pPr>
      <w:r>
        <w:rPr>
          <w:rFonts w:ascii="Songti SC" w:hAnsi="Songti SC" w:eastAsia="Songti SC" w:cs="Songti SC"/>
          <w:b/>
          <w:color w:val="000000"/>
        </w:rPr>
        <w:t>餐厅类型与结算口径配置</w:t>
      </w:r>
    </w:p>
    <w:p w14:paraId="0B5F86B5">
      <w:pPr>
        <w:ind w:firstLine="482"/>
        <w:rPr>
          <w:rFonts w:hint="eastAsia"/>
          <w:color w:val="000000"/>
        </w:rPr>
      </w:pPr>
      <w:r>
        <w:rPr>
          <w:rFonts w:ascii="Songti SC" w:hAnsi="Songti SC" w:eastAsia="Songti SC" w:cs="Songti SC"/>
          <w:b/>
          <w:color w:val="000000"/>
        </w:rPr>
        <w:t>工作目标：</w:t>
      </w:r>
      <w:r>
        <w:rPr>
          <w:rFonts w:ascii="Songti SC" w:hAnsi="Songti SC" w:eastAsia="Songti SC" w:cs="Songti SC"/>
          <w:color w:val="000000"/>
        </w:rPr>
        <w:t>为不同办公区、餐厅和建立清晰的结算和统计口径。</w:t>
      </w:r>
    </w:p>
    <w:p w14:paraId="6ABF8FEA">
      <w:pPr>
        <w:ind w:firstLine="482"/>
        <w:rPr>
          <w:rFonts w:hint="eastAsia"/>
          <w:color w:val="000000"/>
        </w:rPr>
      </w:pPr>
      <w:r>
        <w:rPr>
          <w:rFonts w:ascii="Songti SC" w:hAnsi="Songti SC" w:eastAsia="Songti SC" w:cs="Songti SC"/>
          <w:b/>
          <w:color w:val="000000"/>
        </w:rPr>
        <w:t>具体做法</w:t>
      </w:r>
    </w:p>
    <w:p w14:paraId="5200ECC2">
      <w:pPr>
        <w:ind w:firstLine="480"/>
        <w:rPr>
          <w:rFonts w:hint="eastAsia"/>
          <w:color w:val="000000"/>
        </w:rPr>
      </w:pPr>
      <w:r>
        <w:rPr>
          <w:rFonts w:ascii="Songti SC" w:hAnsi="Songti SC" w:eastAsia="Songti SC" w:cs="Songti SC"/>
          <w:color w:val="000000"/>
        </w:rPr>
        <w:t>确认餐厅类型、归属、营业状态和结算责任。</w:t>
      </w:r>
    </w:p>
    <w:p w14:paraId="0887A5C6">
      <w:pPr>
        <w:ind w:firstLine="480"/>
        <w:rPr>
          <w:rFonts w:hint="eastAsia"/>
          <w:color w:val="000000"/>
        </w:rPr>
      </w:pPr>
      <w:r>
        <w:rPr>
          <w:rFonts w:ascii="Songti SC" w:hAnsi="Songti SC" w:eastAsia="Songti SC" w:cs="Songti SC"/>
          <w:color w:val="000000"/>
        </w:rPr>
        <w:t>设置餐厅、与消费机、菜品、订单之间的关联。</w:t>
      </w:r>
    </w:p>
    <w:p w14:paraId="56EF417E">
      <w:pPr>
        <w:ind w:firstLine="480"/>
        <w:rPr>
          <w:rFonts w:hint="eastAsia"/>
          <w:color w:val="000000"/>
        </w:rPr>
      </w:pPr>
      <w:r>
        <w:rPr>
          <w:rFonts w:ascii="Songti SC" w:hAnsi="Songti SC" w:eastAsia="Songti SC" w:cs="Songti SC"/>
          <w:color w:val="000000"/>
        </w:rPr>
        <w:t>明确历史停用的查询和统计处理方式。</w:t>
      </w:r>
    </w:p>
    <w:p w14:paraId="33B07131">
      <w:pPr>
        <w:ind w:firstLine="482"/>
        <w:rPr>
          <w:rFonts w:hint="eastAsia"/>
          <w:color w:val="000000"/>
        </w:rPr>
      </w:pPr>
      <w:r>
        <w:rPr>
          <w:rFonts w:ascii="Songti SC" w:hAnsi="Songti SC" w:eastAsia="Songti SC" w:cs="Songti SC"/>
          <w:b/>
          <w:color w:val="000000"/>
        </w:rPr>
        <w:t>兼容适配关注</w:t>
      </w:r>
    </w:p>
    <w:p w14:paraId="12F3264B">
      <w:pPr>
        <w:ind w:firstLine="480"/>
        <w:rPr>
          <w:rFonts w:hint="eastAsia"/>
          <w:color w:val="000000"/>
        </w:rPr>
      </w:pPr>
      <w:r>
        <w:rPr>
          <w:rFonts w:ascii="Songti SC" w:hAnsi="Songti SC" w:eastAsia="Songti SC" w:cs="Songti SC"/>
          <w:color w:val="000000"/>
        </w:rPr>
        <w:t>数据库中保持餐厅、订单的稳定关联。</w:t>
      </w:r>
    </w:p>
    <w:p w14:paraId="1510B549">
      <w:pPr>
        <w:ind w:firstLine="480"/>
        <w:rPr>
          <w:rFonts w:hint="eastAsia"/>
          <w:color w:val="000000"/>
        </w:rPr>
      </w:pPr>
      <w:r>
        <w:rPr>
          <w:rFonts w:ascii="Songti SC" w:hAnsi="Songti SC" w:eastAsia="Songti SC" w:cs="Songti SC"/>
          <w:color w:val="000000"/>
        </w:rPr>
        <w:t>名称变更不影响历史订单归属。</w:t>
      </w:r>
    </w:p>
    <w:p w14:paraId="3D07612D">
      <w:pPr>
        <w:ind w:firstLine="482"/>
        <w:rPr>
          <w:rFonts w:hint="eastAsia"/>
          <w:color w:val="000000"/>
        </w:rPr>
      </w:pPr>
      <w:r>
        <w:rPr>
          <w:rFonts w:ascii="Songti SC" w:hAnsi="Songti SC" w:eastAsia="Songti SC" w:cs="Songti SC"/>
          <w:b/>
          <w:color w:val="000000"/>
        </w:rPr>
        <w:t>运行关注</w:t>
      </w:r>
    </w:p>
    <w:p w14:paraId="5F27C2E7">
      <w:pPr>
        <w:ind w:firstLine="480"/>
        <w:rPr>
          <w:rFonts w:hint="eastAsia"/>
          <w:color w:val="000000"/>
        </w:rPr>
      </w:pPr>
      <w:r>
        <w:rPr>
          <w:rFonts w:ascii="Songti SC" w:hAnsi="Songti SC" w:eastAsia="Songti SC" w:cs="Songti SC"/>
          <w:color w:val="000000"/>
        </w:rPr>
        <w:t>经营报表异常时先检查餐厅配置。</w:t>
      </w:r>
    </w:p>
    <w:p w14:paraId="136D03AB">
      <w:pPr>
        <w:ind w:firstLine="480"/>
        <w:rPr>
          <w:rFonts w:hint="eastAsia"/>
          <w:color w:val="000000"/>
        </w:rPr>
      </w:pPr>
      <w:r>
        <w:rPr>
          <w:rFonts w:ascii="Songti SC" w:hAnsi="Songti SC" w:eastAsia="Songti SC" w:cs="Songti SC"/>
          <w:color w:val="000000"/>
        </w:rPr>
        <w:t>停用前确认未处理订单和报表口径。</w:t>
      </w:r>
    </w:p>
    <w:p w14:paraId="5832723D">
      <w:pPr>
        <w:numPr>
          <w:ilvl w:val="0"/>
          <w:numId w:val="47"/>
        </w:numPr>
        <w:ind w:firstLineChars="0"/>
        <w:rPr>
          <w:rFonts w:hint="eastAsia"/>
          <w:b/>
          <w:color w:val="000000"/>
        </w:rPr>
      </w:pPr>
      <w:r>
        <w:rPr>
          <w:rFonts w:ascii="Songti SC" w:hAnsi="Songti SC" w:eastAsia="Songti SC" w:cs="Songti SC"/>
          <w:b/>
          <w:color w:val="000000"/>
        </w:rPr>
        <w:t>消息通知任务适配</w:t>
      </w:r>
    </w:p>
    <w:p w14:paraId="22557411">
      <w:pPr>
        <w:ind w:firstLine="482"/>
        <w:rPr>
          <w:rFonts w:hint="eastAsia"/>
          <w:color w:val="000000"/>
        </w:rPr>
      </w:pPr>
      <w:r>
        <w:rPr>
          <w:rFonts w:ascii="Songti SC" w:hAnsi="Songti SC" w:eastAsia="Songti SC" w:cs="Songti SC"/>
          <w:b/>
          <w:color w:val="000000"/>
        </w:rPr>
        <w:t>工作目标：</w:t>
      </w:r>
      <w:r>
        <w:rPr>
          <w:rFonts w:ascii="Songti SC" w:hAnsi="Songti SC" w:eastAsia="Songti SC" w:cs="Songti SC"/>
          <w:color w:val="000000"/>
        </w:rPr>
        <w:t>保障充值成功、订单完成、支付失败等通知能及时触达或可查询。</w:t>
      </w:r>
    </w:p>
    <w:p w14:paraId="435264DA">
      <w:pPr>
        <w:ind w:firstLine="482"/>
        <w:rPr>
          <w:rFonts w:hint="eastAsia"/>
          <w:color w:val="000000"/>
        </w:rPr>
      </w:pPr>
      <w:r>
        <w:rPr>
          <w:rFonts w:ascii="Songti SC" w:hAnsi="Songti SC" w:eastAsia="Songti SC" w:cs="Songti SC"/>
          <w:b/>
          <w:color w:val="000000"/>
        </w:rPr>
        <w:t>具体做法</w:t>
      </w:r>
    </w:p>
    <w:p w14:paraId="4AF3CD45">
      <w:pPr>
        <w:ind w:firstLine="480"/>
        <w:rPr>
          <w:rFonts w:hint="eastAsia"/>
          <w:color w:val="000000"/>
        </w:rPr>
      </w:pPr>
      <w:r>
        <w:rPr>
          <w:rFonts w:ascii="Songti SC" w:hAnsi="Songti SC" w:eastAsia="Songti SC" w:cs="Songti SC"/>
          <w:color w:val="000000"/>
        </w:rPr>
        <w:t>梳理订单完成通知、充值成功通知、订单支付失败通知等消息类型。</w:t>
      </w:r>
    </w:p>
    <w:p w14:paraId="0616B440">
      <w:pPr>
        <w:ind w:firstLine="480"/>
        <w:rPr>
          <w:rFonts w:hint="eastAsia"/>
          <w:color w:val="000000"/>
        </w:rPr>
      </w:pPr>
      <w:r>
        <w:rPr>
          <w:rFonts w:ascii="Songti SC" w:hAnsi="Songti SC" w:eastAsia="Songti SC" w:cs="Songti SC"/>
          <w:color w:val="000000"/>
        </w:rPr>
        <w:t>配置消息模板、发送条件、失败重试和发送日志。</w:t>
      </w:r>
    </w:p>
    <w:p w14:paraId="300DA91B">
      <w:pPr>
        <w:ind w:firstLine="480"/>
        <w:rPr>
          <w:rFonts w:hint="eastAsia"/>
          <w:color w:val="000000"/>
        </w:rPr>
      </w:pPr>
      <w:r>
        <w:rPr>
          <w:rFonts w:ascii="Songti SC" w:hAnsi="Songti SC" w:eastAsia="Songti SC" w:cs="Songti SC"/>
          <w:color w:val="000000"/>
        </w:rPr>
        <w:t>管理端可按人员、订单和时间查询消息发送状态。</w:t>
      </w:r>
    </w:p>
    <w:p w14:paraId="171D50F2">
      <w:pPr>
        <w:ind w:firstLine="482"/>
        <w:rPr>
          <w:rFonts w:hint="eastAsia"/>
          <w:color w:val="000000"/>
        </w:rPr>
      </w:pPr>
      <w:r>
        <w:rPr>
          <w:rFonts w:ascii="Songti SC" w:hAnsi="Songti SC" w:eastAsia="Songti SC" w:cs="Songti SC"/>
          <w:b/>
          <w:color w:val="000000"/>
        </w:rPr>
        <w:t>兼容适配关注</w:t>
      </w:r>
    </w:p>
    <w:p w14:paraId="5AB7091D">
      <w:pPr>
        <w:ind w:firstLine="480"/>
        <w:rPr>
          <w:rFonts w:hint="eastAsia"/>
          <w:color w:val="000000"/>
        </w:rPr>
      </w:pPr>
      <w:r>
        <w:rPr>
          <w:rFonts w:ascii="Songti SC" w:hAnsi="Songti SC" w:eastAsia="Songti SC" w:cs="Songti SC"/>
          <w:color w:val="000000"/>
        </w:rPr>
        <w:t>消息任务适配服务器操作系统定时任务和网络访问。</w:t>
      </w:r>
    </w:p>
    <w:p w14:paraId="3AE57607">
      <w:pPr>
        <w:ind w:firstLine="480"/>
        <w:rPr>
          <w:rFonts w:hint="eastAsia"/>
          <w:color w:val="000000"/>
        </w:rPr>
      </w:pPr>
      <w:r>
        <w:rPr>
          <w:rFonts w:ascii="Songti SC" w:hAnsi="Songti SC" w:eastAsia="Songti SC" w:cs="Songti SC"/>
          <w:color w:val="000000"/>
        </w:rPr>
        <w:t>通知内容避免展示完整卡号、人脸等敏感信息。</w:t>
      </w:r>
    </w:p>
    <w:p w14:paraId="0FEDB1E1">
      <w:pPr>
        <w:ind w:firstLine="482"/>
        <w:rPr>
          <w:rFonts w:hint="eastAsia"/>
          <w:color w:val="000000"/>
        </w:rPr>
      </w:pPr>
      <w:r>
        <w:rPr>
          <w:rFonts w:ascii="Songti SC" w:hAnsi="Songti SC" w:eastAsia="Songti SC" w:cs="Songti SC"/>
          <w:b/>
          <w:color w:val="000000"/>
        </w:rPr>
        <w:t>运行关注</w:t>
      </w:r>
    </w:p>
    <w:p w14:paraId="2CCDB538">
      <w:pPr>
        <w:ind w:firstLine="480"/>
        <w:rPr>
          <w:rFonts w:hint="eastAsia"/>
          <w:color w:val="000000"/>
        </w:rPr>
      </w:pPr>
      <w:r>
        <w:rPr>
          <w:rFonts w:ascii="Songti SC" w:hAnsi="Songti SC" w:eastAsia="Songti SC" w:cs="Songti SC"/>
          <w:color w:val="000000"/>
        </w:rPr>
        <w:t>消息失败不影响主交易结果。</w:t>
      </w:r>
    </w:p>
    <w:p w14:paraId="6AADECD3">
      <w:pPr>
        <w:ind w:firstLine="480"/>
        <w:rPr>
          <w:rFonts w:hint="eastAsia"/>
          <w:color w:val="000000"/>
        </w:rPr>
      </w:pPr>
      <w:r>
        <w:rPr>
          <w:rFonts w:ascii="Songti SC" w:hAnsi="Songti SC" w:eastAsia="Songti SC" w:cs="Songti SC"/>
          <w:color w:val="000000"/>
        </w:rPr>
        <w:t>用户反馈未收到通知时以订单和账户流水为准。</w:t>
      </w:r>
    </w:p>
    <w:p w14:paraId="2D633F6F">
      <w:pPr>
        <w:numPr>
          <w:ilvl w:val="0"/>
          <w:numId w:val="47"/>
        </w:numPr>
        <w:ind w:firstLineChars="0"/>
        <w:rPr>
          <w:rFonts w:hint="eastAsia"/>
          <w:b/>
          <w:color w:val="000000"/>
        </w:rPr>
      </w:pPr>
      <w:r>
        <w:rPr>
          <w:rFonts w:ascii="Songti SC" w:hAnsi="Songti SC" w:eastAsia="Songti SC" w:cs="Songti SC"/>
          <w:b/>
          <w:color w:val="000000"/>
        </w:rPr>
        <w:t>报表异步导出适配</w:t>
      </w:r>
    </w:p>
    <w:p w14:paraId="53854490">
      <w:pPr>
        <w:ind w:firstLine="482"/>
        <w:rPr>
          <w:rFonts w:hint="eastAsia"/>
          <w:color w:val="000000"/>
        </w:rPr>
      </w:pPr>
      <w:r>
        <w:rPr>
          <w:rFonts w:ascii="Songti SC" w:hAnsi="Songti SC" w:eastAsia="Songti SC" w:cs="Songti SC"/>
          <w:b/>
          <w:color w:val="000000"/>
        </w:rPr>
        <w:t>工作目标：</w:t>
      </w:r>
      <w:r>
        <w:rPr>
          <w:rFonts w:ascii="Songti SC" w:hAnsi="Songti SC" w:eastAsia="Songti SC" w:cs="Songti SC"/>
          <w:color w:val="000000"/>
        </w:rPr>
        <w:t>解决大报表导出时间长、页面等待久的问题。</w:t>
      </w:r>
    </w:p>
    <w:p w14:paraId="3AA42DD7">
      <w:pPr>
        <w:ind w:firstLine="482"/>
        <w:rPr>
          <w:rFonts w:hint="eastAsia"/>
          <w:color w:val="000000"/>
        </w:rPr>
      </w:pPr>
      <w:r>
        <w:rPr>
          <w:rFonts w:ascii="Songti SC" w:hAnsi="Songti SC" w:eastAsia="Songti SC" w:cs="Songti SC"/>
          <w:b/>
          <w:color w:val="000000"/>
        </w:rPr>
        <w:t>具体做法</w:t>
      </w:r>
    </w:p>
    <w:p w14:paraId="477F6FAA">
      <w:pPr>
        <w:ind w:firstLine="480"/>
        <w:rPr>
          <w:rFonts w:hint="eastAsia"/>
          <w:color w:val="000000"/>
        </w:rPr>
      </w:pPr>
      <w:r>
        <w:rPr>
          <w:rFonts w:ascii="Songti SC" w:hAnsi="Songti SC" w:eastAsia="Songti SC" w:cs="Songti SC"/>
          <w:color w:val="000000"/>
        </w:rPr>
        <w:t>将大范围订单、余额、消费机、部门消费和餐厅消费报表改为后台导出任务。</w:t>
      </w:r>
    </w:p>
    <w:p w14:paraId="7EEBAF6F">
      <w:pPr>
        <w:ind w:firstLine="480"/>
        <w:rPr>
          <w:rFonts w:hint="eastAsia"/>
          <w:color w:val="000000"/>
        </w:rPr>
      </w:pPr>
      <w:r>
        <w:rPr>
          <w:rFonts w:ascii="Songti SC" w:hAnsi="Songti SC" w:eastAsia="Songti SC" w:cs="Songti SC"/>
          <w:color w:val="000000"/>
        </w:rPr>
        <w:t>导出任务记录申请人、筛选条件、生成状态、文件地址和保留时间。</w:t>
      </w:r>
    </w:p>
    <w:p w14:paraId="32B63DFF">
      <w:pPr>
        <w:ind w:firstLine="480"/>
        <w:rPr>
          <w:rFonts w:hint="eastAsia"/>
          <w:color w:val="000000"/>
        </w:rPr>
      </w:pPr>
      <w:r>
        <w:rPr>
          <w:rFonts w:ascii="Songti SC" w:hAnsi="Songti SC" w:eastAsia="Songti SC" w:cs="Songti SC"/>
          <w:color w:val="000000"/>
        </w:rPr>
        <w:t>导出完成后允许按权限下载。</w:t>
      </w:r>
    </w:p>
    <w:p w14:paraId="14751F1B">
      <w:pPr>
        <w:ind w:firstLine="482"/>
        <w:rPr>
          <w:rFonts w:hint="eastAsia"/>
          <w:color w:val="000000"/>
        </w:rPr>
      </w:pPr>
      <w:r>
        <w:rPr>
          <w:rFonts w:ascii="Songti SC" w:hAnsi="Songti SC" w:eastAsia="Songti SC" w:cs="Songti SC"/>
          <w:b/>
          <w:color w:val="000000"/>
        </w:rPr>
        <w:t>兼容适配关注</w:t>
      </w:r>
    </w:p>
    <w:p w14:paraId="6C36FC83">
      <w:pPr>
        <w:ind w:firstLine="480"/>
        <w:rPr>
          <w:rFonts w:hint="eastAsia"/>
          <w:color w:val="000000"/>
        </w:rPr>
      </w:pPr>
      <w:r>
        <w:rPr>
          <w:rFonts w:ascii="Songti SC" w:hAnsi="Songti SC" w:eastAsia="Songti SC" w:cs="Songti SC"/>
          <w:color w:val="000000"/>
        </w:rPr>
        <w:t>报表文件目录、中文文件名和 Excel 兼容适配服务器操作系统。</w:t>
      </w:r>
    </w:p>
    <w:p w14:paraId="14822627">
      <w:pPr>
        <w:ind w:firstLine="480"/>
        <w:rPr>
          <w:rFonts w:hint="eastAsia"/>
          <w:color w:val="000000"/>
        </w:rPr>
      </w:pPr>
      <w:r>
        <w:rPr>
          <w:rFonts w:ascii="Songti SC" w:hAnsi="Songti SC" w:eastAsia="Songti SC" w:cs="Songti SC"/>
          <w:color w:val="000000"/>
        </w:rPr>
        <w:t>导出 SQL 在数据库中优化索引和分页。</w:t>
      </w:r>
    </w:p>
    <w:p w14:paraId="5FFE63AF">
      <w:pPr>
        <w:ind w:firstLine="482"/>
        <w:rPr>
          <w:rFonts w:hint="eastAsia"/>
          <w:color w:val="000000"/>
        </w:rPr>
      </w:pPr>
      <w:r>
        <w:rPr>
          <w:rFonts w:ascii="Songti SC" w:hAnsi="Songti SC" w:eastAsia="Songti SC" w:cs="Songti SC"/>
          <w:b/>
          <w:color w:val="000000"/>
        </w:rPr>
        <w:t>运行关注</w:t>
      </w:r>
    </w:p>
    <w:p w14:paraId="3D430F49">
      <w:pPr>
        <w:ind w:firstLine="480"/>
        <w:rPr>
          <w:rFonts w:hint="eastAsia"/>
          <w:color w:val="000000"/>
        </w:rPr>
      </w:pPr>
      <w:r>
        <w:rPr>
          <w:rFonts w:ascii="Songti SC" w:hAnsi="Songti SC" w:eastAsia="Songti SC" w:cs="Songti SC"/>
          <w:color w:val="000000"/>
        </w:rPr>
        <w:t>导出任务避免集中在就餐高峰执行。</w:t>
      </w:r>
    </w:p>
    <w:p w14:paraId="50AE2DC6">
      <w:pPr>
        <w:ind w:firstLine="480"/>
        <w:rPr>
          <w:rFonts w:hint="eastAsia"/>
          <w:color w:val="000000"/>
        </w:rPr>
      </w:pPr>
      <w:r>
        <w:rPr>
          <w:rFonts w:ascii="Songti SC" w:hAnsi="Songti SC" w:eastAsia="Songti SC" w:cs="Songti SC"/>
          <w:color w:val="000000"/>
        </w:rPr>
        <w:t>导出失败应能查看原因并重新发起。</w:t>
      </w:r>
    </w:p>
    <w:p w14:paraId="451EDEFE">
      <w:pPr>
        <w:numPr>
          <w:ilvl w:val="0"/>
          <w:numId w:val="47"/>
        </w:numPr>
        <w:ind w:firstLineChars="0"/>
        <w:rPr>
          <w:rFonts w:hint="eastAsia"/>
          <w:b/>
          <w:color w:val="000000"/>
        </w:rPr>
      </w:pPr>
      <w:r>
        <w:rPr>
          <w:rFonts w:ascii="Songti SC" w:hAnsi="Songti SC" w:eastAsia="Songti SC" w:cs="Songti SC"/>
          <w:b/>
          <w:color w:val="000000"/>
        </w:rPr>
        <w:t>综合汇总口径固化</w:t>
      </w:r>
    </w:p>
    <w:p w14:paraId="4C5D9CDA">
      <w:pPr>
        <w:ind w:firstLine="482"/>
        <w:rPr>
          <w:rFonts w:hint="eastAsia"/>
          <w:color w:val="000000"/>
        </w:rPr>
      </w:pPr>
      <w:r>
        <w:rPr>
          <w:rFonts w:ascii="Songti SC" w:hAnsi="Songti SC" w:eastAsia="Songti SC" w:cs="Songti SC"/>
          <w:b/>
          <w:color w:val="000000"/>
        </w:rPr>
        <w:t>工作目标：</w:t>
      </w:r>
      <w:r>
        <w:rPr>
          <w:rFonts w:ascii="Songti SC" w:hAnsi="Songti SC" w:eastAsia="Songti SC" w:cs="Songti SC"/>
          <w:color w:val="000000"/>
        </w:rPr>
        <w:t>让领导汇报和日常管理使用统一指标口径。</w:t>
      </w:r>
    </w:p>
    <w:p w14:paraId="3E572439">
      <w:pPr>
        <w:ind w:firstLine="482"/>
        <w:rPr>
          <w:rFonts w:hint="eastAsia"/>
          <w:color w:val="000000"/>
        </w:rPr>
      </w:pPr>
      <w:r>
        <w:rPr>
          <w:rFonts w:ascii="Songti SC" w:hAnsi="Songti SC" w:eastAsia="Songti SC" w:cs="Songti SC"/>
          <w:b/>
          <w:color w:val="000000"/>
        </w:rPr>
        <w:t>具体做法</w:t>
      </w:r>
    </w:p>
    <w:p w14:paraId="30156E0F">
      <w:pPr>
        <w:ind w:firstLine="480"/>
        <w:rPr>
          <w:rFonts w:hint="eastAsia"/>
          <w:color w:val="000000"/>
        </w:rPr>
      </w:pPr>
      <w:r>
        <w:rPr>
          <w:rFonts w:ascii="Songti SC" w:hAnsi="Songti SC" w:eastAsia="Songti SC" w:cs="Songti SC"/>
          <w:color w:val="000000"/>
        </w:rPr>
        <w:t>确定充值金额、消费金额、补贴使用、退款金额、订单笔数、服务人数和异常数的统计口径。</w:t>
      </w:r>
    </w:p>
    <w:p w14:paraId="412BF6A3">
      <w:pPr>
        <w:ind w:firstLine="480"/>
        <w:rPr>
          <w:rFonts w:hint="eastAsia"/>
          <w:color w:val="000000"/>
        </w:rPr>
      </w:pPr>
      <w:r>
        <w:rPr>
          <w:rFonts w:ascii="Songti SC" w:hAnsi="Songti SC" w:eastAsia="Songti SC" w:cs="Songti SC"/>
          <w:color w:val="000000"/>
        </w:rPr>
        <w:t>明确按交易时间、入账时间和补传时间统计时的差异。</w:t>
      </w:r>
    </w:p>
    <w:p w14:paraId="4EA1A61A">
      <w:pPr>
        <w:ind w:firstLine="480"/>
        <w:rPr>
          <w:rFonts w:hint="eastAsia"/>
          <w:color w:val="000000"/>
        </w:rPr>
      </w:pPr>
      <w:r>
        <w:rPr>
          <w:rFonts w:ascii="Songti SC" w:hAnsi="Songti SC" w:eastAsia="Songti SC" w:cs="Songti SC"/>
          <w:color w:val="000000"/>
        </w:rPr>
        <w:t>形成固定查询入口和固定展示字段。</w:t>
      </w:r>
    </w:p>
    <w:p w14:paraId="2A6E19F3">
      <w:pPr>
        <w:ind w:firstLine="482"/>
        <w:rPr>
          <w:rFonts w:hint="eastAsia"/>
          <w:color w:val="000000"/>
        </w:rPr>
      </w:pPr>
      <w:r>
        <w:rPr>
          <w:rFonts w:ascii="Songti SC" w:hAnsi="Songti SC" w:eastAsia="Songti SC" w:cs="Songti SC"/>
          <w:b/>
          <w:color w:val="000000"/>
        </w:rPr>
        <w:t>兼容适配关注</w:t>
      </w:r>
    </w:p>
    <w:p w14:paraId="5CE64555">
      <w:pPr>
        <w:ind w:firstLine="480"/>
        <w:rPr>
          <w:rFonts w:hint="eastAsia"/>
          <w:color w:val="000000"/>
        </w:rPr>
      </w:pPr>
      <w:r>
        <w:rPr>
          <w:rFonts w:ascii="Songti SC" w:hAnsi="Songti SC" w:eastAsia="Songti SC" w:cs="Songti SC"/>
          <w:color w:val="000000"/>
        </w:rPr>
        <w:t>汇总数据从明细流水生成，不单独手工填报。</w:t>
      </w:r>
    </w:p>
    <w:p w14:paraId="08FEC7B7">
      <w:pPr>
        <w:ind w:firstLine="480"/>
        <w:rPr>
          <w:rFonts w:hint="eastAsia"/>
          <w:color w:val="000000"/>
        </w:rPr>
      </w:pPr>
      <w:r>
        <w:rPr>
          <w:rFonts w:ascii="Songti SC" w:hAnsi="Songti SC" w:eastAsia="Songti SC" w:cs="Songti SC"/>
          <w:color w:val="000000"/>
        </w:rPr>
        <w:t>数据库下可通过汇总表提升查询稳定性。</w:t>
      </w:r>
    </w:p>
    <w:p w14:paraId="3140784B">
      <w:pPr>
        <w:ind w:firstLine="482"/>
        <w:rPr>
          <w:rFonts w:hint="eastAsia"/>
          <w:color w:val="000000"/>
        </w:rPr>
      </w:pPr>
      <w:r>
        <w:rPr>
          <w:rFonts w:ascii="Songti SC" w:hAnsi="Songti SC" w:eastAsia="Songti SC" w:cs="Songti SC"/>
          <w:b/>
          <w:color w:val="000000"/>
        </w:rPr>
        <w:t>运行关注</w:t>
      </w:r>
    </w:p>
    <w:p w14:paraId="1153B3A9">
      <w:pPr>
        <w:ind w:firstLine="480"/>
        <w:rPr>
          <w:rFonts w:hint="eastAsia"/>
          <w:color w:val="000000"/>
        </w:rPr>
      </w:pPr>
      <w:r>
        <w:rPr>
          <w:rFonts w:ascii="Songti SC" w:hAnsi="Songti SC" w:eastAsia="Songti SC" w:cs="Songti SC"/>
          <w:color w:val="000000"/>
        </w:rPr>
        <w:t>汇报前先确认统计周期和办公区范围。</w:t>
      </w:r>
    </w:p>
    <w:p w14:paraId="532008C6">
      <w:pPr>
        <w:ind w:firstLine="480"/>
        <w:rPr>
          <w:rFonts w:hint="eastAsia"/>
          <w:color w:val="000000"/>
        </w:rPr>
      </w:pPr>
      <w:r>
        <w:rPr>
          <w:rFonts w:ascii="Songti SC" w:hAnsi="Songti SC" w:eastAsia="Songti SC" w:cs="Songti SC"/>
          <w:color w:val="000000"/>
        </w:rPr>
        <w:t>指标口径变化需同步业务和财务人员。</w:t>
      </w:r>
    </w:p>
    <w:p w14:paraId="0EFD7E7B">
      <w:pPr>
        <w:numPr>
          <w:ilvl w:val="0"/>
          <w:numId w:val="47"/>
        </w:numPr>
        <w:ind w:firstLineChars="0"/>
        <w:rPr>
          <w:rFonts w:hint="eastAsia"/>
          <w:b/>
          <w:color w:val="000000"/>
        </w:rPr>
      </w:pPr>
      <w:r>
        <w:rPr>
          <w:rFonts w:ascii="Songti SC" w:hAnsi="Songti SC" w:eastAsia="Songti SC" w:cs="Songti SC"/>
          <w:b/>
          <w:color w:val="000000"/>
        </w:rPr>
        <w:t>消费机运行看板配置</w:t>
      </w:r>
    </w:p>
    <w:p w14:paraId="2DE9F366">
      <w:pPr>
        <w:ind w:firstLine="482"/>
        <w:rPr>
          <w:rFonts w:hint="eastAsia"/>
          <w:color w:val="000000"/>
        </w:rPr>
      </w:pPr>
      <w:r>
        <w:rPr>
          <w:rFonts w:ascii="Songti SC" w:hAnsi="Songti SC" w:eastAsia="Songti SC" w:cs="Songti SC"/>
          <w:b/>
          <w:color w:val="000000"/>
        </w:rPr>
        <w:t>工作目标：</w:t>
      </w:r>
      <w:r>
        <w:rPr>
          <w:rFonts w:ascii="Songti SC" w:hAnsi="Songti SC" w:eastAsia="Songti SC" w:cs="Songti SC"/>
          <w:color w:val="000000"/>
        </w:rPr>
        <w:t>让管理人员可以快速掌握消费机在线和交易情况。</w:t>
      </w:r>
    </w:p>
    <w:p w14:paraId="032B6B2C">
      <w:pPr>
        <w:ind w:firstLine="482"/>
        <w:rPr>
          <w:rFonts w:hint="eastAsia"/>
          <w:color w:val="000000"/>
        </w:rPr>
      </w:pPr>
      <w:r>
        <w:rPr>
          <w:rFonts w:ascii="Songti SC" w:hAnsi="Songti SC" w:eastAsia="Songti SC" w:cs="Songti SC"/>
          <w:b/>
          <w:color w:val="000000"/>
        </w:rPr>
        <w:t>具体做法</w:t>
      </w:r>
    </w:p>
    <w:p w14:paraId="33BB25AA">
      <w:pPr>
        <w:ind w:firstLine="480"/>
        <w:rPr>
          <w:rFonts w:hint="eastAsia"/>
          <w:color w:val="000000"/>
        </w:rPr>
      </w:pPr>
      <w:r>
        <w:rPr>
          <w:rFonts w:ascii="Songti SC" w:hAnsi="Songti SC" w:eastAsia="Songti SC" w:cs="Songti SC"/>
          <w:color w:val="000000"/>
        </w:rPr>
        <w:t>展示消费机在线率、离线数量、最近心跳、最近交易、失败笔数和补传积压。</w:t>
      </w:r>
    </w:p>
    <w:p w14:paraId="2DA0CAD2">
      <w:pPr>
        <w:ind w:firstLine="480"/>
        <w:rPr>
          <w:rFonts w:hint="eastAsia"/>
          <w:color w:val="000000"/>
        </w:rPr>
      </w:pPr>
      <w:r>
        <w:rPr>
          <w:rFonts w:ascii="Songti SC" w:hAnsi="Songti SC" w:eastAsia="Songti SC" w:cs="Songti SC"/>
          <w:color w:val="000000"/>
        </w:rPr>
        <w:t>支持按办公区、餐厅、和状态筛选。</w:t>
      </w:r>
    </w:p>
    <w:p w14:paraId="0C919F87">
      <w:pPr>
        <w:ind w:firstLine="480"/>
        <w:rPr>
          <w:rFonts w:hint="eastAsia"/>
          <w:color w:val="000000"/>
        </w:rPr>
      </w:pPr>
      <w:r>
        <w:rPr>
          <w:rFonts w:ascii="Songti SC" w:hAnsi="Songti SC" w:eastAsia="Songti SC" w:cs="Songti SC"/>
          <w:color w:val="000000"/>
        </w:rPr>
        <w:t>异常消费机可查看最近日志和处理记录。</w:t>
      </w:r>
    </w:p>
    <w:p w14:paraId="49A1AB39">
      <w:pPr>
        <w:ind w:firstLine="482"/>
        <w:rPr>
          <w:rFonts w:hint="eastAsia"/>
          <w:color w:val="000000"/>
        </w:rPr>
      </w:pPr>
      <w:r>
        <w:rPr>
          <w:rFonts w:ascii="Songti SC" w:hAnsi="Songti SC" w:eastAsia="Songti SC" w:cs="Songti SC"/>
          <w:b/>
          <w:color w:val="000000"/>
        </w:rPr>
        <w:t>兼容适配关注</w:t>
      </w:r>
    </w:p>
    <w:p w14:paraId="5A3297DA">
      <w:pPr>
        <w:ind w:firstLine="480"/>
        <w:rPr>
          <w:rFonts w:hint="eastAsia"/>
          <w:color w:val="000000"/>
        </w:rPr>
      </w:pPr>
      <w:r>
        <w:rPr>
          <w:rFonts w:ascii="Songti SC" w:hAnsi="Songti SC" w:eastAsia="Songti SC" w:cs="Songti SC"/>
          <w:color w:val="000000"/>
        </w:rPr>
        <w:t>消费机状态数据写入数据库设备运行库。</w:t>
      </w:r>
    </w:p>
    <w:p w14:paraId="61F8607B">
      <w:pPr>
        <w:ind w:firstLine="480"/>
        <w:rPr>
          <w:rFonts w:hint="eastAsia"/>
          <w:color w:val="000000"/>
        </w:rPr>
      </w:pPr>
      <w:r>
        <w:rPr>
          <w:rFonts w:ascii="Songti SC" w:hAnsi="Songti SC" w:eastAsia="Songti SC" w:cs="Songti SC"/>
          <w:color w:val="000000"/>
        </w:rPr>
        <w:t>看板刷新频率兼顾实时性和数据库压力。</w:t>
      </w:r>
    </w:p>
    <w:p w14:paraId="109A4A2B">
      <w:pPr>
        <w:ind w:firstLine="482"/>
        <w:rPr>
          <w:rFonts w:hint="eastAsia"/>
          <w:color w:val="000000"/>
        </w:rPr>
      </w:pPr>
      <w:r>
        <w:rPr>
          <w:rFonts w:ascii="Songti SC" w:hAnsi="Songti SC" w:eastAsia="Songti SC" w:cs="Songti SC"/>
          <w:b/>
          <w:color w:val="000000"/>
        </w:rPr>
        <w:t>运行关注</w:t>
      </w:r>
    </w:p>
    <w:p w14:paraId="0A1C144A">
      <w:pPr>
        <w:ind w:firstLine="480"/>
        <w:rPr>
          <w:rFonts w:hint="eastAsia"/>
          <w:color w:val="000000"/>
        </w:rPr>
      </w:pPr>
      <w:r>
        <w:rPr>
          <w:rFonts w:ascii="Songti SC" w:hAnsi="Songti SC" w:eastAsia="Songti SC" w:cs="Songti SC"/>
          <w:color w:val="000000"/>
        </w:rPr>
        <w:t>早午餐前查看离线消费机。</w:t>
      </w:r>
    </w:p>
    <w:p w14:paraId="724304FD">
      <w:pPr>
        <w:ind w:firstLine="480"/>
        <w:rPr>
          <w:rFonts w:hint="eastAsia"/>
          <w:color w:val="000000"/>
        </w:rPr>
      </w:pPr>
      <w:r>
        <w:rPr>
          <w:rFonts w:ascii="Songti SC" w:hAnsi="Songti SC" w:eastAsia="Songti SC" w:cs="Songti SC"/>
          <w:color w:val="000000"/>
        </w:rPr>
        <w:t>补传积压较高时先保障网络恢复和接口可用。</w:t>
      </w:r>
    </w:p>
    <w:p w14:paraId="10236143">
      <w:pPr>
        <w:numPr>
          <w:ilvl w:val="0"/>
          <w:numId w:val="47"/>
        </w:numPr>
        <w:ind w:firstLineChars="0"/>
        <w:rPr>
          <w:rFonts w:hint="eastAsia"/>
          <w:b/>
          <w:color w:val="000000"/>
        </w:rPr>
      </w:pPr>
      <w:r>
        <w:rPr>
          <w:rFonts w:ascii="Songti SC" w:hAnsi="Songti SC" w:eastAsia="Songti SC" w:cs="Songti SC"/>
          <w:b/>
          <w:color w:val="000000"/>
        </w:rPr>
        <w:t>充值对账日清处理</w:t>
      </w:r>
    </w:p>
    <w:p w14:paraId="38570ADA">
      <w:pPr>
        <w:ind w:firstLine="482"/>
        <w:rPr>
          <w:rFonts w:hint="eastAsia"/>
          <w:color w:val="000000"/>
        </w:rPr>
      </w:pPr>
      <w:r>
        <w:rPr>
          <w:rFonts w:ascii="Songti SC" w:hAnsi="Songti SC" w:eastAsia="Songti SC" w:cs="Songti SC"/>
          <w:b/>
          <w:color w:val="000000"/>
        </w:rPr>
        <w:t>工作目标：</w:t>
      </w:r>
      <w:r>
        <w:rPr>
          <w:rFonts w:ascii="Songti SC" w:hAnsi="Songti SC" w:eastAsia="Songti SC" w:cs="Songti SC"/>
          <w:color w:val="000000"/>
        </w:rPr>
        <w:t>让线上充值每天形成可核对、可处理的闭环。</w:t>
      </w:r>
    </w:p>
    <w:p w14:paraId="7E4819EB">
      <w:pPr>
        <w:ind w:firstLine="482"/>
        <w:rPr>
          <w:rFonts w:hint="eastAsia"/>
          <w:color w:val="000000"/>
        </w:rPr>
      </w:pPr>
      <w:r>
        <w:rPr>
          <w:rFonts w:ascii="Songti SC" w:hAnsi="Songti SC" w:eastAsia="Songti SC" w:cs="Songti SC"/>
          <w:b/>
          <w:color w:val="000000"/>
        </w:rPr>
        <w:t>具体做法</w:t>
      </w:r>
    </w:p>
    <w:p w14:paraId="2F174C93">
      <w:pPr>
        <w:ind w:firstLine="480"/>
        <w:rPr>
          <w:rFonts w:hint="eastAsia"/>
          <w:color w:val="000000"/>
        </w:rPr>
      </w:pPr>
      <w:r>
        <w:rPr>
          <w:rFonts w:ascii="Songti SC" w:hAnsi="Songti SC" w:eastAsia="Songti SC" w:cs="Songti SC"/>
          <w:color w:val="000000"/>
        </w:rPr>
        <w:t>按日期生成平台订单、前置库记录和银行状态的对账结果。</w:t>
      </w:r>
    </w:p>
    <w:p w14:paraId="2BE17527">
      <w:pPr>
        <w:ind w:firstLine="480"/>
        <w:rPr>
          <w:rFonts w:hint="eastAsia"/>
          <w:color w:val="000000"/>
        </w:rPr>
      </w:pPr>
      <w:r>
        <w:rPr>
          <w:rFonts w:ascii="Songti SC" w:hAnsi="Songti SC" w:eastAsia="Songti SC" w:cs="Songti SC"/>
          <w:color w:val="000000"/>
        </w:rPr>
        <w:t>识别银行成功平台未入账、平台成功银行失败、金额不一致和状态未知。</w:t>
      </w:r>
    </w:p>
    <w:p w14:paraId="0358132B">
      <w:pPr>
        <w:ind w:firstLine="480"/>
        <w:rPr>
          <w:rFonts w:hint="eastAsia"/>
          <w:color w:val="000000"/>
        </w:rPr>
      </w:pPr>
      <w:r>
        <w:rPr>
          <w:rFonts w:ascii="Songti SC" w:hAnsi="Songti SC" w:eastAsia="Songti SC" w:cs="Songti SC"/>
          <w:color w:val="000000"/>
        </w:rPr>
        <w:t>对差异订单设置处理状态和处理意见。</w:t>
      </w:r>
    </w:p>
    <w:p w14:paraId="64E3FC5C">
      <w:pPr>
        <w:ind w:firstLine="482"/>
        <w:rPr>
          <w:rFonts w:hint="eastAsia"/>
          <w:color w:val="000000"/>
        </w:rPr>
      </w:pPr>
      <w:r>
        <w:rPr>
          <w:rFonts w:ascii="Songti SC" w:hAnsi="Songti SC" w:eastAsia="Songti SC" w:cs="Songti SC"/>
          <w:b/>
          <w:color w:val="000000"/>
        </w:rPr>
        <w:t>兼容适配关注</w:t>
      </w:r>
    </w:p>
    <w:p w14:paraId="195547EA">
      <w:pPr>
        <w:ind w:firstLine="480"/>
        <w:rPr>
          <w:rFonts w:hint="eastAsia"/>
          <w:color w:val="000000"/>
        </w:rPr>
      </w:pPr>
      <w:r>
        <w:rPr>
          <w:rFonts w:ascii="Songti SC" w:hAnsi="Songti SC" w:eastAsia="Songti SC" w:cs="Songti SC"/>
          <w:color w:val="000000"/>
        </w:rPr>
        <w:t>对账任务适配数据库连接和定时任务。</w:t>
      </w:r>
    </w:p>
    <w:p w14:paraId="77B4A476">
      <w:pPr>
        <w:ind w:firstLine="480"/>
        <w:rPr>
          <w:rFonts w:hint="eastAsia"/>
          <w:color w:val="000000"/>
        </w:rPr>
      </w:pPr>
      <w:r>
        <w:rPr>
          <w:rFonts w:ascii="Songti SC" w:hAnsi="Songti SC" w:eastAsia="Songti SC" w:cs="Songti SC"/>
          <w:color w:val="000000"/>
        </w:rPr>
        <w:t>差异清单字段统一，便于财务核查。</w:t>
      </w:r>
    </w:p>
    <w:p w14:paraId="68163581">
      <w:pPr>
        <w:ind w:firstLine="482"/>
        <w:rPr>
          <w:rFonts w:hint="eastAsia"/>
          <w:color w:val="000000"/>
        </w:rPr>
      </w:pPr>
      <w:r>
        <w:rPr>
          <w:rFonts w:ascii="Songti SC" w:hAnsi="Songti SC" w:eastAsia="Songti SC" w:cs="Songti SC"/>
          <w:b/>
          <w:color w:val="000000"/>
        </w:rPr>
        <w:t>运行关注</w:t>
      </w:r>
    </w:p>
    <w:p w14:paraId="370F92C5">
      <w:pPr>
        <w:ind w:firstLine="480"/>
        <w:rPr>
          <w:rFonts w:hint="eastAsia"/>
          <w:color w:val="000000"/>
        </w:rPr>
      </w:pPr>
      <w:r>
        <w:rPr>
          <w:rFonts w:ascii="Songti SC" w:hAnsi="Songti SC" w:eastAsia="Songti SC" w:cs="Songti SC"/>
          <w:color w:val="000000"/>
        </w:rPr>
        <w:t>差异订单不得直接删除。</w:t>
      </w:r>
    </w:p>
    <w:p w14:paraId="6B7E6189">
      <w:pPr>
        <w:ind w:firstLine="480"/>
        <w:rPr>
          <w:rFonts w:hint="eastAsia"/>
          <w:color w:val="000000"/>
        </w:rPr>
      </w:pPr>
      <w:r>
        <w:rPr>
          <w:rFonts w:ascii="Songti SC" w:hAnsi="Songti SC" w:eastAsia="Songti SC" w:cs="Songti SC"/>
          <w:color w:val="000000"/>
        </w:rPr>
        <w:t>银行已扣款未入账问题优先处理。</w:t>
      </w:r>
    </w:p>
    <w:p w14:paraId="6A70BA08">
      <w:pPr>
        <w:numPr>
          <w:ilvl w:val="0"/>
          <w:numId w:val="47"/>
        </w:numPr>
        <w:ind w:firstLineChars="0"/>
        <w:rPr>
          <w:rFonts w:hint="eastAsia"/>
          <w:b/>
          <w:color w:val="000000"/>
        </w:rPr>
      </w:pPr>
      <w:r>
        <w:rPr>
          <w:rFonts w:ascii="Songti SC" w:hAnsi="Songti SC" w:eastAsia="Songti SC" w:cs="Songti SC"/>
          <w:b/>
          <w:color w:val="000000"/>
        </w:rPr>
        <w:t>补贴发放批次管理</w:t>
      </w:r>
    </w:p>
    <w:p w14:paraId="019DA917">
      <w:pPr>
        <w:ind w:firstLine="482"/>
        <w:rPr>
          <w:rFonts w:hint="eastAsia"/>
          <w:color w:val="000000"/>
        </w:rPr>
      </w:pPr>
      <w:r>
        <w:rPr>
          <w:rFonts w:ascii="Songti SC" w:hAnsi="Songti SC" w:eastAsia="Songti SC" w:cs="Songti SC"/>
          <w:b/>
          <w:color w:val="000000"/>
        </w:rPr>
        <w:t>工作目标：</w:t>
      </w:r>
      <w:r>
        <w:rPr>
          <w:rFonts w:ascii="Songti SC" w:hAnsi="Songti SC" w:eastAsia="Songti SC" w:cs="Songti SC"/>
          <w:color w:val="000000"/>
        </w:rPr>
        <w:t>保障补贴发放可控、可查、可补偿。</w:t>
      </w:r>
    </w:p>
    <w:p w14:paraId="186C8537">
      <w:pPr>
        <w:ind w:firstLine="482"/>
        <w:rPr>
          <w:rFonts w:hint="eastAsia"/>
          <w:color w:val="000000"/>
        </w:rPr>
      </w:pPr>
      <w:r>
        <w:rPr>
          <w:rFonts w:ascii="Songti SC" w:hAnsi="Songti SC" w:eastAsia="Songti SC" w:cs="Songti SC"/>
          <w:b/>
          <w:color w:val="000000"/>
        </w:rPr>
        <w:t>具体做法</w:t>
      </w:r>
    </w:p>
    <w:p w14:paraId="163F48C1">
      <w:pPr>
        <w:ind w:firstLine="480"/>
        <w:rPr>
          <w:rFonts w:hint="eastAsia"/>
          <w:color w:val="000000"/>
        </w:rPr>
      </w:pPr>
      <w:r>
        <w:rPr>
          <w:rFonts w:ascii="Songti SC" w:hAnsi="Songti SC" w:eastAsia="Songti SC" w:cs="Songti SC"/>
          <w:color w:val="000000"/>
        </w:rPr>
        <w:t>按规则生成补贴发放批次，展示人员范围和金额合计。</w:t>
      </w:r>
    </w:p>
    <w:p w14:paraId="14D6D4D1">
      <w:pPr>
        <w:ind w:firstLine="480"/>
        <w:rPr>
          <w:rFonts w:hint="eastAsia"/>
          <w:color w:val="000000"/>
        </w:rPr>
      </w:pPr>
      <w:r>
        <w:rPr>
          <w:rFonts w:ascii="Songti SC" w:hAnsi="Songti SC" w:eastAsia="Songti SC" w:cs="Songti SC"/>
          <w:color w:val="000000"/>
        </w:rPr>
        <w:t>发放结果记录成功、失败和失败原因。</w:t>
      </w:r>
    </w:p>
    <w:p w14:paraId="10AF16B4">
      <w:pPr>
        <w:ind w:firstLine="480"/>
        <w:rPr>
          <w:rFonts w:hint="eastAsia"/>
          <w:color w:val="000000"/>
        </w:rPr>
      </w:pPr>
      <w:r>
        <w:rPr>
          <w:rFonts w:ascii="Songti SC" w:hAnsi="Songti SC" w:eastAsia="Songti SC" w:cs="Songti SC"/>
          <w:color w:val="000000"/>
        </w:rPr>
        <w:t>失败人员支持按批次重试。</w:t>
      </w:r>
    </w:p>
    <w:p w14:paraId="2806BF23">
      <w:pPr>
        <w:ind w:firstLine="482"/>
        <w:rPr>
          <w:rFonts w:hint="eastAsia"/>
          <w:color w:val="000000"/>
        </w:rPr>
      </w:pPr>
      <w:r>
        <w:rPr>
          <w:rFonts w:ascii="Songti SC" w:hAnsi="Songti SC" w:eastAsia="Songti SC" w:cs="Songti SC"/>
          <w:b/>
          <w:color w:val="000000"/>
        </w:rPr>
        <w:t>兼容适配关注</w:t>
      </w:r>
    </w:p>
    <w:p w14:paraId="25DF6557">
      <w:pPr>
        <w:ind w:firstLine="480"/>
        <w:rPr>
          <w:rFonts w:hint="eastAsia"/>
          <w:color w:val="000000"/>
        </w:rPr>
      </w:pPr>
      <w:r>
        <w:rPr>
          <w:rFonts w:ascii="Songti SC" w:hAnsi="Songti SC" w:eastAsia="Songti SC" w:cs="Songti SC"/>
          <w:color w:val="000000"/>
        </w:rPr>
        <w:t>批次处理采用事务和幂等控制，防止重复发放。</w:t>
      </w:r>
    </w:p>
    <w:p w14:paraId="063F7E9B">
      <w:pPr>
        <w:ind w:firstLine="480"/>
        <w:rPr>
          <w:rFonts w:hint="eastAsia"/>
          <w:color w:val="000000"/>
        </w:rPr>
      </w:pPr>
      <w:r>
        <w:rPr>
          <w:rFonts w:ascii="Songti SC" w:hAnsi="Songti SC" w:eastAsia="Songti SC" w:cs="Songti SC"/>
          <w:color w:val="000000"/>
        </w:rPr>
        <w:t>补贴金额字段精度与账户余额一致。</w:t>
      </w:r>
    </w:p>
    <w:p w14:paraId="4CE8C0C9">
      <w:pPr>
        <w:ind w:firstLine="482"/>
        <w:rPr>
          <w:rFonts w:hint="eastAsia"/>
          <w:color w:val="000000"/>
        </w:rPr>
      </w:pPr>
      <w:r>
        <w:rPr>
          <w:rFonts w:ascii="Songti SC" w:hAnsi="Songti SC" w:eastAsia="Songti SC" w:cs="Songti SC"/>
          <w:b/>
          <w:color w:val="000000"/>
        </w:rPr>
        <w:t>运行关注</w:t>
      </w:r>
    </w:p>
    <w:p w14:paraId="1838B142">
      <w:pPr>
        <w:ind w:firstLine="480"/>
        <w:rPr>
          <w:rFonts w:hint="eastAsia"/>
          <w:color w:val="000000"/>
        </w:rPr>
      </w:pPr>
      <w:r>
        <w:rPr>
          <w:rFonts w:ascii="Songti SC" w:hAnsi="Songti SC" w:eastAsia="Songti SC" w:cs="Songti SC"/>
          <w:color w:val="000000"/>
        </w:rPr>
        <w:t>发放前核对规则和人员范围。</w:t>
      </w:r>
    </w:p>
    <w:p w14:paraId="51F4DEAF">
      <w:pPr>
        <w:ind w:firstLine="480"/>
        <w:rPr>
          <w:rFonts w:hint="eastAsia"/>
          <w:color w:val="000000"/>
        </w:rPr>
      </w:pPr>
      <w:r>
        <w:rPr>
          <w:rFonts w:ascii="Songti SC" w:hAnsi="Songti SC" w:eastAsia="Songti SC" w:cs="Songti SC"/>
          <w:color w:val="000000"/>
        </w:rPr>
        <w:t>发放后关注补贴余额和失效任务。</w:t>
      </w:r>
    </w:p>
    <w:p w14:paraId="3A0FB1C5">
      <w:pPr>
        <w:numPr>
          <w:ilvl w:val="0"/>
          <w:numId w:val="47"/>
        </w:numPr>
        <w:ind w:firstLineChars="0"/>
        <w:rPr>
          <w:rFonts w:hint="eastAsia"/>
          <w:b/>
          <w:color w:val="000000"/>
        </w:rPr>
      </w:pPr>
      <w:r>
        <w:rPr>
          <w:rFonts w:ascii="Songti SC" w:hAnsi="Songti SC" w:eastAsia="Songti SC" w:cs="Songti SC"/>
          <w:b/>
          <w:color w:val="000000"/>
        </w:rPr>
        <w:t>补贴失效任务适配</w:t>
      </w:r>
    </w:p>
    <w:p w14:paraId="0723B660">
      <w:pPr>
        <w:ind w:firstLine="482"/>
        <w:rPr>
          <w:rFonts w:hint="eastAsia"/>
          <w:color w:val="000000"/>
        </w:rPr>
      </w:pPr>
      <w:r>
        <w:rPr>
          <w:rFonts w:ascii="Songti SC" w:hAnsi="Songti SC" w:eastAsia="Songti SC" w:cs="Songti SC"/>
          <w:b/>
          <w:color w:val="000000"/>
        </w:rPr>
        <w:t>工作目标：</w:t>
      </w:r>
      <w:r>
        <w:rPr>
          <w:rFonts w:ascii="Songti SC" w:hAnsi="Songti SC" w:eastAsia="Songti SC" w:cs="Songti SC"/>
          <w:color w:val="000000"/>
        </w:rPr>
        <w:t>保障过期补贴按规则失效并可追溯。</w:t>
      </w:r>
    </w:p>
    <w:p w14:paraId="00183242">
      <w:pPr>
        <w:ind w:firstLine="482"/>
        <w:rPr>
          <w:rFonts w:hint="eastAsia"/>
          <w:color w:val="000000"/>
        </w:rPr>
      </w:pPr>
      <w:r>
        <w:rPr>
          <w:rFonts w:ascii="Songti SC" w:hAnsi="Songti SC" w:eastAsia="Songti SC" w:cs="Songti SC"/>
          <w:b/>
          <w:color w:val="000000"/>
        </w:rPr>
        <w:t>具体做法</w:t>
      </w:r>
    </w:p>
    <w:p w14:paraId="3B4CB5FD">
      <w:pPr>
        <w:ind w:firstLine="480"/>
        <w:rPr>
          <w:rFonts w:hint="eastAsia"/>
          <w:color w:val="000000"/>
        </w:rPr>
      </w:pPr>
      <w:r>
        <w:rPr>
          <w:rFonts w:ascii="Songti SC" w:hAnsi="Songti SC" w:eastAsia="Songti SC" w:cs="Songti SC"/>
          <w:color w:val="000000"/>
        </w:rPr>
        <w:t>配置补贴有效期和失效处理时间。</w:t>
      </w:r>
    </w:p>
    <w:p w14:paraId="08EE849B">
      <w:pPr>
        <w:ind w:firstLine="480"/>
        <w:rPr>
          <w:rFonts w:hint="eastAsia"/>
          <w:color w:val="000000"/>
        </w:rPr>
      </w:pPr>
      <w:r>
        <w:rPr>
          <w:rFonts w:ascii="Songti SC" w:hAnsi="Songti SC" w:eastAsia="Songti SC" w:cs="Songti SC"/>
          <w:color w:val="000000"/>
        </w:rPr>
        <w:t>失效任务记录人员、金额、批次和失效原因。</w:t>
      </w:r>
    </w:p>
    <w:p w14:paraId="4161D951">
      <w:pPr>
        <w:ind w:firstLine="480"/>
        <w:rPr>
          <w:rFonts w:hint="eastAsia"/>
          <w:color w:val="000000"/>
        </w:rPr>
      </w:pPr>
      <w:r>
        <w:rPr>
          <w:rFonts w:ascii="Songti SC" w:hAnsi="Songti SC" w:eastAsia="Songti SC" w:cs="Songti SC"/>
          <w:color w:val="000000"/>
        </w:rPr>
        <w:t>失效后更新补贴余额并生成流水。</w:t>
      </w:r>
    </w:p>
    <w:p w14:paraId="61DADC4E">
      <w:pPr>
        <w:ind w:firstLine="482"/>
        <w:rPr>
          <w:rFonts w:hint="eastAsia"/>
          <w:color w:val="000000"/>
        </w:rPr>
      </w:pPr>
      <w:r>
        <w:rPr>
          <w:rFonts w:ascii="Songti SC" w:hAnsi="Songti SC" w:eastAsia="Songti SC" w:cs="Songti SC"/>
          <w:b/>
          <w:color w:val="000000"/>
        </w:rPr>
        <w:t>兼容适配关注</w:t>
      </w:r>
    </w:p>
    <w:p w14:paraId="24427B0C">
      <w:pPr>
        <w:ind w:firstLine="480"/>
        <w:rPr>
          <w:rFonts w:hint="eastAsia"/>
          <w:color w:val="000000"/>
        </w:rPr>
      </w:pPr>
      <w:r>
        <w:rPr>
          <w:rFonts w:ascii="Songti SC" w:hAnsi="Songti SC" w:eastAsia="Songti SC" w:cs="Songti SC"/>
          <w:color w:val="000000"/>
        </w:rPr>
        <w:t>定时任务适配服务器操作系统执行计划。</w:t>
      </w:r>
    </w:p>
    <w:p w14:paraId="2577459E">
      <w:pPr>
        <w:ind w:firstLine="480"/>
        <w:rPr>
          <w:rFonts w:hint="eastAsia"/>
          <w:color w:val="000000"/>
        </w:rPr>
      </w:pPr>
      <w:r>
        <w:rPr>
          <w:rFonts w:ascii="Songti SC" w:hAnsi="Songti SC" w:eastAsia="Songti SC" w:cs="Songti SC"/>
          <w:color w:val="000000"/>
        </w:rPr>
        <w:t>失效流水与补贴发放批次保持关联。</w:t>
      </w:r>
    </w:p>
    <w:p w14:paraId="6BB67219">
      <w:pPr>
        <w:ind w:firstLine="482"/>
        <w:rPr>
          <w:rFonts w:hint="eastAsia"/>
          <w:color w:val="000000"/>
        </w:rPr>
      </w:pPr>
      <w:r>
        <w:rPr>
          <w:rFonts w:ascii="Songti SC" w:hAnsi="Songti SC" w:eastAsia="Songti SC" w:cs="Songti SC"/>
          <w:b/>
          <w:color w:val="000000"/>
        </w:rPr>
        <w:t>运行关注</w:t>
      </w:r>
    </w:p>
    <w:p w14:paraId="51440FA8">
      <w:pPr>
        <w:ind w:firstLine="480"/>
        <w:rPr>
          <w:rFonts w:hint="eastAsia"/>
          <w:color w:val="000000"/>
        </w:rPr>
      </w:pPr>
      <w:r>
        <w:rPr>
          <w:rFonts w:ascii="Songti SC" w:hAnsi="Songti SC" w:eastAsia="Songti SC" w:cs="Songti SC"/>
          <w:color w:val="000000"/>
        </w:rPr>
        <w:t>任务失败需提醒并可补跑。</w:t>
      </w:r>
    </w:p>
    <w:p w14:paraId="3B19937F">
      <w:pPr>
        <w:ind w:firstLine="480"/>
        <w:rPr>
          <w:rFonts w:hint="eastAsia"/>
          <w:color w:val="000000"/>
        </w:rPr>
      </w:pPr>
      <w:r>
        <w:rPr>
          <w:rFonts w:ascii="Songti SC" w:hAnsi="Songti SC" w:eastAsia="Songti SC" w:cs="Songti SC"/>
          <w:color w:val="000000"/>
        </w:rPr>
        <w:t>失效前后余额变化要能查询。</w:t>
      </w:r>
    </w:p>
    <w:p w14:paraId="5F3C4574">
      <w:pPr>
        <w:numPr>
          <w:ilvl w:val="0"/>
          <w:numId w:val="47"/>
        </w:numPr>
        <w:ind w:firstLineChars="0"/>
        <w:rPr>
          <w:rFonts w:hint="eastAsia"/>
          <w:b/>
          <w:color w:val="000000"/>
        </w:rPr>
      </w:pPr>
      <w:r>
        <w:rPr>
          <w:rFonts w:ascii="Songti SC" w:hAnsi="Songti SC" w:eastAsia="Songti SC" w:cs="Songti SC"/>
          <w:b/>
          <w:color w:val="000000"/>
        </w:rPr>
        <w:t>异常订单处理队列</w:t>
      </w:r>
    </w:p>
    <w:p w14:paraId="26415693">
      <w:pPr>
        <w:ind w:firstLine="482"/>
        <w:rPr>
          <w:rFonts w:hint="eastAsia"/>
          <w:color w:val="000000"/>
        </w:rPr>
      </w:pPr>
      <w:r>
        <w:rPr>
          <w:rFonts w:ascii="Songti SC" w:hAnsi="Songti SC" w:eastAsia="Songti SC" w:cs="Songti SC"/>
          <w:b/>
          <w:color w:val="000000"/>
        </w:rPr>
        <w:t>工作目标：</w:t>
      </w:r>
      <w:r>
        <w:rPr>
          <w:rFonts w:ascii="Songti SC" w:hAnsi="Songti SC" w:eastAsia="Songti SC" w:cs="Songti SC"/>
          <w:color w:val="000000"/>
        </w:rPr>
        <w:t>集中处理充值、消费、补传、退款等异常业务。</w:t>
      </w:r>
    </w:p>
    <w:p w14:paraId="33A2FA4E">
      <w:pPr>
        <w:ind w:firstLine="482"/>
        <w:rPr>
          <w:rFonts w:hint="eastAsia"/>
          <w:color w:val="000000"/>
        </w:rPr>
      </w:pPr>
      <w:r>
        <w:rPr>
          <w:rFonts w:ascii="Songti SC" w:hAnsi="Songti SC" w:eastAsia="Songti SC" w:cs="Songti SC"/>
          <w:b/>
          <w:color w:val="000000"/>
        </w:rPr>
        <w:t>具体做法</w:t>
      </w:r>
    </w:p>
    <w:p w14:paraId="0E693EF5">
      <w:pPr>
        <w:ind w:firstLine="480"/>
        <w:rPr>
          <w:rFonts w:hint="eastAsia"/>
          <w:color w:val="000000"/>
        </w:rPr>
      </w:pPr>
      <w:r>
        <w:rPr>
          <w:rFonts w:ascii="Songti SC" w:hAnsi="Songti SC" w:eastAsia="Songti SC" w:cs="Songti SC"/>
          <w:color w:val="000000"/>
        </w:rPr>
        <w:t>按异常类型建立待处理队列。</w:t>
      </w:r>
    </w:p>
    <w:p w14:paraId="76A0EE74">
      <w:pPr>
        <w:ind w:firstLine="480"/>
        <w:rPr>
          <w:rFonts w:hint="eastAsia"/>
          <w:color w:val="000000"/>
        </w:rPr>
      </w:pPr>
      <w:r>
        <w:rPr>
          <w:rFonts w:ascii="Songti SC" w:hAnsi="Songti SC" w:eastAsia="Songti SC" w:cs="Songti SC"/>
          <w:color w:val="000000"/>
        </w:rPr>
        <w:t>展示订单号、人员、金额、来源、失败原因和建议处理方式。</w:t>
      </w:r>
    </w:p>
    <w:p w14:paraId="16E8D3DA">
      <w:pPr>
        <w:ind w:firstLine="480"/>
        <w:rPr>
          <w:rFonts w:hint="eastAsia"/>
          <w:color w:val="000000"/>
        </w:rPr>
      </w:pPr>
      <w:r>
        <w:rPr>
          <w:rFonts w:ascii="Songti SC" w:hAnsi="Songti SC" w:eastAsia="Songti SC" w:cs="Songti SC"/>
          <w:color w:val="000000"/>
        </w:rPr>
        <w:t>处理后回写状态并保留处理记录。</w:t>
      </w:r>
    </w:p>
    <w:p w14:paraId="7D140179">
      <w:pPr>
        <w:ind w:firstLine="482"/>
        <w:rPr>
          <w:rFonts w:hint="eastAsia"/>
          <w:color w:val="000000"/>
        </w:rPr>
      </w:pPr>
      <w:r>
        <w:rPr>
          <w:rFonts w:ascii="Songti SC" w:hAnsi="Songti SC" w:eastAsia="Songti SC" w:cs="Songti SC"/>
          <w:b/>
          <w:color w:val="000000"/>
        </w:rPr>
        <w:t>兼容适配关注</w:t>
      </w:r>
    </w:p>
    <w:p w14:paraId="03897067">
      <w:pPr>
        <w:ind w:firstLine="480"/>
        <w:rPr>
          <w:rFonts w:hint="eastAsia"/>
          <w:color w:val="000000"/>
        </w:rPr>
      </w:pPr>
      <w:r>
        <w:rPr>
          <w:rFonts w:ascii="Songti SC" w:hAnsi="Songti SC" w:eastAsia="Songti SC" w:cs="Songti SC"/>
          <w:color w:val="000000"/>
        </w:rPr>
        <w:t>异常队列查询适配数据库索引。</w:t>
      </w:r>
    </w:p>
    <w:p w14:paraId="4AA9D331">
      <w:pPr>
        <w:ind w:firstLine="480"/>
        <w:rPr>
          <w:rFonts w:hint="eastAsia"/>
          <w:color w:val="000000"/>
        </w:rPr>
      </w:pPr>
      <w:r>
        <w:rPr>
          <w:rFonts w:ascii="Songti SC" w:hAnsi="Songti SC" w:eastAsia="Songti SC" w:cs="Songti SC"/>
          <w:color w:val="000000"/>
        </w:rPr>
        <w:t>异常处理操作纳入权限和日志控制。</w:t>
      </w:r>
    </w:p>
    <w:p w14:paraId="7017EC58">
      <w:pPr>
        <w:ind w:firstLine="482"/>
        <w:rPr>
          <w:rFonts w:hint="eastAsia"/>
          <w:color w:val="000000"/>
        </w:rPr>
      </w:pPr>
      <w:r>
        <w:rPr>
          <w:rFonts w:ascii="Songti SC" w:hAnsi="Songti SC" w:eastAsia="Songti SC" w:cs="Songti SC"/>
          <w:b/>
          <w:color w:val="000000"/>
        </w:rPr>
        <w:t>运行关注</w:t>
      </w:r>
    </w:p>
    <w:p w14:paraId="60D2DB3C">
      <w:pPr>
        <w:ind w:firstLine="480"/>
        <w:rPr>
          <w:rFonts w:hint="eastAsia"/>
          <w:color w:val="000000"/>
        </w:rPr>
      </w:pPr>
      <w:r>
        <w:rPr>
          <w:rFonts w:ascii="Songti SC" w:hAnsi="Songti SC" w:eastAsia="Songti SC" w:cs="Songti SC"/>
          <w:color w:val="000000"/>
        </w:rPr>
        <w:t>异常处理优先级按影响范围和账务风险排序。</w:t>
      </w:r>
    </w:p>
    <w:p w14:paraId="143182F6">
      <w:pPr>
        <w:ind w:firstLine="480"/>
        <w:rPr>
          <w:rFonts w:hint="eastAsia"/>
          <w:color w:val="000000"/>
        </w:rPr>
      </w:pPr>
      <w:r>
        <w:rPr>
          <w:rFonts w:ascii="Songti SC" w:hAnsi="Songti SC" w:eastAsia="Songti SC" w:cs="Songti SC"/>
          <w:color w:val="000000"/>
        </w:rPr>
        <w:t>已处理异常仍可查询历史。</w:t>
      </w:r>
    </w:p>
    <w:p w14:paraId="4A79DC00">
      <w:pPr>
        <w:numPr>
          <w:ilvl w:val="0"/>
          <w:numId w:val="47"/>
        </w:numPr>
        <w:ind w:firstLineChars="0"/>
        <w:rPr>
          <w:rFonts w:hint="eastAsia"/>
          <w:b/>
          <w:color w:val="000000"/>
        </w:rPr>
      </w:pPr>
      <w:r>
        <w:rPr>
          <w:rFonts w:ascii="Songti SC" w:hAnsi="Songti SC" w:eastAsia="Songti SC" w:cs="Songti SC"/>
          <w:b/>
          <w:color w:val="000000"/>
        </w:rPr>
        <w:t>高峰期保障策略</w:t>
      </w:r>
    </w:p>
    <w:p w14:paraId="3FF9D486">
      <w:pPr>
        <w:ind w:firstLine="482"/>
        <w:rPr>
          <w:rFonts w:hint="eastAsia"/>
          <w:color w:val="000000"/>
        </w:rPr>
      </w:pPr>
      <w:r>
        <w:rPr>
          <w:rFonts w:ascii="Songti SC" w:hAnsi="Songti SC" w:eastAsia="Songti SC" w:cs="Songti SC"/>
          <w:b/>
          <w:color w:val="000000"/>
        </w:rPr>
        <w:t>工作目标：</w:t>
      </w:r>
      <w:r>
        <w:rPr>
          <w:rFonts w:ascii="Songti SC" w:hAnsi="Songti SC" w:eastAsia="Songti SC" w:cs="Songti SC"/>
          <w:color w:val="000000"/>
        </w:rPr>
        <w:t>保障早午餐高峰期间交易优先、查询让路。</w:t>
      </w:r>
    </w:p>
    <w:p w14:paraId="6E5B016D">
      <w:pPr>
        <w:ind w:firstLine="482"/>
        <w:rPr>
          <w:rFonts w:hint="eastAsia"/>
          <w:color w:val="000000"/>
        </w:rPr>
      </w:pPr>
      <w:r>
        <w:rPr>
          <w:rFonts w:ascii="Songti SC" w:hAnsi="Songti SC" w:eastAsia="Songti SC" w:cs="Songti SC"/>
          <w:b/>
          <w:color w:val="000000"/>
        </w:rPr>
        <w:t>具体做法</w:t>
      </w:r>
    </w:p>
    <w:p w14:paraId="3452B041">
      <w:pPr>
        <w:ind w:firstLine="480"/>
        <w:rPr>
          <w:rFonts w:hint="eastAsia"/>
          <w:color w:val="000000"/>
        </w:rPr>
      </w:pPr>
      <w:r>
        <w:rPr>
          <w:rFonts w:ascii="Songti SC" w:hAnsi="Songti SC" w:eastAsia="Songti SC" w:cs="Songti SC"/>
          <w:color w:val="000000"/>
        </w:rPr>
        <w:t>高峰期优先保障消费机交易接口、账户扣款和订单入库。</w:t>
      </w:r>
    </w:p>
    <w:p w14:paraId="6340789D">
      <w:pPr>
        <w:ind w:firstLine="480"/>
        <w:rPr>
          <w:rFonts w:hint="eastAsia"/>
          <w:color w:val="000000"/>
        </w:rPr>
      </w:pPr>
      <w:r>
        <w:rPr>
          <w:rFonts w:ascii="Songti SC" w:hAnsi="Songti SC" w:eastAsia="Songti SC" w:cs="Songti SC"/>
          <w:color w:val="000000"/>
        </w:rPr>
        <w:t>限制或延后大报表导出、批量导入和重型对账任务。</w:t>
      </w:r>
    </w:p>
    <w:p w14:paraId="3B60186B">
      <w:pPr>
        <w:ind w:firstLine="480"/>
        <w:rPr>
          <w:rFonts w:hint="eastAsia"/>
          <w:color w:val="000000"/>
        </w:rPr>
      </w:pPr>
      <w:r>
        <w:rPr>
          <w:rFonts w:ascii="Songti SC" w:hAnsi="Songti SC" w:eastAsia="Songti SC" w:cs="Songti SC"/>
          <w:color w:val="000000"/>
        </w:rPr>
        <w:t>安排值守人员关注消费机在线率和接口错误率。</w:t>
      </w:r>
    </w:p>
    <w:p w14:paraId="7095A499">
      <w:pPr>
        <w:ind w:firstLine="482"/>
        <w:rPr>
          <w:rFonts w:hint="eastAsia"/>
          <w:color w:val="000000"/>
        </w:rPr>
      </w:pPr>
      <w:r>
        <w:rPr>
          <w:rFonts w:ascii="Songti SC" w:hAnsi="Songti SC" w:eastAsia="Songti SC" w:cs="Songti SC"/>
          <w:b/>
          <w:color w:val="000000"/>
        </w:rPr>
        <w:t>兼容适配关注</w:t>
      </w:r>
    </w:p>
    <w:p w14:paraId="37D878B8">
      <w:pPr>
        <w:ind w:firstLine="480"/>
        <w:rPr>
          <w:rFonts w:hint="eastAsia"/>
          <w:color w:val="000000"/>
        </w:rPr>
      </w:pPr>
      <w:r>
        <w:rPr>
          <w:rFonts w:ascii="Songti SC" w:hAnsi="Songti SC" w:eastAsia="Songti SC" w:cs="Songti SC"/>
          <w:color w:val="000000"/>
        </w:rPr>
        <w:t>中间件连接数和数据库资源按交易优先配置。</w:t>
      </w:r>
    </w:p>
    <w:p w14:paraId="069BFD7E">
      <w:pPr>
        <w:ind w:firstLine="480"/>
        <w:rPr>
          <w:rFonts w:hint="eastAsia"/>
          <w:color w:val="000000"/>
        </w:rPr>
      </w:pPr>
      <w:r>
        <w:rPr>
          <w:rFonts w:ascii="Songti SC" w:hAnsi="Songti SC" w:eastAsia="Songti SC" w:cs="Songti SC"/>
          <w:color w:val="000000"/>
        </w:rPr>
        <w:t>后台任务调度避开高峰时段。</w:t>
      </w:r>
    </w:p>
    <w:p w14:paraId="29588BAA">
      <w:pPr>
        <w:ind w:firstLine="482"/>
        <w:rPr>
          <w:rFonts w:hint="eastAsia"/>
          <w:color w:val="000000"/>
        </w:rPr>
      </w:pPr>
      <w:r>
        <w:rPr>
          <w:rFonts w:ascii="Songti SC" w:hAnsi="Songti SC" w:eastAsia="Songti SC" w:cs="Songti SC"/>
          <w:b/>
          <w:color w:val="000000"/>
        </w:rPr>
        <w:t>运行关注</w:t>
      </w:r>
    </w:p>
    <w:p w14:paraId="44F2B7C6">
      <w:pPr>
        <w:ind w:firstLine="480"/>
        <w:rPr>
          <w:rFonts w:hint="eastAsia"/>
          <w:color w:val="000000"/>
        </w:rPr>
      </w:pPr>
      <w:r>
        <w:rPr>
          <w:rFonts w:ascii="Songti SC" w:hAnsi="Songti SC" w:eastAsia="Songti SC" w:cs="Songti SC"/>
          <w:color w:val="000000"/>
        </w:rPr>
        <w:t>高峰异常先恢复交易，再处理报表和非关键查询。</w:t>
      </w:r>
    </w:p>
    <w:p w14:paraId="2E80F78E">
      <w:pPr>
        <w:ind w:firstLine="480"/>
        <w:rPr>
          <w:rFonts w:hint="eastAsia"/>
          <w:color w:val="000000"/>
        </w:rPr>
      </w:pPr>
      <w:r>
        <w:rPr>
          <w:rFonts w:ascii="Songti SC" w:hAnsi="Songti SC" w:eastAsia="Songti SC" w:cs="Songti SC"/>
          <w:color w:val="000000"/>
        </w:rPr>
        <w:t>高峰保障策略应提前告知相关人员。</w:t>
      </w:r>
    </w:p>
    <w:p w14:paraId="24A5C726">
      <w:pPr>
        <w:numPr>
          <w:ilvl w:val="0"/>
          <w:numId w:val="47"/>
        </w:numPr>
        <w:ind w:firstLineChars="0"/>
        <w:rPr>
          <w:rFonts w:hint="eastAsia"/>
          <w:b/>
          <w:color w:val="000000"/>
        </w:rPr>
      </w:pPr>
      <w:r>
        <w:rPr>
          <w:rFonts w:ascii="Songti SC" w:hAnsi="Songti SC" w:eastAsia="Songti SC" w:cs="Songti SC"/>
          <w:b/>
          <w:color w:val="000000"/>
        </w:rPr>
        <w:t>试点办公区切换</w:t>
      </w:r>
    </w:p>
    <w:p w14:paraId="06D5B800">
      <w:pPr>
        <w:ind w:firstLine="482"/>
        <w:rPr>
          <w:rFonts w:hint="eastAsia"/>
          <w:color w:val="000000"/>
        </w:rPr>
      </w:pPr>
      <w:r>
        <w:rPr>
          <w:rFonts w:ascii="Songti SC" w:hAnsi="Songti SC" w:eastAsia="Songti SC" w:cs="Songti SC"/>
          <w:b/>
          <w:color w:val="000000"/>
        </w:rPr>
        <w:t>工作目标：</w:t>
      </w:r>
      <w:r>
        <w:rPr>
          <w:rFonts w:ascii="Songti SC" w:hAnsi="Songti SC" w:eastAsia="Songti SC" w:cs="Songti SC"/>
          <w:color w:val="000000"/>
        </w:rPr>
        <w:t>降低一次性全量切换风险，先在小范围验证。</w:t>
      </w:r>
    </w:p>
    <w:p w14:paraId="50009E82">
      <w:pPr>
        <w:ind w:firstLine="482"/>
        <w:rPr>
          <w:rFonts w:hint="eastAsia"/>
          <w:color w:val="000000"/>
        </w:rPr>
      </w:pPr>
      <w:r>
        <w:rPr>
          <w:rFonts w:ascii="Songti SC" w:hAnsi="Songti SC" w:eastAsia="Songti SC" w:cs="Songti SC"/>
          <w:b/>
          <w:color w:val="000000"/>
        </w:rPr>
        <w:t>具体做法</w:t>
      </w:r>
    </w:p>
    <w:p w14:paraId="42CDB825">
      <w:pPr>
        <w:ind w:firstLine="480"/>
        <w:rPr>
          <w:rFonts w:hint="eastAsia"/>
          <w:color w:val="000000"/>
        </w:rPr>
      </w:pPr>
      <w:r>
        <w:rPr>
          <w:rFonts w:ascii="Songti SC" w:hAnsi="Songti SC" w:eastAsia="Songti SC" w:cs="Songti SC"/>
          <w:color w:val="000000"/>
        </w:rPr>
        <w:t>选择消费机数量、人员类型和业务场景较完整的办公区先行切换。</w:t>
      </w:r>
    </w:p>
    <w:p w14:paraId="691E31E4">
      <w:pPr>
        <w:ind w:firstLine="480"/>
        <w:rPr>
          <w:rFonts w:hint="eastAsia"/>
          <w:color w:val="000000"/>
        </w:rPr>
      </w:pPr>
      <w:r>
        <w:rPr>
          <w:rFonts w:ascii="Songti SC" w:hAnsi="Songti SC" w:eastAsia="Songti SC" w:cs="Songti SC"/>
          <w:color w:val="000000"/>
        </w:rPr>
        <w:t>验证充值、消费、报表、消费机同步和补传。</w:t>
      </w:r>
    </w:p>
    <w:p w14:paraId="466CD87C">
      <w:pPr>
        <w:ind w:firstLine="480"/>
        <w:rPr>
          <w:rFonts w:hint="eastAsia"/>
          <w:color w:val="000000"/>
        </w:rPr>
      </w:pPr>
      <w:r>
        <w:rPr>
          <w:rFonts w:ascii="Songti SC" w:hAnsi="Songti SC" w:eastAsia="Songti SC" w:cs="Songti SC"/>
          <w:color w:val="000000"/>
        </w:rPr>
        <w:t>根据试点问题修正参数和流程。</w:t>
      </w:r>
    </w:p>
    <w:p w14:paraId="58B9F306">
      <w:pPr>
        <w:ind w:firstLine="482"/>
        <w:rPr>
          <w:rFonts w:hint="eastAsia"/>
          <w:color w:val="000000"/>
        </w:rPr>
      </w:pPr>
      <w:r>
        <w:rPr>
          <w:rFonts w:ascii="Songti SC" w:hAnsi="Songti SC" w:eastAsia="Songti SC" w:cs="Songti SC"/>
          <w:b/>
          <w:color w:val="000000"/>
        </w:rPr>
        <w:t>兼容适配关注</w:t>
      </w:r>
    </w:p>
    <w:p w14:paraId="70AD0F2F">
      <w:pPr>
        <w:ind w:firstLine="480"/>
        <w:rPr>
          <w:rFonts w:hint="eastAsia"/>
          <w:color w:val="000000"/>
        </w:rPr>
      </w:pPr>
      <w:r>
        <w:rPr>
          <w:rFonts w:ascii="Songti SC" w:hAnsi="Songti SC" w:eastAsia="Songti SC" w:cs="Songti SC"/>
          <w:color w:val="000000"/>
        </w:rPr>
        <w:t>试点环境与正式政务云环境保持一致。</w:t>
      </w:r>
    </w:p>
    <w:p w14:paraId="3A2C6E64">
      <w:pPr>
        <w:ind w:firstLine="480"/>
        <w:rPr>
          <w:rFonts w:hint="eastAsia"/>
          <w:color w:val="000000"/>
        </w:rPr>
      </w:pPr>
      <w:r>
        <w:rPr>
          <w:rFonts w:ascii="Songti SC" w:hAnsi="Songti SC" w:eastAsia="Songti SC" w:cs="Songti SC"/>
          <w:color w:val="000000"/>
        </w:rPr>
        <w:t>试点消费机服务地址可独立切换和回退。</w:t>
      </w:r>
    </w:p>
    <w:p w14:paraId="5593D6F5">
      <w:pPr>
        <w:ind w:firstLine="482"/>
        <w:rPr>
          <w:rFonts w:hint="eastAsia"/>
          <w:color w:val="000000"/>
        </w:rPr>
      </w:pPr>
      <w:r>
        <w:rPr>
          <w:rFonts w:ascii="Songti SC" w:hAnsi="Songti SC" w:eastAsia="Songti SC" w:cs="Songti SC"/>
          <w:b/>
          <w:color w:val="000000"/>
        </w:rPr>
        <w:t>运行关注</w:t>
      </w:r>
    </w:p>
    <w:p w14:paraId="23AA4CAC">
      <w:pPr>
        <w:ind w:firstLine="480"/>
        <w:rPr>
          <w:rFonts w:hint="eastAsia"/>
          <w:color w:val="000000"/>
        </w:rPr>
      </w:pPr>
      <w:r>
        <w:rPr>
          <w:rFonts w:ascii="Songti SC" w:hAnsi="Songti SC" w:eastAsia="Songti SC" w:cs="Songti SC"/>
          <w:color w:val="000000"/>
        </w:rPr>
        <w:t>试点期间密切观察用户反馈。</w:t>
      </w:r>
    </w:p>
    <w:p w14:paraId="574C29E4">
      <w:pPr>
        <w:ind w:firstLine="480"/>
        <w:rPr>
          <w:rFonts w:hint="eastAsia"/>
          <w:color w:val="000000"/>
        </w:rPr>
      </w:pPr>
      <w:r>
        <w:rPr>
          <w:rFonts w:ascii="Songti SC" w:hAnsi="Songti SC" w:eastAsia="Songti SC" w:cs="Songti SC"/>
          <w:color w:val="000000"/>
        </w:rPr>
        <w:t>试点稳定后再逐办公区推广。</w:t>
      </w:r>
    </w:p>
    <w:p w14:paraId="1FEFEDA4">
      <w:pPr>
        <w:numPr>
          <w:ilvl w:val="0"/>
          <w:numId w:val="47"/>
        </w:numPr>
        <w:ind w:firstLineChars="0"/>
        <w:rPr>
          <w:rFonts w:hint="eastAsia"/>
          <w:b/>
          <w:color w:val="000000"/>
        </w:rPr>
      </w:pPr>
      <w:r>
        <w:rPr>
          <w:rFonts w:ascii="Songti SC" w:hAnsi="Songti SC" w:eastAsia="Songti SC" w:cs="Songti SC"/>
          <w:b/>
          <w:color w:val="000000"/>
        </w:rPr>
        <w:t>逐办公区推广切换</w:t>
      </w:r>
    </w:p>
    <w:p w14:paraId="527C6FF0">
      <w:pPr>
        <w:ind w:firstLine="482"/>
        <w:rPr>
          <w:rFonts w:hint="eastAsia"/>
          <w:color w:val="000000"/>
        </w:rPr>
      </w:pPr>
      <w:r>
        <w:rPr>
          <w:rFonts w:ascii="Songti SC" w:hAnsi="Songti SC" w:eastAsia="Songti SC" w:cs="Songti SC"/>
          <w:b/>
          <w:color w:val="000000"/>
        </w:rPr>
        <w:t>工作目标：</w:t>
      </w:r>
      <w:r>
        <w:rPr>
          <w:rFonts w:ascii="Songti SC" w:hAnsi="Songti SC" w:eastAsia="Songti SC" w:cs="Songti SC"/>
          <w:color w:val="000000"/>
        </w:rPr>
        <w:t>按办公区分批完成消费机和业务切换。</w:t>
      </w:r>
    </w:p>
    <w:p w14:paraId="0ADF2F58">
      <w:pPr>
        <w:ind w:firstLine="482"/>
        <w:rPr>
          <w:rFonts w:hint="eastAsia"/>
          <w:color w:val="000000"/>
        </w:rPr>
      </w:pPr>
      <w:r>
        <w:rPr>
          <w:rFonts w:ascii="Songti SC" w:hAnsi="Songti SC" w:eastAsia="Songti SC" w:cs="Songti SC"/>
          <w:b/>
          <w:color w:val="000000"/>
        </w:rPr>
        <w:t>具体做法</w:t>
      </w:r>
    </w:p>
    <w:p w14:paraId="2F27FEB0">
      <w:pPr>
        <w:ind w:firstLine="480"/>
        <w:rPr>
          <w:rFonts w:hint="eastAsia"/>
          <w:color w:val="000000"/>
        </w:rPr>
      </w:pPr>
      <w:r>
        <w:rPr>
          <w:rFonts w:ascii="Songti SC" w:hAnsi="Songti SC" w:eastAsia="Songti SC" w:cs="Songti SC"/>
          <w:color w:val="000000"/>
        </w:rPr>
        <w:t>根据消费机数量、食堂开放时间和现场条件制定切换顺序。</w:t>
      </w:r>
    </w:p>
    <w:p w14:paraId="2C6276DD">
      <w:pPr>
        <w:ind w:firstLine="480"/>
        <w:rPr>
          <w:rFonts w:hint="eastAsia"/>
          <w:color w:val="000000"/>
        </w:rPr>
      </w:pPr>
      <w:r>
        <w:rPr>
          <w:rFonts w:ascii="Songti SC" w:hAnsi="Songti SC" w:eastAsia="Songti SC" w:cs="Songti SC"/>
          <w:color w:val="000000"/>
        </w:rPr>
        <w:t>每批切换前确认人员同步、服务地址、网络和联系人。</w:t>
      </w:r>
    </w:p>
    <w:p w14:paraId="5876B65A">
      <w:pPr>
        <w:ind w:firstLine="480"/>
        <w:rPr>
          <w:rFonts w:hint="eastAsia"/>
          <w:color w:val="000000"/>
        </w:rPr>
      </w:pPr>
      <w:r>
        <w:rPr>
          <w:rFonts w:ascii="Songti SC" w:hAnsi="Songti SC" w:eastAsia="Songti SC" w:cs="Songti SC"/>
          <w:color w:val="000000"/>
        </w:rPr>
        <w:t>每批切换后观察交易、补传和异常。</w:t>
      </w:r>
    </w:p>
    <w:p w14:paraId="5D3E9221">
      <w:pPr>
        <w:ind w:firstLine="482"/>
        <w:rPr>
          <w:rFonts w:hint="eastAsia"/>
          <w:color w:val="000000"/>
        </w:rPr>
      </w:pPr>
      <w:r>
        <w:rPr>
          <w:rFonts w:ascii="Songti SC" w:hAnsi="Songti SC" w:eastAsia="Songti SC" w:cs="Songti SC"/>
          <w:b/>
          <w:color w:val="000000"/>
        </w:rPr>
        <w:t>兼容适配关注</w:t>
      </w:r>
    </w:p>
    <w:p w14:paraId="4478EA5C">
      <w:pPr>
        <w:ind w:firstLine="480"/>
        <w:rPr>
          <w:rFonts w:hint="eastAsia"/>
          <w:color w:val="000000"/>
        </w:rPr>
      </w:pPr>
      <w:r>
        <w:rPr>
          <w:rFonts w:ascii="Songti SC" w:hAnsi="Songti SC" w:eastAsia="Songti SC" w:cs="Songti SC"/>
          <w:color w:val="000000"/>
        </w:rPr>
        <w:t>分批切换时不同办公区参数要保持清晰，不混用服务地址。</w:t>
      </w:r>
    </w:p>
    <w:p w14:paraId="6DC39440">
      <w:pPr>
        <w:ind w:firstLine="480"/>
        <w:rPr>
          <w:rFonts w:hint="eastAsia"/>
          <w:color w:val="000000"/>
        </w:rPr>
      </w:pPr>
      <w:r>
        <w:rPr>
          <w:rFonts w:ascii="Songti SC" w:hAnsi="Songti SC" w:eastAsia="Songti SC" w:cs="Songti SC"/>
          <w:color w:val="000000"/>
        </w:rPr>
        <w:t>数据库中记录切换批次和时间。</w:t>
      </w:r>
    </w:p>
    <w:p w14:paraId="031B4A5F">
      <w:pPr>
        <w:ind w:firstLine="482"/>
        <w:rPr>
          <w:rFonts w:hint="eastAsia"/>
          <w:color w:val="000000"/>
        </w:rPr>
      </w:pPr>
      <w:r>
        <w:rPr>
          <w:rFonts w:ascii="Songti SC" w:hAnsi="Songti SC" w:eastAsia="Songti SC" w:cs="Songti SC"/>
          <w:b/>
          <w:color w:val="000000"/>
        </w:rPr>
        <w:t>运行关注</w:t>
      </w:r>
    </w:p>
    <w:p w14:paraId="4900E060">
      <w:pPr>
        <w:ind w:firstLine="480"/>
        <w:rPr>
          <w:rFonts w:hint="eastAsia"/>
          <w:color w:val="000000"/>
        </w:rPr>
      </w:pPr>
      <w:r>
        <w:rPr>
          <w:rFonts w:ascii="Songti SC" w:hAnsi="Songti SC" w:eastAsia="Songti SC" w:cs="Songti SC"/>
          <w:color w:val="000000"/>
        </w:rPr>
        <w:t>批次切换失败时只影响当前批次。</w:t>
      </w:r>
    </w:p>
    <w:p w14:paraId="41AC8FC1">
      <w:pPr>
        <w:ind w:firstLine="480"/>
        <w:rPr>
          <w:rFonts w:hint="eastAsia"/>
          <w:color w:val="000000"/>
        </w:rPr>
      </w:pPr>
      <w:r>
        <w:rPr>
          <w:rFonts w:ascii="Songti SC" w:hAnsi="Songti SC" w:eastAsia="Songti SC" w:cs="Songti SC"/>
          <w:color w:val="000000"/>
        </w:rPr>
        <w:t>已完成批次继续观察，不等全部完成后才处理问题。</w:t>
      </w:r>
    </w:p>
    <w:p w14:paraId="1413B788">
      <w:pPr>
        <w:numPr>
          <w:ilvl w:val="0"/>
          <w:numId w:val="47"/>
        </w:numPr>
        <w:ind w:firstLineChars="0"/>
        <w:rPr>
          <w:rFonts w:hint="eastAsia"/>
          <w:b/>
          <w:color w:val="000000"/>
        </w:rPr>
      </w:pPr>
      <w:r>
        <w:rPr>
          <w:rFonts w:ascii="Songti SC" w:hAnsi="Songti SC" w:eastAsia="Songti SC" w:cs="Songti SC"/>
          <w:b/>
          <w:color w:val="000000"/>
        </w:rPr>
        <w:t>现场问题处置路径</w:t>
      </w:r>
    </w:p>
    <w:p w14:paraId="53749CC5">
      <w:pPr>
        <w:ind w:firstLine="482"/>
        <w:rPr>
          <w:rFonts w:hint="eastAsia"/>
          <w:color w:val="000000"/>
        </w:rPr>
      </w:pPr>
      <w:r>
        <w:rPr>
          <w:rFonts w:ascii="Songti SC" w:hAnsi="Songti SC" w:eastAsia="Songti SC" w:cs="Songti SC"/>
          <w:b/>
          <w:color w:val="000000"/>
        </w:rPr>
        <w:t>工作目标：</w:t>
      </w:r>
      <w:r>
        <w:rPr>
          <w:rFonts w:ascii="Songti SC" w:hAnsi="Songti SC" w:eastAsia="Songti SC" w:cs="Songti SC"/>
          <w:color w:val="000000"/>
        </w:rPr>
        <w:t>让现场人员遇到消费失败时有明确处理步骤。</w:t>
      </w:r>
    </w:p>
    <w:p w14:paraId="3BAF0C88">
      <w:pPr>
        <w:ind w:firstLine="482"/>
        <w:rPr>
          <w:rFonts w:hint="eastAsia"/>
          <w:color w:val="000000"/>
        </w:rPr>
      </w:pPr>
      <w:r>
        <w:rPr>
          <w:rFonts w:ascii="Songti SC" w:hAnsi="Songti SC" w:eastAsia="Songti SC" w:cs="Songti SC"/>
          <w:b/>
          <w:color w:val="000000"/>
        </w:rPr>
        <w:t>具体做法</w:t>
      </w:r>
    </w:p>
    <w:p w14:paraId="45808483">
      <w:pPr>
        <w:ind w:firstLine="480"/>
        <w:rPr>
          <w:rFonts w:hint="eastAsia"/>
          <w:color w:val="000000"/>
        </w:rPr>
      </w:pPr>
      <w:r>
        <w:rPr>
          <w:rFonts w:ascii="Songti SC" w:hAnsi="Songti SC" w:eastAsia="Songti SC" w:cs="Songti SC"/>
          <w:color w:val="000000"/>
        </w:rPr>
        <w:t>消费失败先记录人员、消费机、时间、金额和提示信息。</w:t>
      </w:r>
    </w:p>
    <w:p w14:paraId="6E687DE3">
      <w:pPr>
        <w:ind w:firstLine="480"/>
        <w:rPr>
          <w:rFonts w:hint="eastAsia"/>
          <w:color w:val="000000"/>
        </w:rPr>
      </w:pPr>
      <w:r>
        <w:rPr>
          <w:rFonts w:ascii="Songti SC" w:hAnsi="Songti SC" w:eastAsia="Songti SC" w:cs="Songti SC"/>
          <w:color w:val="000000"/>
        </w:rPr>
        <w:t>按人员状态、卡状态、余额、策略、消费机在线和接口日志顺序排查。</w:t>
      </w:r>
    </w:p>
    <w:p w14:paraId="39B267AC">
      <w:pPr>
        <w:ind w:firstLine="480"/>
        <w:rPr>
          <w:rFonts w:hint="eastAsia"/>
          <w:color w:val="000000"/>
        </w:rPr>
      </w:pPr>
      <w:r>
        <w:rPr>
          <w:rFonts w:ascii="Songti SC" w:hAnsi="Songti SC" w:eastAsia="Songti SC" w:cs="Songti SC"/>
          <w:color w:val="000000"/>
        </w:rPr>
        <w:t>必要时转后台处理异常订单。</w:t>
      </w:r>
    </w:p>
    <w:p w14:paraId="0C401538">
      <w:pPr>
        <w:ind w:firstLine="482"/>
        <w:rPr>
          <w:rFonts w:hint="eastAsia"/>
          <w:color w:val="000000"/>
        </w:rPr>
      </w:pPr>
      <w:r>
        <w:rPr>
          <w:rFonts w:ascii="Songti SC" w:hAnsi="Songti SC" w:eastAsia="Songti SC" w:cs="Songti SC"/>
          <w:b/>
          <w:color w:val="000000"/>
        </w:rPr>
        <w:t>兼容适配关注</w:t>
      </w:r>
    </w:p>
    <w:p w14:paraId="117AAFC2">
      <w:pPr>
        <w:ind w:firstLine="480"/>
        <w:rPr>
          <w:rFonts w:hint="eastAsia"/>
          <w:color w:val="000000"/>
        </w:rPr>
      </w:pPr>
      <w:r>
        <w:rPr>
          <w:rFonts w:ascii="Songti SC" w:hAnsi="Songti SC" w:eastAsia="Songti SC" w:cs="Songti SC"/>
          <w:color w:val="000000"/>
        </w:rPr>
        <w:t>现场问题记录与后台日志通过时间和设备号关联。</w:t>
      </w:r>
    </w:p>
    <w:p w14:paraId="2AB5519C">
      <w:pPr>
        <w:ind w:firstLine="480"/>
        <w:rPr>
          <w:rFonts w:hint="eastAsia"/>
          <w:color w:val="000000"/>
        </w:rPr>
      </w:pPr>
      <w:r>
        <w:rPr>
          <w:rFonts w:ascii="Songti SC" w:hAnsi="Songti SC" w:eastAsia="Songti SC" w:cs="Songti SC"/>
          <w:color w:val="000000"/>
        </w:rPr>
        <w:t>敏感个人信息在问题流转中脱敏。</w:t>
      </w:r>
    </w:p>
    <w:p w14:paraId="0908A6FD">
      <w:pPr>
        <w:ind w:firstLine="482"/>
        <w:rPr>
          <w:rFonts w:hint="eastAsia"/>
          <w:color w:val="000000"/>
        </w:rPr>
      </w:pPr>
      <w:bookmarkStart w:id="403" w:name="_Toc606641379"/>
      <w:r>
        <w:rPr>
          <w:rFonts w:ascii="Songti SC" w:hAnsi="Songti SC" w:eastAsia="Songti SC" w:cs="Songti SC"/>
          <w:b/>
          <w:color w:val="000000"/>
        </w:rPr>
        <w:t>运行关注</w:t>
      </w:r>
      <w:bookmarkEnd w:id="403"/>
    </w:p>
    <w:p w14:paraId="2BFAFF2B">
      <w:pPr>
        <w:ind w:firstLine="480"/>
        <w:rPr>
          <w:rFonts w:hint="eastAsia"/>
          <w:color w:val="000000"/>
        </w:rPr>
      </w:pPr>
      <w:r>
        <w:rPr>
          <w:rFonts w:ascii="Songti SC" w:hAnsi="Songti SC" w:eastAsia="Songti SC" w:cs="Songti SC"/>
          <w:color w:val="000000"/>
        </w:rPr>
        <w:t>现场优先保障就餐秩序。</w:t>
      </w:r>
    </w:p>
    <w:p w14:paraId="571BE47E">
      <w:pPr>
        <w:ind w:firstLine="480"/>
        <w:rPr>
          <w:rFonts w:hint="eastAsia"/>
          <w:color w:val="000000"/>
        </w:rPr>
      </w:pPr>
      <w:r>
        <w:rPr>
          <w:rFonts w:ascii="Songti SC" w:hAnsi="Songti SC" w:eastAsia="Songti SC" w:cs="Songti SC"/>
          <w:color w:val="000000"/>
        </w:rPr>
        <w:t>重复出现的问题纳入集中分析。</w:t>
      </w:r>
    </w:p>
    <w:p w14:paraId="6419A7BD">
      <w:pPr>
        <w:numPr>
          <w:ilvl w:val="0"/>
          <w:numId w:val="47"/>
        </w:numPr>
        <w:ind w:firstLineChars="0"/>
        <w:rPr>
          <w:rFonts w:hint="eastAsia"/>
          <w:b/>
          <w:color w:val="000000"/>
        </w:rPr>
      </w:pPr>
      <w:r>
        <w:rPr>
          <w:rFonts w:ascii="Songti SC" w:hAnsi="Songti SC" w:eastAsia="Songti SC" w:cs="Songti SC"/>
          <w:b/>
          <w:color w:val="000000"/>
        </w:rPr>
        <w:t>财务核对路径</w:t>
      </w:r>
    </w:p>
    <w:p w14:paraId="4744E210">
      <w:pPr>
        <w:ind w:firstLine="482"/>
        <w:rPr>
          <w:rFonts w:hint="eastAsia"/>
          <w:color w:val="000000"/>
        </w:rPr>
      </w:pPr>
      <w:r>
        <w:rPr>
          <w:rFonts w:ascii="Songti SC" w:hAnsi="Songti SC" w:eastAsia="Songti SC" w:cs="Songti SC"/>
          <w:b/>
          <w:color w:val="000000"/>
        </w:rPr>
        <w:t>工作目标：</w:t>
      </w:r>
      <w:r>
        <w:rPr>
          <w:rFonts w:ascii="Songti SC" w:hAnsi="Songti SC" w:eastAsia="Songti SC" w:cs="Songti SC"/>
          <w:color w:val="000000"/>
        </w:rPr>
        <w:t>让财务人员能够按固定路径核对充值、消费、补贴和退款。</w:t>
      </w:r>
    </w:p>
    <w:p w14:paraId="38A168F0">
      <w:pPr>
        <w:ind w:firstLine="482"/>
        <w:rPr>
          <w:rFonts w:hint="eastAsia"/>
          <w:color w:val="000000"/>
        </w:rPr>
      </w:pPr>
      <w:bookmarkStart w:id="404" w:name="_Toc1716784544"/>
      <w:r>
        <w:rPr>
          <w:rFonts w:ascii="Songti SC" w:hAnsi="Songti SC" w:eastAsia="Songti SC" w:cs="Songti SC"/>
          <w:b/>
          <w:color w:val="000000"/>
        </w:rPr>
        <w:t>具体做法</w:t>
      </w:r>
      <w:bookmarkEnd w:id="404"/>
    </w:p>
    <w:p w14:paraId="234392F6">
      <w:pPr>
        <w:ind w:firstLine="480"/>
        <w:rPr>
          <w:rFonts w:hint="eastAsia"/>
          <w:color w:val="000000"/>
        </w:rPr>
      </w:pPr>
      <w:r>
        <w:rPr>
          <w:rFonts w:ascii="Songti SC" w:hAnsi="Songti SC" w:eastAsia="Songti SC" w:cs="Songti SC"/>
          <w:color w:val="000000"/>
        </w:rPr>
        <w:t>按日期核对充值总额、消费总额、补贴发放、补贴使用和退款金额。</w:t>
      </w:r>
    </w:p>
    <w:p w14:paraId="72699DB0">
      <w:pPr>
        <w:ind w:firstLine="480"/>
        <w:rPr>
          <w:rFonts w:hint="eastAsia"/>
          <w:color w:val="000000"/>
        </w:rPr>
      </w:pPr>
      <w:r>
        <w:rPr>
          <w:rFonts w:ascii="Songti SC" w:hAnsi="Songti SC" w:eastAsia="Songti SC" w:cs="Songti SC"/>
          <w:color w:val="000000"/>
        </w:rPr>
        <w:t>从汇总报表下钻到人员和订单明细。</w:t>
      </w:r>
    </w:p>
    <w:p w14:paraId="58D35D3A">
      <w:pPr>
        <w:ind w:firstLine="480"/>
        <w:rPr>
          <w:rFonts w:hint="eastAsia"/>
          <w:color w:val="000000"/>
        </w:rPr>
      </w:pPr>
      <w:r>
        <w:rPr>
          <w:rFonts w:ascii="Songti SC" w:hAnsi="Songti SC" w:eastAsia="Songti SC" w:cs="Songti SC"/>
          <w:color w:val="000000"/>
        </w:rPr>
        <w:t>对差异数据按订单号、流水号和处理状态追踪。</w:t>
      </w:r>
    </w:p>
    <w:p w14:paraId="3FAC5050">
      <w:pPr>
        <w:ind w:firstLine="482"/>
        <w:rPr>
          <w:rFonts w:hint="eastAsia"/>
          <w:color w:val="000000"/>
        </w:rPr>
      </w:pPr>
      <w:r>
        <w:rPr>
          <w:rFonts w:ascii="Songti SC" w:hAnsi="Songti SC" w:eastAsia="Songti SC" w:cs="Songti SC"/>
          <w:b/>
          <w:color w:val="000000"/>
        </w:rPr>
        <w:t>兼容适配关注</w:t>
      </w:r>
    </w:p>
    <w:p w14:paraId="5091E986">
      <w:pPr>
        <w:ind w:firstLine="480"/>
        <w:rPr>
          <w:rFonts w:hint="eastAsia"/>
          <w:color w:val="000000"/>
        </w:rPr>
      </w:pPr>
      <w:r>
        <w:rPr>
          <w:rFonts w:ascii="Songti SC" w:hAnsi="Songti SC" w:eastAsia="Songti SC" w:cs="Songti SC"/>
          <w:color w:val="000000"/>
        </w:rPr>
        <w:t>财务报表金额精度和导出格式适配数据库及 Excel。</w:t>
      </w:r>
    </w:p>
    <w:p w14:paraId="08B89911">
      <w:pPr>
        <w:ind w:firstLine="480"/>
        <w:rPr>
          <w:rFonts w:hint="eastAsia"/>
          <w:color w:val="000000"/>
        </w:rPr>
      </w:pPr>
      <w:r>
        <w:rPr>
          <w:rFonts w:ascii="Songti SC" w:hAnsi="Songti SC" w:eastAsia="Songti SC" w:cs="Songti SC"/>
          <w:color w:val="000000"/>
        </w:rPr>
        <w:t>财务导出权限单独控制。</w:t>
      </w:r>
    </w:p>
    <w:p w14:paraId="2CD4DD6B">
      <w:pPr>
        <w:ind w:firstLine="482"/>
        <w:rPr>
          <w:rFonts w:hint="eastAsia"/>
          <w:color w:val="000000"/>
        </w:rPr>
      </w:pPr>
      <w:bookmarkStart w:id="405" w:name="_Toc1366087929"/>
      <w:r>
        <w:rPr>
          <w:rFonts w:ascii="Songti SC" w:hAnsi="Songti SC" w:eastAsia="Songti SC" w:cs="Songti SC"/>
          <w:b/>
          <w:color w:val="000000"/>
        </w:rPr>
        <w:t>运行关注</w:t>
      </w:r>
      <w:bookmarkEnd w:id="405"/>
    </w:p>
    <w:p w14:paraId="7D3F2D35">
      <w:pPr>
        <w:ind w:firstLine="480"/>
        <w:rPr>
          <w:rFonts w:hint="eastAsia"/>
          <w:color w:val="000000"/>
        </w:rPr>
      </w:pPr>
      <w:r>
        <w:rPr>
          <w:rFonts w:ascii="Songti SC" w:hAnsi="Songti SC" w:eastAsia="Songti SC" w:cs="Songti SC"/>
          <w:color w:val="000000"/>
        </w:rPr>
        <w:t>日清问题尽量当日处理。</w:t>
      </w:r>
    </w:p>
    <w:p w14:paraId="7BB63433">
      <w:pPr>
        <w:ind w:firstLine="480"/>
        <w:rPr>
          <w:rFonts w:hint="eastAsia"/>
          <w:color w:val="000000"/>
        </w:rPr>
      </w:pPr>
      <w:r>
        <w:rPr>
          <w:rFonts w:ascii="Songti SC" w:hAnsi="Songti SC" w:eastAsia="Songti SC" w:cs="Songti SC"/>
          <w:color w:val="000000"/>
        </w:rPr>
        <w:t>未处理差异应记录原因和下一步动作。</w:t>
      </w:r>
    </w:p>
    <w:p w14:paraId="17FD82BD">
      <w:pPr>
        <w:numPr>
          <w:ilvl w:val="0"/>
          <w:numId w:val="47"/>
        </w:numPr>
        <w:ind w:firstLineChars="0"/>
        <w:rPr>
          <w:rFonts w:hint="eastAsia"/>
          <w:b/>
          <w:color w:val="000000"/>
        </w:rPr>
      </w:pPr>
      <w:r>
        <w:rPr>
          <w:rFonts w:ascii="Songti SC" w:hAnsi="Songti SC" w:eastAsia="Songti SC" w:cs="Songti SC"/>
          <w:b/>
          <w:color w:val="000000"/>
        </w:rPr>
        <w:t>数据归档与清理</w:t>
      </w:r>
    </w:p>
    <w:p w14:paraId="738D4A06">
      <w:pPr>
        <w:ind w:firstLine="482"/>
        <w:rPr>
          <w:rFonts w:hint="eastAsia"/>
          <w:color w:val="000000"/>
        </w:rPr>
      </w:pPr>
      <w:r>
        <w:rPr>
          <w:rFonts w:ascii="Songti SC" w:hAnsi="Songti SC" w:eastAsia="Songti SC" w:cs="Songti SC"/>
          <w:b/>
          <w:color w:val="000000"/>
        </w:rPr>
        <w:t>工作目标：</w:t>
      </w:r>
      <w:r>
        <w:rPr>
          <w:rFonts w:ascii="Songti SC" w:hAnsi="Songti SC" w:eastAsia="Songti SC" w:cs="Songti SC"/>
          <w:color w:val="000000"/>
        </w:rPr>
        <w:t>控制历史数据、日志和导出文件长期增长带来的运行压力。</w:t>
      </w:r>
    </w:p>
    <w:p w14:paraId="0E5DBF52">
      <w:pPr>
        <w:ind w:firstLine="482"/>
        <w:rPr>
          <w:rFonts w:hint="eastAsia"/>
          <w:color w:val="000000"/>
        </w:rPr>
      </w:pPr>
      <w:bookmarkStart w:id="406" w:name="_Toc1092152626"/>
      <w:r>
        <w:rPr>
          <w:rFonts w:ascii="Songti SC" w:hAnsi="Songti SC" w:eastAsia="Songti SC" w:cs="Songti SC"/>
          <w:b/>
          <w:color w:val="000000"/>
        </w:rPr>
        <w:t>具体做法</w:t>
      </w:r>
      <w:bookmarkEnd w:id="406"/>
    </w:p>
    <w:p w14:paraId="3D815912">
      <w:pPr>
        <w:ind w:firstLine="480"/>
        <w:rPr>
          <w:rFonts w:hint="eastAsia"/>
          <w:color w:val="000000"/>
        </w:rPr>
      </w:pPr>
      <w:r>
        <w:rPr>
          <w:rFonts w:ascii="Songti SC" w:hAnsi="Songti SC" w:eastAsia="Songti SC" w:cs="Songti SC"/>
          <w:color w:val="000000"/>
        </w:rPr>
        <w:t>设置交易数据、操作日志、接口日志、导出文件和临时文件保留策略。</w:t>
      </w:r>
    </w:p>
    <w:p w14:paraId="2642EECB">
      <w:pPr>
        <w:ind w:firstLine="480"/>
        <w:rPr>
          <w:rFonts w:hint="eastAsia"/>
          <w:color w:val="000000"/>
        </w:rPr>
      </w:pPr>
      <w:r>
        <w:rPr>
          <w:rFonts w:ascii="Songti SC" w:hAnsi="Songti SC" w:eastAsia="Songti SC" w:cs="Songti SC"/>
          <w:color w:val="000000"/>
        </w:rPr>
        <w:t>对可归档数据按日期和类型归档。</w:t>
      </w:r>
    </w:p>
    <w:p w14:paraId="70CFA0C2">
      <w:pPr>
        <w:ind w:firstLine="480"/>
        <w:rPr>
          <w:rFonts w:hint="eastAsia"/>
          <w:color w:val="000000"/>
        </w:rPr>
      </w:pPr>
      <w:r>
        <w:rPr>
          <w:rFonts w:ascii="Songti SC" w:hAnsi="Songti SC" w:eastAsia="Songti SC" w:cs="Songti SC"/>
          <w:color w:val="000000"/>
        </w:rPr>
        <w:t>清理前确认不影响历史查询和财务核对。</w:t>
      </w:r>
    </w:p>
    <w:p w14:paraId="68572976">
      <w:pPr>
        <w:ind w:firstLine="482"/>
        <w:rPr>
          <w:rFonts w:hint="eastAsia"/>
          <w:color w:val="000000"/>
        </w:rPr>
      </w:pPr>
      <w:r>
        <w:rPr>
          <w:rFonts w:ascii="Songti SC" w:hAnsi="Songti SC" w:eastAsia="Songti SC" w:cs="Songti SC"/>
          <w:b/>
          <w:color w:val="000000"/>
        </w:rPr>
        <w:t>兼容适配关注</w:t>
      </w:r>
    </w:p>
    <w:p w14:paraId="72DE7EC9">
      <w:pPr>
        <w:ind w:firstLine="480"/>
        <w:rPr>
          <w:rFonts w:hint="eastAsia"/>
          <w:color w:val="000000"/>
        </w:rPr>
      </w:pPr>
      <w:r>
        <w:rPr>
          <w:rFonts w:ascii="Songti SC" w:hAnsi="Songti SC" w:eastAsia="Songti SC" w:cs="Songti SC"/>
          <w:color w:val="000000"/>
        </w:rPr>
        <w:t>归档脚本适配数据库和服务器操作系统文件目录。</w:t>
      </w:r>
    </w:p>
    <w:p w14:paraId="5CB2ECF0">
      <w:pPr>
        <w:ind w:firstLine="480"/>
        <w:rPr>
          <w:rFonts w:hint="eastAsia"/>
          <w:color w:val="000000"/>
        </w:rPr>
      </w:pPr>
      <w:r>
        <w:rPr>
          <w:rFonts w:ascii="Songti SC" w:hAnsi="Songti SC" w:eastAsia="Songti SC" w:cs="Songti SC"/>
          <w:color w:val="000000"/>
        </w:rPr>
        <w:t>清理任务设置日志和失败提醒。</w:t>
      </w:r>
    </w:p>
    <w:p w14:paraId="5738A035">
      <w:pPr>
        <w:ind w:firstLine="482"/>
        <w:rPr>
          <w:rFonts w:hint="eastAsia"/>
          <w:color w:val="000000"/>
        </w:rPr>
      </w:pPr>
      <w:bookmarkStart w:id="407" w:name="_Toc1586540894"/>
      <w:r>
        <w:rPr>
          <w:rFonts w:ascii="Songti SC" w:hAnsi="Songti SC" w:eastAsia="Songti SC" w:cs="Songti SC"/>
          <w:b/>
          <w:color w:val="000000"/>
        </w:rPr>
        <w:t>运行关注</w:t>
      </w:r>
      <w:bookmarkEnd w:id="407"/>
    </w:p>
    <w:p w14:paraId="3266F61C">
      <w:pPr>
        <w:ind w:firstLine="480"/>
        <w:rPr>
          <w:rFonts w:hint="eastAsia"/>
          <w:color w:val="000000"/>
        </w:rPr>
      </w:pPr>
      <w:r>
        <w:rPr>
          <w:rFonts w:ascii="Songti SC" w:hAnsi="Songti SC" w:eastAsia="Songti SC" w:cs="Songti SC"/>
          <w:color w:val="000000"/>
        </w:rPr>
        <w:t>不得清理未处理异常订单和未完成对账数据。</w:t>
      </w:r>
    </w:p>
    <w:p w14:paraId="32FC5661">
      <w:pPr>
        <w:ind w:firstLine="480"/>
        <w:rPr>
          <w:rFonts w:hint="eastAsia"/>
          <w:color w:val="000000"/>
        </w:rPr>
      </w:pPr>
      <w:r>
        <w:rPr>
          <w:rFonts w:ascii="Songti SC" w:hAnsi="Songti SC" w:eastAsia="Songti SC" w:cs="Songti SC"/>
          <w:color w:val="000000"/>
        </w:rPr>
        <w:t>归档策略调整需提前评估查询影响。</w:t>
      </w:r>
    </w:p>
    <w:p w14:paraId="158AA8A6">
      <w:pPr>
        <w:numPr>
          <w:ilvl w:val="0"/>
          <w:numId w:val="47"/>
        </w:numPr>
        <w:ind w:firstLineChars="0"/>
        <w:rPr>
          <w:rFonts w:hint="eastAsia"/>
          <w:b/>
          <w:color w:val="000000"/>
        </w:rPr>
      </w:pPr>
      <w:r>
        <w:rPr>
          <w:rFonts w:ascii="Songti SC" w:hAnsi="Songti SC" w:eastAsia="Songti SC" w:cs="Songti SC"/>
          <w:b/>
          <w:color w:val="000000"/>
        </w:rPr>
        <w:t>基础数据变更管理</w:t>
      </w:r>
    </w:p>
    <w:p w14:paraId="0374A0E1">
      <w:pPr>
        <w:ind w:firstLine="482"/>
        <w:rPr>
          <w:rFonts w:hint="eastAsia"/>
          <w:color w:val="000000"/>
        </w:rPr>
      </w:pPr>
      <w:r>
        <w:rPr>
          <w:rFonts w:ascii="Songti SC" w:hAnsi="Songti SC" w:eastAsia="Songti SC" w:cs="Songti SC"/>
          <w:b/>
          <w:color w:val="000000"/>
        </w:rPr>
        <w:t>工作目标：</w:t>
      </w:r>
      <w:r>
        <w:rPr>
          <w:rFonts w:ascii="Songti SC" w:hAnsi="Songti SC" w:eastAsia="Songti SC" w:cs="Songti SC"/>
          <w:color w:val="000000"/>
        </w:rPr>
        <w:t>规范餐厅、菜品、餐次、身份类别和策略的变更。</w:t>
      </w:r>
    </w:p>
    <w:p w14:paraId="2C4C9089">
      <w:pPr>
        <w:ind w:firstLine="482"/>
        <w:rPr>
          <w:rFonts w:hint="eastAsia"/>
          <w:color w:val="000000"/>
        </w:rPr>
      </w:pPr>
      <w:r>
        <w:rPr>
          <w:rFonts w:ascii="Songti SC" w:hAnsi="Songti SC" w:eastAsia="Songti SC" w:cs="Songti SC"/>
          <w:b/>
          <w:color w:val="000000"/>
        </w:rPr>
        <w:t>具体做法</w:t>
      </w:r>
    </w:p>
    <w:p w14:paraId="1051A579">
      <w:pPr>
        <w:ind w:firstLine="480"/>
        <w:rPr>
          <w:rFonts w:hint="eastAsia"/>
          <w:color w:val="000000"/>
        </w:rPr>
      </w:pPr>
      <w:r>
        <w:rPr>
          <w:rFonts w:ascii="Songti SC" w:hAnsi="Songti SC" w:eastAsia="Songti SC" w:cs="Songti SC"/>
          <w:color w:val="000000"/>
        </w:rPr>
        <w:t>变更前说明原因、影响范围和生效时间。</w:t>
      </w:r>
    </w:p>
    <w:p w14:paraId="2745D44C">
      <w:pPr>
        <w:ind w:firstLine="480"/>
        <w:rPr>
          <w:rFonts w:hint="eastAsia"/>
          <w:color w:val="000000"/>
        </w:rPr>
      </w:pPr>
      <w:r>
        <w:rPr>
          <w:rFonts w:ascii="Songti SC" w:hAnsi="Songti SC" w:eastAsia="Songti SC" w:cs="Songti SC"/>
          <w:color w:val="000000"/>
        </w:rPr>
        <w:t>变更后验证管理端、小程序端、消费机和报表显示。</w:t>
      </w:r>
    </w:p>
    <w:p w14:paraId="3CEE2A12">
      <w:pPr>
        <w:ind w:firstLine="480"/>
        <w:rPr>
          <w:rFonts w:hint="eastAsia"/>
          <w:color w:val="000000"/>
        </w:rPr>
      </w:pPr>
      <w:r>
        <w:rPr>
          <w:rFonts w:ascii="Songti SC" w:hAnsi="Songti SC" w:eastAsia="Songti SC" w:cs="Songti SC"/>
          <w:color w:val="000000"/>
        </w:rPr>
        <w:t>重大变更避开就餐高峰。</w:t>
      </w:r>
    </w:p>
    <w:p w14:paraId="17D0D2CD">
      <w:pPr>
        <w:ind w:firstLine="482"/>
        <w:rPr>
          <w:rFonts w:hint="eastAsia"/>
          <w:color w:val="000000"/>
        </w:rPr>
      </w:pPr>
      <w:r>
        <w:rPr>
          <w:rFonts w:ascii="Songti SC" w:hAnsi="Songti SC" w:eastAsia="Songti SC" w:cs="Songti SC"/>
          <w:b/>
          <w:color w:val="000000"/>
        </w:rPr>
        <w:t>兼容适配关注</w:t>
      </w:r>
    </w:p>
    <w:p w14:paraId="4133C948">
      <w:pPr>
        <w:ind w:firstLine="480"/>
        <w:rPr>
          <w:rFonts w:hint="eastAsia"/>
          <w:color w:val="000000"/>
        </w:rPr>
      </w:pPr>
      <w:r>
        <w:rPr>
          <w:rFonts w:ascii="Songti SC" w:hAnsi="Songti SC" w:eastAsia="Songti SC" w:cs="Songti SC"/>
          <w:color w:val="000000"/>
        </w:rPr>
        <w:t>配置变更保留版本，历史订单关联原配置。</w:t>
      </w:r>
    </w:p>
    <w:p w14:paraId="7ABD9B94">
      <w:pPr>
        <w:ind w:firstLine="480"/>
        <w:rPr>
          <w:rFonts w:hint="eastAsia"/>
          <w:color w:val="000000"/>
        </w:rPr>
      </w:pPr>
      <w:r>
        <w:rPr>
          <w:rFonts w:ascii="Songti SC" w:hAnsi="Songti SC" w:eastAsia="Songti SC" w:cs="Songti SC"/>
          <w:color w:val="000000"/>
        </w:rPr>
        <w:t>数据库中记录变更前后值。</w:t>
      </w:r>
    </w:p>
    <w:p w14:paraId="57068775">
      <w:pPr>
        <w:ind w:firstLine="482"/>
        <w:rPr>
          <w:rFonts w:hint="eastAsia"/>
          <w:color w:val="000000"/>
        </w:rPr>
      </w:pPr>
      <w:r>
        <w:rPr>
          <w:rFonts w:ascii="Songti SC" w:hAnsi="Songti SC" w:eastAsia="Songti SC" w:cs="Songti SC"/>
          <w:b/>
          <w:color w:val="000000"/>
        </w:rPr>
        <w:t>运行关注</w:t>
      </w:r>
    </w:p>
    <w:p w14:paraId="308775BC">
      <w:pPr>
        <w:ind w:firstLine="480"/>
        <w:rPr>
          <w:rFonts w:hint="eastAsia"/>
          <w:color w:val="000000"/>
        </w:rPr>
      </w:pPr>
      <w:r>
        <w:rPr>
          <w:rFonts w:ascii="Songti SC" w:hAnsi="Songti SC" w:eastAsia="Songti SC" w:cs="Songti SC"/>
          <w:color w:val="000000"/>
        </w:rPr>
        <w:t>配置变更是很多异常的来源，排查时优先查看近期变更。</w:t>
      </w:r>
    </w:p>
    <w:p w14:paraId="57BC8C28">
      <w:pPr>
        <w:ind w:firstLine="480"/>
        <w:rPr>
          <w:rFonts w:hint="eastAsia"/>
          <w:color w:val="000000"/>
        </w:rPr>
      </w:pPr>
      <w:r>
        <w:rPr>
          <w:rFonts w:ascii="Songti SC" w:hAnsi="Songti SC" w:eastAsia="Songti SC" w:cs="Songti SC"/>
          <w:color w:val="000000"/>
        </w:rPr>
        <w:t>变更不清晰会影响报表口径。</w:t>
      </w:r>
    </w:p>
    <w:p w14:paraId="7759B2B8">
      <w:pPr>
        <w:numPr>
          <w:ilvl w:val="0"/>
          <w:numId w:val="47"/>
        </w:numPr>
        <w:ind w:firstLineChars="0"/>
        <w:rPr>
          <w:rFonts w:hint="eastAsia"/>
          <w:b/>
          <w:color w:val="000000"/>
        </w:rPr>
      </w:pPr>
      <w:r>
        <w:rPr>
          <w:rFonts w:ascii="Songti SC" w:hAnsi="Songti SC" w:eastAsia="Songti SC" w:cs="Songti SC"/>
          <w:b/>
          <w:color w:val="000000"/>
        </w:rPr>
        <w:t>消费机参数版本管理</w:t>
      </w:r>
    </w:p>
    <w:p w14:paraId="472A3507">
      <w:pPr>
        <w:ind w:firstLine="482"/>
        <w:rPr>
          <w:rFonts w:hint="eastAsia"/>
          <w:color w:val="000000"/>
        </w:rPr>
      </w:pPr>
      <w:r>
        <w:rPr>
          <w:rFonts w:ascii="Songti SC" w:hAnsi="Songti SC" w:eastAsia="Songti SC" w:cs="Songti SC"/>
          <w:b/>
          <w:color w:val="000000"/>
        </w:rPr>
        <w:t>工作目标：</w:t>
      </w:r>
      <w:r>
        <w:rPr>
          <w:rFonts w:ascii="Songti SC" w:hAnsi="Songti SC" w:eastAsia="Songti SC" w:cs="Songti SC"/>
          <w:color w:val="000000"/>
        </w:rPr>
        <w:t>保障服务地址、餐次、支付开关、显示字段等参数可控下发。</w:t>
      </w:r>
    </w:p>
    <w:p w14:paraId="394134DF">
      <w:pPr>
        <w:ind w:firstLine="482"/>
        <w:rPr>
          <w:rFonts w:hint="eastAsia"/>
          <w:color w:val="000000"/>
        </w:rPr>
      </w:pPr>
      <w:r>
        <w:rPr>
          <w:rFonts w:ascii="Songti SC" w:hAnsi="Songti SC" w:eastAsia="Songti SC" w:cs="Songti SC"/>
          <w:b/>
          <w:color w:val="000000"/>
        </w:rPr>
        <w:t>具体做法</w:t>
      </w:r>
    </w:p>
    <w:p w14:paraId="159614FF">
      <w:pPr>
        <w:ind w:firstLine="480"/>
        <w:rPr>
          <w:rFonts w:hint="eastAsia"/>
          <w:color w:val="000000"/>
        </w:rPr>
      </w:pPr>
      <w:r>
        <w:rPr>
          <w:rFonts w:ascii="Songti SC" w:hAnsi="Songti SC" w:eastAsia="Songti SC" w:cs="Songti SC"/>
          <w:color w:val="000000"/>
        </w:rPr>
        <w:t>给每次参数调整生成版本号。</w:t>
      </w:r>
    </w:p>
    <w:p w14:paraId="39B04724">
      <w:pPr>
        <w:ind w:firstLine="480"/>
        <w:rPr>
          <w:rFonts w:hint="eastAsia"/>
          <w:color w:val="000000"/>
        </w:rPr>
      </w:pPr>
      <w:r>
        <w:rPr>
          <w:rFonts w:ascii="Songti SC" w:hAnsi="Songti SC" w:eastAsia="Songti SC" w:cs="Songti SC"/>
          <w:color w:val="000000"/>
        </w:rPr>
        <w:t>消费机获取参数后回传生效状态。</w:t>
      </w:r>
    </w:p>
    <w:p w14:paraId="3AA5F503">
      <w:pPr>
        <w:ind w:firstLine="480"/>
        <w:rPr>
          <w:rFonts w:hint="eastAsia"/>
          <w:color w:val="000000"/>
        </w:rPr>
      </w:pPr>
      <w:r>
        <w:rPr>
          <w:rFonts w:ascii="Songti SC" w:hAnsi="Songti SC" w:eastAsia="Songti SC" w:cs="Songti SC"/>
          <w:color w:val="000000"/>
        </w:rPr>
        <w:t>失败消费机支持重发和回读。</w:t>
      </w:r>
    </w:p>
    <w:p w14:paraId="0BB55221">
      <w:pPr>
        <w:ind w:firstLine="482"/>
        <w:rPr>
          <w:rFonts w:hint="eastAsia"/>
          <w:color w:val="000000"/>
        </w:rPr>
      </w:pPr>
      <w:r>
        <w:rPr>
          <w:rFonts w:ascii="Songti SC" w:hAnsi="Songti SC" w:eastAsia="Songti SC" w:cs="Songti SC"/>
          <w:b/>
          <w:color w:val="000000"/>
        </w:rPr>
        <w:t>兼容适配关注</w:t>
      </w:r>
    </w:p>
    <w:p w14:paraId="461C6DE4">
      <w:pPr>
        <w:ind w:firstLine="480"/>
        <w:rPr>
          <w:rFonts w:hint="eastAsia"/>
          <w:color w:val="000000"/>
        </w:rPr>
      </w:pPr>
      <w:r>
        <w:rPr>
          <w:rFonts w:ascii="Songti SC" w:hAnsi="Songti SC" w:eastAsia="Songti SC" w:cs="Songti SC"/>
          <w:color w:val="000000"/>
        </w:rPr>
        <w:t>参数版本和消费机状态写入设备运行库。</w:t>
      </w:r>
    </w:p>
    <w:p w14:paraId="4BB09C9E">
      <w:pPr>
        <w:ind w:firstLine="480"/>
        <w:rPr>
          <w:rFonts w:hint="eastAsia"/>
          <w:color w:val="000000"/>
        </w:rPr>
      </w:pPr>
      <w:r>
        <w:rPr>
          <w:rFonts w:ascii="Songti SC" w:hAnsi="Songti SC" w:eastAsia="Songti SC" w:cs="Songti SC"/>
          <w:color w:val="000000"/>
        </w:rPr>
        <w:t>参数文件或接口适配本地运行环境编码和传输。</w:t>
      </w:r>
    </w:p>
    <w:p w14:paraId="51753C9A">
      <w:pPr>
        <w:ind w:firstLine="482"/>
        <w:rPr>
          <w:rFonts w:hint="eastAsia"/>
          <w:color w:val="000000"/>
        </w:rPr>
      </w:pPr>
      <w:r>
        <w:rPr>
          <w:rFonts w:ascii="Songti SC" w:hAnsi="Songti SC" w:eastAsia="Songti SC" w:cs="Songti SC"/>
          <w:b/>
          <w:color w:val="000000"/>
        </w:rPr>
        <w:t>运行关注</w:t>
      </w:r>
    </w:p>
    <w:p w14:paraId="19A2CCAB">
      <w:pPr>
        <w:ind w:firstLine="480"/>
        <w:rPr>
          <w:rFonts w:hint="eastAsia"/>
          <w:color w:val="000000"/>
        </w:rPr>
      </w:pPr>
      <w:r>
        <w:rPr>
          <w:rFonts w:ascii="Songti SC" w:hAnsi="Songti SC" w:eastAsia="Songti SC" w:cs="Songti SC"/>
          <w:color w:val="000000"/>
        </w:rPr>
        <w:t>参数下发后抽样现场验证。</w:t>
      </w:r>
    </w:p>
    <w:p w14:paraId="1592851B">
      <w:pPr>
        <w:ind w:firstLine="480"/>
        <w:rPr>
          <w:rFonts w:hint="eastAsia"/>
          <w:color w:val="000000"/>
        </w:rPr>
      </w:pPr>
      <w:r>
        <w:rPr>
          <w:rFonts w:ascii="Songti SC" w:hAnsi="Songti SC" w:eastAsia="Songti SC" w:cs="Songti SC"/>
          <w:color w:val="000000"/>
        </w:rPr>
        <w:t>参数错误时可回退到上一版本。</w:t>
      </w:r>
    </w:p>
    <w:p w14:paraId="31090D23">
      <w:pPr>
        <w:numPr>
          <w:ilvl w:val="0"/>
          <w:numId w:val="47"/>
        </w:numPr>
        <w:ind w:firstLineChars="0"/>
        <w:rPr>
          <w:rFonts w:hint="eastAsia"/>
          <w:b/>
          <w:color w:val="000000"/>
        </w:rPr>
      </w:pPr>
      <w:r>
        <w:rPr>
          <w:rFonts w:ascii="Songti SC" w:hAnsi="Songti SC" w:eastAsia="Songti SC" w:cs="Songti SC"/>
          <w:b/>
          <w:color w:val="000000"/>
        </w:rPr>
        <w:t>关键页面可用性优化</w:t>
      </w:r>
    </w:p>
    <w:p w14:paraId="4349D7A0">
      <w:pPr>
        <w:ind w:firstLine="482"/>
        <w:rPr>
          <w:rFonts w:hint="eastAsia"/>
          <w:color w:val="000000"/>
        </w:rPr>
      </w:pPr>
      <w:r>
        <w:rPr>
          <w:rFonts w:ascii="Songti SC" w:hAnsi="Songti SC" w:eastAsia="Songti SC" w:cs="Songti SC"/>
          <w:b/>
          <w:color w:val="000000"/>
        </w:rPr>
        <w:t>工作目标：</w:t>
      </w:r>
      <w:r>
        <w:rPr>
          <w:rFonts w:ascii="Songti SC" w:hAnsi="Songti SC" w:eastAsia="Songti SC" w:cs="Songti SC"/>
          <w:color w:val="000000"/>
        </w:rPr>
        <w:t>让业务人员高频使用页面更易操作。</w:t>
      </w:r>
    </w:p>
    <w:p w14:paraId="02E1DBC9">
      <w:pPr>
        <w:ind w:firstLine="482"/>
        <w:rPr>
          <w:rFonts w:hint="eastAsia"/>
          <w:color w:val="000000"/>
        </w:rPr>
      </w:pPr>
      <w:r>
        <w:rPr>
          <w:rFonts w:ascii="Songti SC" w:hAnsi="Songti SC" w:eastAsia="Songti SC" w:cs="Songti SC"/>
          <w:b/>
          <w:color w:val="000000"/>
        </w:rPr>
        <w:t>具体做法</w:t>
      </w:r>
    </w:p>
    <w:p w14:paraId="2DB96C83">
      <w:pPr>
        <w:ind w:firstLine="480"/>
        <w:rPr>
          <w:rFonts w:hint="eastAsia"/>
          <w:color w:val="000000"/>
        </w:rPr>
      </w:pPr>
      <w:r>
        <w:rPr>
          <w:rFonts w:ascii="Songti SC" w:hAnsi="Songti SC" w:eastAsia="Songti SC" w:cs="Songti SC"/>
          <w:color w:val="000000"/>
        </w:rPr>
        <w:t>优化人员查询、充值处理、订单查询、报表导出、消费机状态页面的筛选条件和默认排序。</w:t>
      </w:r>
    </w:p>
    <w:p w14:paraId="3D84A3CD">
      <w:pPr>
        <w:ind w:firstLine="480"/>
        <w:rPr>
          <w:rFonts w:hint="eastAsia"/>
          <w:color w:val="000000"/>
        </w:rPr>
      </w:pPr>
      <w:r>
        <w:rPr>
          <w:rFonts w:ascii="Songti SC" w:hAnsi="Songti SC" w:eastAsia="Songti SC" w:cs="Songti SC"/>
          <w:color w:val="000000"/>
        </w:rPr>
        <w:t>减少无关字段干扰，突出人员、金额、状态、时间和处理结果。</w:t>
      </w:r>
    </w:p>
    <w:p w14:paraId="248CC185">
      <w:pPr>
        <w:ind w:firstLine="480"/>
        <w:rPr>
          <w:rFonts w:hint="eastAsia"/>
          <w:color w:val="000000"/>
        </w:rPr>
      </w:pPr>
      <w:r>
        <w:rPr>
          <w:rFonts w:ascii="Songti SC" w:hAnsi="Songti SC" w:eastAsia="Songti SC" w:cs="Songti SC"/>
          <w:color w:val="000000"/>
        </w:rPr>
        <w:t>错误提示使用业务人员能理解的表达。</w:t>
      </w:r>
    </w:p>
    <w:p w14:paraId="46E8E12F">
      <w:pPr>
        <w:ind w:firstLine="482"/>
        <w:rPr>
          <w:rFonts w:hint="eastAsia"/>
          <w:color w:val="000000"/>
        </w:rPr>
      </w:pPr>
      <w:r>
        <w:rPr>
          <w:rFonts w:ascii="Songti SC" w:hAnsi="Songti SC" w:eastAsia="Songti SC" w:cs="Songti SC"/>
          <w:b/>
          <w:color w:val="000000"/>
        </w:rPr>
        <w:t>兼容适配关注</w:t>
      </w:r>
    </w:p>
    <w:p w14:paraId="6F13A80E">
      <w:pPr>
        <w:ind w:firstLine="480"/>
        <w:rPr>
          <w:rFonts w:hint="eastAsia"/>
          <w:color w:val="000000"/>
        </w:rPr>
      </w:pPr>
      <w:r>
        <w:rPr>
          <w:rFonts w:ascii="Songti SC" w:hAnsi="Songti SC" w:eastAsia="Songti SC" w:cs="Songti SC"/>
          <w:color w:val="000000"/>
        </w:rPr>
        <w:t>页面在现有办公浏览器和常见分辨率下显示完整。</w:t>
      </w:r>
    </w:p>
    <w:p w14:paraId="60231513">
      <w:pPr>
        <w:ind w:firstLine="480"/>
        <w:rPr>
          <w:rFonts w:hint="eastAsia"/>
          <w:color w:val="000000"/>
        </w:rPr>
      </w:pPr>
      <w:r>
        <w:rPr>
          <w:rFonts w:ascii="Songti SC" w:hAnsi="Songti SC" w:eastAsia="Songti SC" w:cs="Songti SC"/>
          <w:color w:val="000000"/>
        </w:rPr>
        <w:t>导入导出按钮和弹窗不依赖特定插件。</w:t>
      </w:r>
    </w:p>
    <w:p w14:paraId="3CEC5AA3">
      <w:pPr>
        <w:ind w:firstLine="482"/>
        <w:rPr>
          <w:rFonts w:hint="eastAsia"/>
          <w:color w:val="000000"/>
        </w:rPr>
      </w:pPr>
      <w:r>
        <w:rPr>
          <w:rFonts w:ascii="Songti SC" w:hAnsi="Songti SC" w:eastAsia="Songti SC" w:cs="Songti SC"/>
          <w:b/>
          <w:color w:val="000000"/>
        </w:rPr>
        <w:t>运行关注</w:t>
      </w:r>
    </w:p>
    <w:p w14:paraId="525DE5CC">
      <w:pPr>
        <w:ind w:firstLine="480"/>
        <w:rPr>
          <w:rFonts w:hint="eastAsia"/>
          <w:color w:val="000000"/>
        </w:rPr>
      </w:pPr>
      <w:r>
        <w:rPr>
          <w:rFonts w:ascii="Songti SC" w:hAnsi="Songti SC" w:eastAsia="Songti SC" w:cs="Songti SC"/>
          <w:color w:val="000000"/>
        </w:rPr>
        <w:t>上线初期收集业务人员反馈。</w:t>
      </w:r>
    </w:p>
    <w:p w14:paraId="7745A0FE">
      <w:pPr>
        <w:ind w:firstLine="480"/>
        <w:rPr>
          <w:rFonts w:hint="eastAsia"/>
          <w:color w:val="000000"/>
        </w:rPr>
      </w:pPr>
      <w:r>
        <w:rPr>
          <w:rFonts w:ascii="Songti SC" w:hAnsi="Songti SC" w:eastAsia="Songti SC" w:cs="Songti SC"/>
          <w:color w:val="000000"/>
        </w:rPr>
        <w:t>页面优化不改变核心业务规则。</w:t>
      </w:r>
    </w:p>
    <w:p w14:paraId="453E20F7">
      <w:pPr>
        <w:numPr>
          <w:ilvl w:val="0"/>
          <w:numId w:val="47"/>
        </w:numPr>
        <w:ind w:firstLineChars="0"/>
        <w:rPr>
          <w:rFonts w:hint="eastAsia"/>
          <w:b/>
          <w:color w:val="000000"/>
        </w:rPr>
      </w:pPr>
      <w:r>
        <w:rPr>
          <w:rFonts w:ascii="Songti SC" w:hAnsi="Songti SC" w:eastAsia="Songti SC" w:cs="Songti SC"/>
          <w:b/>
          <w:color w:val="000000"/>
        </w:rPr>
        <w:t>安全加固整改</w:t>
      </w:r>
    </w:p>
    <w:p w14:paraId="7B8384C2">
      <w:pPr>
        <w:ind w:firstLine="482"/>
        <w:rPr>
          <w:rFonts w:hint="eastAsia"/>
          <w:color w:val="000000"/>
        </w:rPr>
      </w:pPr>
      <w:r>
        <w:rPr>
          <w:rFonts w:ascii="Songti SC" w:hAnsi="Songti SC" w:eastAsia="Songti SC" w:cs="Songti SC"/>
          <w:b/>
          <w:color w:val="000000"/>
        </w:rPr>
        <w:t>工作目标：</w:t>
      </w:r>
      <w:r>
        <w:rPr>
          <w:rFonts w:ascii="Songti SC" w:hAnsi="Songti SC" w:eastAsia="Songti SC" w:cs="Songti SC"/>
          <w:color w:val="000000"/>
        </w:rPr>
        <w:t>围绕账号、权限、接口、日志和数据保护进行加固。</w:t>
      </w:r>
    </w:p>
    <w:p w14:paraId="7F890F4B">
      <w:pPr>
        <w:ind w:firstLine="482"/>
        <w:rPr>
          <w:rFonts w:hint="eastAsia"/>
          <w:color w:val="000000"/>
        </w:rPr>
      </w:pPr>
      <w:r>
        <w:rPr>
          <w:rFonts w:ascii="Songti SC" w:hAnsi="Songti SC" w:eastAsia="Songti SC" w:cs="Songti SC"/>
          <w:b/>
          <w:color w:val="000000"/>
        </w:rPr>
        <w:t>具体做法</w:t>
      </w:r>
    </w:p>
    <w:p w14:paraId="481CA429">
      <w:pPr>
        <w:ind w:firstLine="480"/>
        <w:rPr>
          <w:rFonts w:hint="eastAsia"/>
          <w:color w:val="000000"/>
        </w:rPr>
      </w:pPr>
      <w:r>
        <w:rPr>
          <w:rFonts w:ascii="Songti SC" w:hAnsi="Songti SC" w:eastAsia="Songti SC" w:cs="Songti SC"/>
          <w:color w:val="000000"/>
        </w:rPr>
        <w:t>关闭无用账号和默认口令。</w:t>
      </w:r>
    </w:p>
    <w:p w14:paraId="0DD292BD">
      <w:pPr>
        <w:ind w:firstLine="480"/>
        <w:rPr>
          <w:rFonts w:hint="eastAsia"/>
          <w:color w:val="000000"/>
        </w:rPr>
      </w:pPr>
      <w:r>
        <w:rPr>
          <w:rFonts w:ascii="Songti SC" w:hAnsi="Songti SC" w:eastAsia="Songti SC" w:cs="Songti SC"/>
          <w:color w:val="000000"/>
        </w:rPr>
        <w:t>收敛开放端口和访问来源。</w:t>
      </w:r>
    </w:p>
    <w:p w14:paraId="625407F8">
      <w:pPr>
        <w:ind w:firstLine="480"/>
        <w:rPr>
          <w:rFonts w:hint="eastAsia"/>
          <w:color w:val="000000"/>
        </w:rPr>
      </w:pPr>
      <w:r>
        <w:rPr>
          <w:rFonts w:ascii="Songti SC" w:hAnsi="Songti SC" w:eastAsia="Songti SC" w:cs="Songti SC"/>
          <w:color w:val="000000"/>
        </w:rPr>
        <w:t>加强敏感数据展示、导出和日志脱敏。</w:t>
      </w:r>
    </w:p>
    <w:p w14:paraId="4CC28E7C">
      <w:pPr>
        <w:ind w:firstLine="482"/>
        <w:rPr>
          <w:rFonts w:hint="eastAsia"/>
          <w:color w:val="000000"/>
        </w:rPr>
      </w:pPr>
      <w:r>
        <w:rPr>
          <w:rFonts w:ascii="Songti SC" w:hAnsi="Songti SC" w:eastAsia="Songti SC" w:cs="Songti SC"/>
          <w:b/>
          <w:color w:val="000000"/>
        </w:rPr>
        <w:t>兼容适配关注</w:t>
      </w:r>
    </w:p>
    <w:p w14:paraId="5EE0F945">
      <w:pPr>
        <w:ind w:firstLine="480"/>
        <w:rPr>
          <w:rFonts w:hint="eastAsia"/>
          <w:color w:val="000000"/>
        </w:rPr>
      </w:pPr>
      <w:r>
        <w:rPr>
          <w:rFonts w:ascii="Songti SC" w:hAnsi="Songti SC" w:eastAsia="Songti SC" w:cs="Songti SC"/>
          <w:color w:val="000000"/>
        </w:rPr>
        <w:t>加固措施适配服务器操作系统、中间件和数据库。</w:t>
      </w:r>
    </w:p>
    <w:p w14:paraId="77C7BE2E">
      <w:pPr>
        <w:ind w:firstLine="480"/>
        <w:rPr>
          <w:rFonts w:hint="eastAsia"/>
          <w:color w:val="000000"/>
        </w:rPr>
      </w:pPr>
      <w:r>
        <w:rPr>
          <w:rFonts w:ascii="Songti SC" w:hAnsi="Songti SC" w:eastAsia="Songti SC" w:cs="Songti SC"/>
          <w:color w:val="000000"/>
        </w:rPr>
        <w:t>接口签名、证书和时间同步统一配置。</w:t>
      </w:r>
    </w:p>
    <w:p w14:paraId="44D7DD0D">
      <w:pPr>
        <w:ind w:firstLine="482"/>
        <w:rPr>
          <w:rFonts w:hint="eastAsia"/>
          <w:color w:val="000000"/>
        </w:rPr>
      </w:pPr>
      <w:r>
        <w:rPr>
          <w:rFonts w:ascii="Songti SC" w:hAnsi="Songti SC" w:eastAsia="Songti SC" w:cs="Songti SC"/>
          <w:b/>
          <w:color w:val="000000"/>
        </w:rPr>
        <w:t>运行关注</w:t>
      </w:r>
    </w:p>
    <w:p w14:paraId="28481CC2">
      <w:pPr>
        <w:ind w:firstLine="480"/>
        <w:rPr>
          <w:rFonts w:hint="eastAsia"/>
          <w:color w:val="000000"/>
        </w:rPr>
      </w:pPr>
      <w:r>
        <w:rPr>
          <w:rFonts w:ascii="Songti SC" w:hAnsi="Songti SC" w:eastAsia="Songti SC" w:cs="Songti SC"/>
          <w:color w:val="000000"/>
        </w:rPr>
        <w:t>加固不能影响消费机交易和充值链路。</w:t>
      </w:r>
    </w:p>
    <w:p w14:paraId="7183FA91">
      <w:pPr>
        <w:ind w:firstLine="480"/>
        <w:rPr>
          <w:rFonts w:hint="eastAsia"/>
          <w:color w:val="000000"/>
        </w:rPr>
      </w:pPr>
      <w:r>
        <w:rPr>
          <w:rFonts w:ascii="Songti SC" w:hAnsi="Songti SC" w:eastAsia="Songti SC" w:cs="Songti SC"/>
          <w:color w:val="000000"/>
        </w:rPr>
        <w:t>加固后需做关键功能回归。</w:t>
      </w:r>
    </w:p>
    <w:p w14:paraId="6F308070">
      <w:pPr>
        <w:numPr>
          <w:ilvl w:val="0"/>
          <w:numId w:val="47"/>
        </w:numPr>
        <w:ind w:firstLineChars="0"/>
        <w:rPr>
          <w:rFonts w:hint="eastAsia"/>
          <w:b/>
          <w:color w:val="000000"/>
        </w:rPr>
      </w:pPr>
      <w:r>
        <w:rPr>
          <w:rFonts w:ascii="Songti SC" w:hAnsi="Songti SC" w:eastAsia="Songti SC" w:cs="Songti SC"/>
          <w:b/>
          <w:color w:val="000000"/>
        </w:rPr>
        <w:t>商用密码应用配合</w:t>
      </w:r>
    </w:p>
    <w:p w14:paraId="32BC3AF4">
      <w:pPr>
        <w:ind w:firstLine="482"/>
        <w:rPr>
          <w:rFonts w:hint="eastAsia"/>
          <w:color w:val="000000"/>
        </w:rPr>
      </w:pPr>
      <w:r>
        <w:rPr>
          <w:rFonts w:ascii="Songti SC" w:hAnsi="Songti SC" w:eastAsia="Songti SC" w:cs="Songti SC"/>
          <w:b/>
          <w:color w:val="000000"/>
        </w:rPr>
        <w:t>工作目标：</w:t>
      </w:r>
      <w:r>
        <w:rPr>
          <w:rFonts w:ascii="Songti SC" w:hAnsi="Songti SC" w:eastAsia="Songti SC" w:cs="Songti SC"/>
          <w:color w:val="000000"/>
        </w:rPr>
        <w:t>建设单位组织系统在身份鉴别、通信保护和数据保护方面的密码应用改造，督促承建单位实施并提交验证材料。</w:t>
      </w:r>
    </w:p>
    <w:p w14:paraId="7A2E7CA0">
      <w:pPr>
        <w:ind w:firstLine="482"/>
        <w:rPr>
          <w:rFonts w:hint="eastAsia"/>
          <w:color w:val="000000"/>
        </w:rPr>
      </w:pPr>
      <w:r>
        <w:rPr>
          <w:rFonts w:ascii="Songti SC" w:hAnsi="Songti SC" w:eastAsia="Songti SC" w:cs="Songti SC"/>
          <w:b/>
          <w:color w:val="000000"/>
        </w:rPr>
        <w:t>具体做法</w:t>
      </w:r>
    </w:p>
    <w:p w14:paraId="64700C18">
      <w:pPr>
        <w:ind w:firstLine="480"/>
        <w:rPr>
          <w:rFonts w:hint="eastAsia"/>
          <w:color w:val="000000"/>
        </w:rPr>
      </w:pPr>
      <w:r>
        <w:rPr>
          <w:rFonts w:ascii="Songti SC" w:hAnsi="Songti SC" w:eastAsia="Songti SC" w:cs="Songti SC"/>
          <w:color w:val="000000"/>
        </w:rPr>
        <w:t>梳理管理端、小程序端、消费机和外部接口的通信链路。</w:t>
      </w:r>
    </w:p>
    <w:p w14:paraId="398CEC3B">
      <w:pPr>
        <w:ind w:firstLine="480"/>
        <w:rPr>
          <w:rFonts w:hint="eastAsia"/>
          <w:color w:val="000000"/>
        </w:rPr>
      </w:pPr>
      <w:r>
        <w:rPr>
          <w:rFonts w:ascii="Songti SC" w:hAnsi="Songti SC" w:eastAsia="Songti SC" w:cs="Songti SC"/>
          <w:color w:val="000000"/>
        </w:rPr>
        <w:t>确认需要使用证书、加密传输、签名验签和防重放的位置。</w:t>
      </w:r>
    </w:p>
    <w:p w14:paraId="6E4F6268">
      <w:pPr>
        <w:ind w:firstLine="480"/>
        <w:rPr>
          <w:rFonts w:hint="eastAsia"/>
          <w:color w:val="000000"/>
        </w:rPr>
      </w:pPr>
      <w:r>
        <w:rPr>
          <w:rFonts w:ascii="Songti SC" w:hAnsi="Songti SC" w:eastAsia="Songti SC" w:cs="Songti SC"/>
          <w:color w:val="000000"/>
        </w:rPr>
        <w:t>对涉及密码应用的配置进行记录和维护。</w:t>
      </w:r>
    </w:p>
    <w:p w14:paraId="767F1ADA">
      <w:pPr>
        <w:ind w:firstLine="482"/>
        <w:rPr>
          <w:rFonts w:hint="eastAsia"/>
          <w:color w:val="000000"/>
        </w:rPr>
      </w:pPr>
      <w:r>
        <w:rPr>
          <w:rFonts w:ascii="Songti SC" w:hAnsi="Songti SC" w:eastAsia="Songti SC" w:cs="Songti SC"/>
          <w:b/>
          <w:color w:val="000000"/>
        </w:rPr>
        <w:t>兼容适配关注</w:t>
      </w:r>
    </w:p>
    <w:p w14:paraId="05360CC4">
      <w:pPr>
        <w:ind w:firstLine="480"/>
        <w:rPr>
          <w:rFonts w:hint="eastAsia"/>
          <w:color w:val="000000"/>
        </w:rPr>
      </w:pPr>
      <w:r>
        <w:rPr>
          <w:rFonts w:ascii="Songti SC" w:hAnsi="Songti SC" w:eastAsia="Songti SC" w:cs="Songti SC"/>
          <w:color w:val="000000"/>
        </w:rPr>
        <w:t>密码组件、证书路径和调用方式适配本地运行环境。</w:t>
      </w:r>
    </w:p>
    <w:p w14:paraId="05948084">
      <w:pPr>
        <w:ind w:firstLine="480"/>
        <w:rPr>
          <w:rFonts w:hint="eastAsia"/>
          <w:color w:val="000000"/>
        </w:rPr>
      </w:pPr>
      <w:r>
        <w:rPr>
          <w:rFonts w:ascii="Songti SC" w:hAnsi="Songti SC" w:eastAsia="Songti SC" w:cs="Songti SC"/>
          <w:color w:val="000000"/>
        </w:rPr>
        <w:t>接口签名失败要有明确日志。</w:t>
      </w:r>
    </w:p>
    <w:p w14:paraId="2D12FC1B">
      <w:pPr>
        <w:ind w:firstLine="482"/>
        <w:rPr>
          <w:rFonts w:hint="eastAsia"/>
          <w:color w:val="000000"/>
        </w:rPr>
      </w:pPr>
      <w:r>
        <w:rPr>
          <w:rFonts w:ascii="Songti SC" w:hAnsi="Songti SC" w:eastAsia="Songti SC" w:cs="Songti SC"/>
          <w:b/>
          <w:color w:val="000000"/>
        </w:rPr>
        <w:t>运行关注</w:t>
      </w:r>
    </w:p>
    <w:p w14:paraId="4C5E5B78">
      <w:pPr>
        <w:ind w:firstLine="480"/>
        <w:rPr>
          <w:rFonts w:hint="eastAsia"/>
          <w:color w:val="000000"/>
        </w:rPr>
      </w:pPr>
      <w:r>
        <w:rPr>
          <w:rFonts w:ascii="Songti SC" w:hAnsi="Songti SC" w:eastAsia="Songti SC" w:cs="Songti SC"/>
          <w:color w:val="000000"/>
        </w:rPr>
        <w:t>证书到期和时间不同步是重点运维风险。</w:t>
      </w:r>
    </w:p>
    <w:p w14:paraId="5AE7E541">
      <w:pPr>
        <w:ind w:firstLine="480"/>
        <w:rPr>
          <w:rFonts w:hint="eastAsia"/>
          <w:color w:val="000000"/>
        </w:rPr>
      </w:pPr>
      <w:r>
        <w:rPr>
          <w:rFonts w:ascii="Songti SC" w:hAnsi="Songti SC" w:eastAsia="Songti SC" w:cs="Songti SC"/>
          <w:color w:val="000000"/>
        </w:rPr>
        <w:t>密码配置调整后验证充值和消费链路。</w:t>
      </w:r>
    </w:p>
    <w:p w14:paraId="0D52E694">
      <w:pPr>
        <w:numPr>
          <w:ilvl w:val="0"/>
          <w:numId w:val="47"/>
        </w:numPr>
        <w:ind w:firstLineChars="0"/>
        <w:rPr>
          <w:rFonts w:hint="eastAsia"/>
          <w:b/>
          <w:color w:val="000000"/>
        </w:rPr>
      </w:pPr>
      <w:r>
        <w:rPr>
          <w:rFonts w:ascii="Songti SC" w:hAnsi="Songti SC" w:eastAsia="Songti SC" w:cs="Songti SC"/>
          <w:b/>
          <w:color w:val="000000"/>
        </w:rPr>
        <w:t>等保安全配合</w:t>
      </w:r>
    </w:p>
    <w:p w14:paraId="406467D3">
      <w:pPr>
        <w:ind w:firstLine="482"/>
        <w:rPr>
          <w:rFonts w:hint="eastAsia"/>
          <w:color w:val="000000"/>
        </w:rPr>
      </w:pPr>
      <w:r>
        <w:rPr>
          <w:rFonts w:ascii="Songti SC" w:hAnsi="Songti SC" w:eastAsia="Songti SC" w:cs="Songti SC"/>
          <w:b/>
          <w:color w:val="000000"/>
        </w:rPr>
        <w:t>工作目标：</w:t>
      </w:r>
      <w:r>
        <w:rPr>
          <w:rFonts w:ascii="Songti SC" w:hAnsi="Songti SC" w:eastAsia="Songti SC" w:cs="Songti SC"/>
          <w:color w:val="000000"/>
        </w:rPr>
        <w:t>建设单位组织账号、访问控制、日志审计、备份恢复和安全监测等要求落实，明确承建单位的实施责任和运行管理人员的维护责任。</w:t>
      </w:r>
    </w:p>
    <w:p w14:paraId="66EFDBFF">
      <w:pPr>
        <w:ind w:firstLine="482"/>
        <w:rPr>
          <w:rFonts w:hint="eastAsia"/>
          <w:color w:val="000000"/>
        </w:rPr>
      </w:pPr>
      <w:bookmarkStart w:id="408" w:name="_Toc1835844306"/>
      <w:r>
        <w:rPr>
          <w:rFonts w:ascii="Songti SC" w:hAnsi="Songti SC" w:eastAsia="Songti SC" w:cs="Songti SC"/>
          <w:b/>
          <w:color w:val="000000"/>
        </w:rPr>
        <w:t>具体做法</w:t>
      </w:r>
      <w:bookmarkEnd w:id="408"/>
    </w:p>
    <w:p w14:paraId="1AD7B761">
      <w:pPr>
        <w:ind w:firstLine="480"/>
        <w:rPr>
          <w:rFonts w:hint="eastAsia"/>
          <w:color w:val="000000"/>
        </w:rPr>
      </w:pPr>
      <w:r>
        <w:rPr>
          <w:rFonts w:ascii="Songti SC" w:hAnsi="Songti SC" w:eastAsia="Songti SC" w:cs="Songti SC"/>
          <w:color w:val="000000"/>
        </w:rPr>
        <w:t>梳理账号权限、操作日志、接口日志、备份策略和监控告警。</w:t>
      </w:r>
    </w:p>
    <w:p w14:paraId="60A2D3BC">
      <w:pPr>
        <w:ind w:firstLine="480"/>
        <w:rPr>
          <w:rFonts w:hint="eastAsia"/>
          <w:color w:val="000000"/>
        </w:rPr>
      </w:pPr>
      <w:r>
        <w:rPr>
          <w:rFonts w:ascii="Songti SC" w:hAnsi="Songti SC" w:eastAsia="Songti SC" w:cs="Songti SC"/>
          <w:color w:val="000000"/>
        </w:rPr>
        <w:t>补齐必要的安全配置和运行记录。</w:t>
      </w:r>
    </w:p>
    <w:p w14:paraId="61A1C8C8">
      <w:pPr>
        <w:ind w:firstLine="480"/>
        <w:rPr>
          <w:rFonts w:hint="eastAsia"/>
          <w:color w:val="000000"/>
        </w:rPr>
      </w:pPr>
      <w:r>
        <w:rPr>
          <w:rFonts w:ascii="Songti SC" w:hAnsi="Songti SC" w:eastAsia="Songti SC" w:cs="Songti SC"/>
          <w:color w:val="000000"/>
        </w:rPr>
        <w:t>对高风险操作设置权限和留痕。</w:t>
      </w:r>
    </w:p>
    <w:p w14:paraId="16A099AB">
      <w:pPr>
        <w:ind w:firstLine="482"/>
        <w:rPr>
          <w:rFonts w:hint="eastAsia"/>
          <w:color w:val="000000"/>
        </w:rPr>
      </w:pPr>
      <w:r>
        <w:rPr>
          <w:rFonts w:ascii="Songti SC" w:hAnsi="Songti SC" w:eastAsia="Songti SC" w:cs="Songti SC"/>
          <w:b/>
          <w:color w:val="000000"/>
        </w:rPr>
        <w:t>兼容适配关注</w:t>
      </w:r>
    </w:p>
    <w:p w14:paraId="2A33F603">
      <w:pPr>
        <w:ind w:firstLine="480"/>
        <w:rPr>
          <w:rFonts w:hint="eastAsia"/>
          <w:color w:val="000000"/>
        </w:rPr>
      </w:pPr>
      <w:r>
        <w:rPr>
          <w:rFonts w:ascii="Songti SC" w:hAnsi="Songti SC" w:eastAsia="Songti SC" w:cs="Songti SC"/>
          <w:color w:val="000000"/>
        </w:rPr>
        <w:t>安全配置适配服务器操作系统、数据库和应用中间件。</w:t>
      </w:r>
    </w:p>
    <w:p w14:paraId="2671901B">
      <w:pPr>
        <w:ind w:firstLine="480"/>
        <w:rPr>
          <w:rFonts w:hint="eastAsia"/>
          <w:color w:val="000000"/>
        </w:rPr>
      </w:pPr>
      <w:r>
        <w:rPr>
          <w:rFonts w:ascii="Songti SC" w:hAnsi="Songti SC" w:eastAsia="Songti SC" w:cs="Songti SC"/>
          <w:color w:val="000000"/>
        </w:rPr>
        <w:t>日志和备份路径统一纳入运维管理。</w:t>
      </w:r>
    </w:p>
    <w:p w14:paraId="6DB22C6E">
      <w:pPr>
        <w:ind w:firstLine="482"/>
        <w:rPr>
          <w:rFonts w:hint="eastAsia"/>
          <w:color w:val="000000"/>
        </w:rPr>
      </w:pPr>
      <w:bookmarkStart w:id="409" w:name="_Toc829929541"/>
      <w:r>
        <w:rPr>
          <w:rFonts w:ascii="Songti SC" w:hAnsi="Songti SC" w:eastAsia="Songti SC" w:cs="Songti SC"/>
          <w:b/>
          <w:color w:val="000000"/>
        </w:rPr>
        <w:t>运行关注</w:t>
      </w:r>
      <w:bookmarkEnd w:id="409"/>
    </w:p>
    <w:p w14:paraId="675F62E2">
      <w:pPr>
        <w:ind w:firstLine="480"/>
        <w:rPr>
          <w:rFonts w:hint="eastAsia"/>
          <w:color w:val="000000"/>
        </w:rPr>
      </w:pPr>
      <w:r>
        <w:rPr>
          <w:rFonts w:ascii="Songti SC" w:hAnsi="Songti SC" w:eastAsia="Songti SC" w:cs="Songti SC"/>
          <w:color w:val="000000"/>
        </w:rPr>
        <w:t>安全整改要兼顾业务连续。</w:t>
      </w:r>
    </w:p>
    <w:p w14:paraId="516159BB">
      <w:pPr>
        <w:ind w:firstLine="480"/>
        <w:rPr>
          <w:rFonts w:hint="eastAsia"/>
          <w:color w:val="000000"/>
        </w:rPr>
      </w:pPr>
      <w:r>
        <w:rPr>
          <w:rFonts w:ascii="Songti SC" w:hAnsi="Songti SC" w:eastAsia="Songti SC" w:cs="Songti SC"/>
          <w:color w:val="000000"/>
        </w:rPr>
        <w:t>账号和权限定期复核。</w:t>
      </w:r>
    </w:p>
    <w:p w14:paraId="1EBC4EC6">
      <w:pPr>
        <w:pStyle w:val="3"/>
        <w:rPr>
          <w:rFonts w:hint="eastAsia"/>
          <w:color w:val="000000"/>
          <w:lang w:eastAsia="zh-CN"/>
        </w:rPr>
      </w:pPr>
      <w:bookmarkStart w:id="410" w:name="_Toc2042969446"/>
      <w:bookmarkStart w:id="411" w:name="_Toc24800"/>
      <w:bookmarkStart w:id="412" w:name="_Toc719508322"/>
      <w:bookmarkStart w:id="413" w:name="_Toc1906048936"/>
      <w:bookmarkStart w:id="414" w:name="_Toc310345054"/>
      <w:r>
        <w:rPr>
          <w:rFonts w:hint="eastAsia" w:ascii="Songti SC" w:hAnsi="Songti SC" w:eastAsia="Songti SC" w:cs="Songti SC"/>
          <w:color w:val="000000"/>
          <w:lang w:eastAsia="zh-CN"/>
        </w:rPr>
        <w:t>信息安全建设方案</w:t>
      </w:r>
      <w:bookmarkEnd w:id="410"/>
      <w:bookmarkEnd w:id="411"/>
      <w:bookmarkEnd w:id="412"/>
      <w:bookmarkEnd w:id="413"/>
    </w:p>
    <w:p w14:paraId="3926D4BA">
      <w:pPr>
        <w:pStyle w:val="4"/>
        <w:rPr>
          <w:rFonts w:hint="eastAsia"/>
          <w:color w:val="000000"/>
        </w:rPr>
      </w:pPr>
      <w:bookmarkStart w:id="415" w:name="_Toc4871"/>
      <w:bookmarkStart w:id="416" w:name="_Toc950905053"/>
      <w:bookmarkStart w:id="417" w:name="_Toc5961"/>
      <w:bookmarkStart w:id="418" w:name="_Toc641945705"/>
      <w:bookmarkStart w:id="419" w:name="_Toc71447039"/>
      <w:r>
        <w:rPr>
          <w:rFonts w:ascii="Songti SC" w:hAnsi="Songti SC" w:eastAsia="Songti SC" w:cs="Songti SC"/>
          <w:color w:val="000000"/>
        </w:rPr>
        <w:t>项目目标</w:t>
      </w:r>
      <w:bookmarkEnd w:id="415"/>
      <w:bookmarkEnd w:id="416"/>
      <w:bookmarkEnd w:id="417"/>
      <w:bookmarkEnd w:id="418"/>
      <w:bookmarkEnd w:id="419"/>
    </w:p>
    <w:p w14:paraId="21BBB266">
      <w:pPr>
        <w:ind w:firstLine="480"/>
        <w:rPr>
          <w:rFonts w:hint="eastAsia"/>
          <w:color w:val="000000"/>
        </w:rPr>
      </w:pPr>
      <w:r>
        <w:rPr>
          <w:rFonts w:ascii="Songti SC" w:hAnsi="Songti SC" w:eastAsia="Songti SC" w:cs="Songti SC"/>
          <w:color w:val="000000"/>
        </w:rPr>
        <w:t>通过本项目的开展，加强北京市大兴区机关事务管理服务中心食堂消费系统安全防护能力，使其满足</w:t>
      </w:r>
      <w:r>
        <w:rPr>
          <w:rFonts w:hint="eastAsia" w:ascii="Songti SC" w:hAnsi="Songti SC" w:eastAsia="Songti SC" w:cs="Songti SC"/>
          <w:color w:val="000000"/>
        </w:rPr>
        <w:t>网络安全等级保护</w:t>
      </w:r>
      <w:r>
        <w:rPr>
          <w:rFonts w:ascii="Songti SC" w:hAnsi="Songti SC" w:eastAsia="Songti SC" w:cs="Songti SC"/>
          <w:color w:val="000000"/>
        </w:rPr>
        <w:t>相关要求，并支撑商用密码应用安全性评估整改验证。</w:t>
      </w:r>
    </w:p>
    <w:p w14:paraId="38B7A9D4">
      <w:pPr>
        <w:pStyle w:val="4"/>
        <w:rPr>
          <w:rFonts w:hint="eastAsia"/>
          <w:color w:val="000000"/>
        </w:rPr>
      </w:pPr>
      <w:bookmarkStart w:id="420" w:name="_Toc287924797"/>
      <w:bookmarkStart w:id="421" w:name="_Toc6498"/>
      <w:bookmarkStart w:id="422" w:name="_Toc308605199"/>
      <w:bookmarkStart w:id="423" w:name="_Toc16488"/>
      <w:bookmarkStart w:id="424" w:name="_Toc367025800"/>
      <w:r>
        <w:rPr>
          <w:rFonts w:ascii="Songti SC" w:hAnsi="Songti SC" w:eastAsia="Songti SC" w:cs="Songti SC"/>
          <w:color w:val="000000"/>
        </w:rPr>
        <w:t>项目内容</w:t>
      </w:r>
      <w:bookmarkEnd w:id="420"/>
      <w:bookmarkEnd w:id="421"/>
      <w:bookmarkEnd w:id="422"/>
      <w:bookmarkEnd w:id="423"/>
      <w:bookmarkEnd w:id="424"/>
    </w:p>
    <w:p w14:paraId="78FAFB62">
      <w:pPr>
        <w:ind w:firstLine="480"/>
        <w:rPr>
          <w:rFonts w:hint="eastAsia"/>
          <w:color w:val="000000"/>
        </w:rPr>
      </w:pPr>
      <w:r>
        <w:rPr>
          <w:rFonts w:ascii="Songti SC" w:hAnsi="Songti SC" w:eastAsia="Songti SC" w:cs="Songti SC"/>
          <w:color w:val="000000"/>
        </w:rPr>
        <w:t>既有《食堂消费系统网络安全等级保护定级专家评审意见》日期为2026年8月5日，记载业务信息安全和系统服务安全拟定等级均为第三级，专家同意通过定级评审。本期沿用三级建设目标，对升级后的业务、数据和部署边界进行分析并落实相应保护要求。该文件是定级意见，不等同于本期系统已经完成备案、等级测评或商用密码应用安全性评估。</w:t>
      </w:r>
    </w:p>
    <w:p w14:paraId="3640291C">
      <w:pPr>
        <w:ind w:firstLine="480"/>
        <w:rPr>
          <w:rFonts w:hint="eastAsia"/>
          <w:color w:val="000000"/>
          <w:lang w:bidi="ar"/>
        </w:rPr>
      </w:pPr>
      <w:r>
        <w:rPr>
          <w:rFonts w:hint="eastAsia" w:ascii="Songti SC" w:hAnsi="Songti SC" w:eastAsia="Songti SC" w:cs="Songti SC"/>
          <w:color w:val="000000"/>
          <w:lang w:bidi="ar"/>
        </w:rPr>
        <w:t>定级对象边界：对象为服务17个集中办公区、约11000名人员的食堂消费系统，包括三类软件端、55台终端接入、业务及数据库服务；工商银行、区大数据平台和政务云基础设施是外部依赖，不因接口关联自动并入同一定级对象。原本地机房虚拟机部署改为政务云部署后，应在定级与备案材料中保持对象边界一致。</w:t>
      </w:r>
    </w:p>
    <w:p w14:paraId="18DDF039">
      <w:pPr>
        <w:ind w:firstLine="480"/>
        <w:rPr>
          <w:rFonts w:hint="eastAsia"/>
          <w:color w:val="000000"/>
          <w:lang w:bidi="ar"/>
        </w:rPr>
      </w:pPr>
      <w:r>
        <w:rPr>
          <w:rFonts w:hint="eastAsia" w:ascii="Songti SC" w:hAnsi="Songti SC" w:eastAsia="Songti SC" w:cs="Songti SC"/>
          <w:color w:val="000000"/>
          <w:lang w:bidi="ar"/>
        </w:rPr>
        <w:t>业务信息分析：人员身份、人脸特征、账户余额、充值与消费流水受到泄露、篡改或破坏，可能损害个人信息权益、资金核对及管理秩序，应分别实施身份验证、最小权限、敏感数据保护、事务与审计控制。系统服务分析：核心业务中断可能影响多个办公区就餐与充值结算，应设置交易入口冗余、应用与数据库故障处置及终端备用支付方式。</w:t>
      </w:r>
    </w:p>
    <w:p w14:paraId="05A31403">
      <w:pPr>
        <w:ind w:firstLine="480"/>
        <w:rPr>
          <w:rFonts w:hint="eastAsia"/>
          <w:color w:val="000000"/>
          <w:lang w:bidi="ar"/>
        </w:rPr>
      </w:pPr>
      <w:r>
        <w:rPr>
          <w:rFonts w:hint="eastAsia" w:ascii="Songti SC" w:hAnsi="Songti SC" w:eastAsia="Songti SC" w:cs="Songti SC"/>
          <w:color w:val="000000"/>
          <w:lang w:bidi="ar"/>
        </w:rPr>
        <w:t>上述分析用于说明保护对象、风险与措施的对应关系，不据服务人数直接推定损害等级，不代替专家对受侵害客体与程度的判断。依既有定级意见确定的三级目标开展设计，并在后续定级备案环节核对升级后对象范围。现状防护情况、拟建措施和已完成测评结果分别表述。</w:t>
      </w:r>
    </w:p>
    <w:p w14:paraId="0C8DDD74">
      <w:pPr>
        <w:ind w:firstLine="480"/>
        <w:rPr>
          <w:rFonts w:hint="eastAsia"/>
          <w:color w:val="000000"/>
          <w:lang w:bidi="ar"/>
        </w:rPr>
      </w:pPr>
      <w:r>
        <w:rPr>
          <w:rFonts w:hint="eastAsia" w:ascii="Songti SC" w:hAnsi="Songti SC" w:eastAsia="Songti SC" w:cs="Songti SC"/>
          <w:color w:val="000000"/>
          <w:lang w:bidi="ar"/>
        </w:rPr>
        <w:t>安全责任划分：云平台按实际获配范围提供承载环境及基础防护；本项目完成应用账号与数据权限、充值回调鉴权、账务一致性、运行环境加固、日志接入和备份恢复；第三方实施独立测评评估。实施前按服务范围核对云能力，应用业务控制由本项目落实；新增产品或服务须对应明确缺口及概算，云平台测评结论不替代本系统测评。</w:t>
      </w:r>
    </w:p>
    <w:p w14:paraId="4F8AE8D8">
      <w:pPr>
        <w:ind w:firstLine="480"/>
        <w:rPr>
          <w:rFonts w:hint="eastAsia"/>
          <w:color w:val="000000"/>
        </w:rPr>
      </w:pPr>
      <w:r>
        <w:rPr>
          <w:rFonts w:ascii="Songti SC" w:hAnsi="Songti SC" w:eastAsia="Songti SC" w:cs="Songti SC"/>
          <w:color w:val="000000"/>
        </w:rPr>
        <w:t>说明：上述9台虚拟服务器为政务云资源配置口径，服务器等资源由建设单位依托政务云统一提供；基础软件按授权或套数计列，二者统计维度不同。</w:t>
      </w:r>
    </w:p>
    <w:p w14:paraId="16769DA6">
      <w:pPr>
        <w:ind w:firstLine="480"/>
        <w:rPr>
          <w:rFonts w:hint="eastAsia"/>
          <w:color w:val="000000"/>
          <w:lang w:bidi="ar"/>
        </w:rPr>
      </w:pPr>
      <w:r>
        <w:rPr>
          <w:rFonts w:hint="eastAsia" w:ascii="Songti SC" w:hAnsi="Songti SC" w:eastAsia="Songti SC" w:cs="Songti SC"/>
          <w:color w:val="000000"/>
          <w:lang w:bidi="ar"/>
        </w:rPr>
        <w:t>基础软件授权范围应与部署清单逐项对应：数据库覆盖D01、D02主备节点，操作系统覆盖实际安装节点，中间件对应其明确的部署角色和许可范围。供货资料应列明产品、版本、计量方式及节点覆盖说明，验收时核对实际安装情况。概算中的“一套”为计价单位，具体覆盖范围仍须以正式许可为准。</w:t>
      </w:r>
    </w:p>
    <w:p w14:paraId="671FD6F5">
      <w:pPr>
        <w:ind w:firstLine="480"/>
        <w:rPr>
          <w:rFonts w:hint="eastAsia"/>
          <w:color w:val="000000"/>
        </w:rPr>
      </w:pPr>
      <w:r>
        <w:rPr>
          <w:rFonts w:ascii="Songti SC" w:hAnsi="Songti SC" w:eastAsia="Songti SC" w:cs="Songti SC"/>
          <w:color w:val="000000"/>
        </w:rPr>
        <w:t>本项目按应用所需安全能力配置与对接，不新增与食堂业务无关的通用安全平台。云平台服务是否覆盖相应网络区、主机和日志源，以实际服务范围落实；需要新增的产品或服务必须单独说明缺口、数量及费用依据，不能把未列入预算的设备默认作为既有或免费能力。</w:t>
      </w:r>
    </w:p>
    <w:tbl>
      <w:tblPr>
        <w:tblStyle w:val="60"/>
        <w:tblW w:w="5000" w:type="pct"/>
        <w:tblInd w:w="0" w:type="dxa"/>
        <w:tblLayout w:type="autofit"/>
        <w:tblCellMar>
          <w:top w:w="0" w:type="dxa"/>
          <w:left w:w="108" w:type="dxa"/>
          <w:bottom w:w="0" w:type="dxa"/>
          <w:right w:w="108" w:type="dxa"/>
        </w:tblCellMar>
      </w:tblPr>
      <w:tblGrid>
        <w:gridCol w:w="459"/>
        <w:gridCol w:w="2732"/>
        <w:gridCol w:w="2722"/>
        <w:gridCol w:w="2609"/>
      </w:tblGrid>
      <w:tr w14:paraId="26B75E8D">
        <w:trPr>
          <w:trHeight w:val="268" w:hRule="atLeast"/>
        </w:trPr>
        <w:tc>
          <w:tcPr>
            <w:tcW w:w="1101" w:type="pct"/>
            <w:tcBorders>
              <w:top w:val="single" w:color="000000" w:sz="4" w:space="0"/>
              <w:left w:val="single" w:color="000000" w:sz="4" w:space="0"/>
              <w:bottom w:val="single" w:color="000000" w:sz="4" w:space="0"/>
              <w:right w:val="single" w:color="000000" w:sz="4" w:space="0"/>
            </w:tcBorders>
            <w:noWrap/>
            <w:vAlign w:val="center"/>
          </w:tcPr>
          <w:p w14:paraId="1F138541">
            <w:pPr>
              <w:pStyle w:val="326"/>
              <w:spacing w:before="240"/>
              <w:ind w:firstLine="27"/>
              <w:rPr>
                <w:rFonts w:hint="eastAsia"/>
                <w:color w:val="000000"/>
                <w:sz w:val="21"/>
                <w:szCs w:val="21"/>
              </w:rPr>
            </w:pPr>
            <w:r>
              <w:rPr>
                <w:rFonts w:hint="eastAsia" w:ascii="Songti SC" w:hAnsi="Songti SC" w:eastAsia="Songti SC" w:cs="Songti SC"/>
                <w:color w:val="000000"/>
                <w:sz w:val="21"/>
                <w:szCs w:val="21"/>
              </w:rPr>
              <w:t>序号</w:t>
            </w:r>
          </w:p>
        </w:tc>
        <w:tc>
          <w:tcPr>
            <w:tcW w:w="2086" w:type="pct"/>
            <w:tcBorders>
              <w:top w:val="single" w:color="000000" w:sz="4" w:space="0"/>
              <w:left w:val="single" w:color="000000" w:sz="4" w:space="0"/>
              <w:bottom w:val="single" w:color="000000" w:sz="4" w:space="0"/>
              <w:right w:val="single" w:color="000000" w:sz="4" w:space="0"/>
            </w:tcBorders>
            <w:vAlign w:val="center"/>
          </w:tcPr>
          <w:p w14:paraId="4AEBDFD6">
            <w:pPr>
              <w:pStyle w:val="326"/>
              <w:spacing w:before="240"/>
              <w:ind w:firstLine="27"/>
              <w:rPr>
                <w:rFonts w:hint="eastAsia"/>
                <w:color w:val="000000"/>
                <w:sz w:val="21"/>
                <w:szCs w:val="21"/>
              </w:rPr>
            </w:pPr>
            <w:r>
              <w:rPr>
                <w:rFonts w:hint="eastAsia" w:ascii="Songti SC" w:hAnsi="Songti SC" w:eastAsia="Songti SC" w:cs="Songti SC"/>
                <w:color w:val="000000"/>
                <w:sz w:val="21"/>
                <w:szCs w:val="21"/>
              </w:rPr>
              <w:t>安全能力</w:t>
            </w:r>
          </w:p>
        </w:tc>
        <w:tc>
          <w:tcPr>
            <w:tcW w:w="711" w:type="pct"/>
            <w:tcBorders>
              <w:top w:val="single" w:color="000000" w:sz="4" w:space="0"/>
              <w:left w:val="single" w:color="000000" w:sz="4" w:space="0"/>
              <w:bottom w:val="single" w:color="000000" w:sz="4" w:space="0"/>
              <w:right w:val="single" w:color="000000" w:sz="4" w:space="0"/>
            </w:tcBorders>
            <w:noWrap/>
            <w:vAlign w:val="center"/>
          </w:tcPr>
          <w:p w14:paraId="55F6EAAF">
            <w:pPr>
              <w:pStyle w:val="326"/>
              <w:spacing w:before="240"/>
              <w:ind w:firstLine="27"/>
              <w:rPr>
                <w:rFonts w:hint="eastAsia"/>
                <w:color w:val="000000"/>
                <w:sz w:val="21"/>
                <w:szCs w:val="21"/>
              </w:rPr>
            </w:pPr>
            <w:r>
              <w:rPr>
                <w:rFonts w:hint="eastAsia" w:ascii="Songti SC" w:hAnsi="Songti SC" w:eastAsia="Songti SC" w:cs="Songti SC"/>
                <w:color w:val="000000"/>
                <w:sz w:val="21"/>
                <w:szCs w:val="21"/>
              </w:rPr>
              <w:t>建设方式</w:t>
            </w:r>
          </w:p>
        </w:tc>
        <w:tc>
          <w:tcPr>
            <w:tcW w:w="1101" w:type="pct"/>
            <w:tcBorders>
              <w:top w:val="single" w:color="000000" w:sz="4" w:space="0"/>
              <w:left w:val="single" w:color="000000" w:sz="4" w:space="0"/>
              <w:bottom w:val="single" w:color="000000" w:sz="4" w:space="0"/>
              <w:right w:val="single" w:color="000000" w:sz="4" w:space="0"/>
            </w:tcBorders>
            <w:noWrap/>
            <w:vAlign w:val="center"/>
          </w:tcPr>
          <w:p w14:paraId="7C962286">
            <w:pPr>
              <w:pStyle w:val="326"/>
              <w:spacing w:before="240"/>
              <w:ind w:firstLine="27"/>
              <w:rPr>
                <w:rFonts w:hint="eastAsia"/>
                <w:color w:val="000000"/>
                <w:sz w:val="21"/>
                <w:szCs w:val="21"/>
              </w:rPr>
            </w:pPr>
            <w:r>
              <w:rPr>
                <w:rFonts w:hint="eastAsia" w:ascii="Songti SC" w:hAnsi="Songti SC" w:eastAsia="Songti SC" w:cs="Songti SC"/>
                <w:color w:val="000000"/>
                <w:sz w:val="21"/>
                <w:szCs w:val="21"/>
              </w:rPr>
              <w:t>说明</w:t>
            </w:r>
          </w:p>
        </w:tc>
      </w:tr>
      <w:tr w14:paraId="09C37201">
        <w:trPr>
          <w:trHeight w:val="312" w:hRule="atLeast"/>
        </w:trPr>
        <w:tc>
          <w:tcPr>
            <w:tcW w:w="1101" w:type="pct"/>
            <w:tcBorders>
              <w:top w:val="single" w:color="000000" w:sz="4" w:space="0"/>
              <w:left w:val="single" w:color="000000" w:sz="4" w:space="0"/>
              <w:bottom w:val="single" w:color="000000" w:sz="4" w:space="0"/>
              <w:right w:val="single" w:color="000000" w:sz="4" w:space="0"/>
            </w:tcBorders>
            <w:noWrap/>
            <w:vAlign w:val="center"/>
          </w:tcPr>
          <w:p w14:paraId="63B3020A">
            <w:pPr>
              <w:pStyle w:val="182"/>
              <w:spacing w:before="240"/>
              <w:ind w:firstLine="27"/>
              <w:jc w:val="center"/>
              <w:rPr>
                <w:rFonts w:hint="eastAsia"/>
                <w:color w:val="000000"/>
                <w:sz w:val="21"/>
                <w:szCs w:val="21"/>
              </w:rPr>
            </w:pPr>
            <w:r>
              <w:rPr>
                <w:rFonts w:hint="eastAsia" w:ascii="Songti SC" w:hAnsi="Songti SC" w:eastAsia="Songti SC" w:cs="Songti SC"/>
                <w:color w:val="000000"/>
                <w:sz w:val="21"/>
                <w:szCs w:val="21"/>
              </w:rPr>
              <w:t>1</w:t>
            </w:r>
          </w:p>
        </w:tc>
        <w:tc>
          <w:tcPr>
            <w:tcW w:w="2086" w:type="pct"/>
            <w:tcBorders>
              <w:top w:val="single" w:color="000000" w:sz="4" w:space="0"/>
              <w:left w:val="single" w:color="000000" w:sz="4" w:space="0"/>
              <w:bottom w:val="single" w:color="000000" w:sz="4" w:space="0"/>
              <w:right w:val="single" w:color="000000" w:sz="4" w:space="0"/>
            </w:tcBorders>
            <w:noWrap/>
            <w:vAlign w:val="center"/>
          </w:tcPr>
          <w:p w14:paraId="65622A06">
            <w:pPr>
              <w:pStyle w:val="182"/>
              <w:spacing w:before="240"/>
              <w:ind w:firstLine="27"/>
              <w:jc w:val="center"/>
              <w:rPr>
                <w:rFonts w:hint="eastAsia"/>
                <w:color w:val="000000"/>
                <w:sz w:val="21"/>
                <w:szCs w:val="21"/>
              </w:rPr>
            </w:pPr>
            <w:r>
              <w:rPr>
                <w:rFonts w:hint="eastAsia" w:ascii="Songti SC" w:hAnsi="Songti SC" w:eastAsia="Songti SC" w:cs="Songti SC"/>
                <w:color w:val="000000"/>
                <w:sz w:val="21"/>
                <w:szCs w:val="21"/>
              </w:rPr>
              <w:t>网络边界防护（下一代防火墙、Web应用防护等）</w:t>
            </w:r>
          </w:p>
        </w:tc>
        <w:tc>
          <w:tcPr>
            <w:tcW w:w="711" w:type="pct"/>
            <w:tcBorders>
              <w:top w:val="single" w:color="000000" w:sz="4" w:space="0"/>
              <w:left w:val="single" w:color="000000" w:sz="4" w:space="0"/>
              <w:bottom w:val="single" w:color="000000" w:sz="4" w:space="0"/>
              <w:right w:val="single" w:color="000000" w:sz="4" w:space="0"/>
            </w:tcBorders>
            <w:noWrap/>
            <w:vAlign w:val="center"/>
          </w:tcPr>
          <w:p w14:paraId="01F313B5">
            <w:pPr>
              <w:pStyle w:val="182"/>
              <w:spacing w:before="240"/>
              <w:ind w:firstLine="27"/>
              <w:jc w:val="center"/>
              <w:rPr>
                <w:rFonts w:hint="eastAsia"/>
                <w:color w:val="000000"/>
                <w:sz w:val="21"/>
                <w:szCs w:val="21"/>
              </w:rPr>
            </w:pPr>
            <w:r>
              <w:rPr>
                <w:rFonts w:hint="eastAsia" w:ascii="Songti SC" w:hAnsi="Songti SC" w:eastAsia="Songti SC" w:cs="Songti SC"/>
                <w:color w:val="000000"/>
                <w:sz w:val="21"/>
                <w:szCs w:val="21"/>
              </w:rPr>
              <w:t>结合政务云现有能力及安全差距分析结果统筹配置</w:t>
            </w:r>
          </w:p>
        </w:tc>
        <w:tc>
          <w:tcPr>
            <w:tcW w:w="1101" w:type="pct"/>
            <w:tcBorders>
              <w:top w:val="single" w:color="000000" w:sz="4" w:space="0"/>
              <w:left w:val="single" w:color="000000" w:sz="4" w:space="0"/>
              <w:bottom w:val="single" w:color="000000" w:sz="4" w:space="0"/>
              <w:right w:val="single" w:color="000000" w:sz="4" w:space="0"/>
            </w:tcBorders>
            <w:noWrap/>
            <w:vAlign w:val="center"/>
          </w:tcPr>
          <w:p w14:paraId="6547ACF7">
            <w:pPr>
              <w:pStyle w:val="182"/>
              <w:spacing w:before="240"/>
              <w:ind w:firstLine="27"/>
              <w:jc w:val="center"/>
              <w:rPr>
                <w:rFonts w:hint="eastAsia"/>
                <w:color w:val="000000"/>
                <w:sz w:val="21"/>
                <w:szCs w:val="21"/>
              </w:rPr>
            </w:pPr>
            <w:r>
              <w:rPr>
                <w:rFonts w:hint="eastAsia" w:ascii="Songti SC" w:hAnsi="Songti SC" w:eastAsia="Songti SC" w:cs="Songti SC"/>
                <w:color w:val="000000"/>
                <w:sz w:val="21"/>
                <w:szCs w:val="21"/>
              </w:rPr>
              <w:t>支撑互联网及政务外网边界访问控制和应用防护</w:t>
            </w:r>
          </w:p>
        </w:tc>
      </w:tr>
      <w:tr w14:paraId="755492F2">
        <w:trPr>
          <w:trHeight w:val="312" w:hRule="atLeast"/>
        </w:trPr>
        <w:tc>
          <w:tcPr>
            <w:tcW w:w="1101" w:type="pct"/>
            <w:tcBorders>
              <w:top w:val="single" w:color="000000" w:sz="4" w:space="0"/>
              <w:left w:val="single" w:color="000000" w:sz="4" w:space="0"/>
              <w:bottom w:val="single" w:color="000000" w:sz="4" w:space="0"/>
              <w:right w:val="single" w:color="000000" w:sz="4" w:space="0"/>
            </w:tcBorders>
            <w:noWrap/>
            <w:vAlign w:val="center"/>
          </w:tcPr>
          <w:p w14:paraId="29F9348E">
            <w:pPr>
              <w:pStyle w:val="182"/>
              <w:spacing w:before="240"/>
              <w:ind w:firstLine="27"/>
              <w:jc w:val="center"/>
              <w:rPr>
                <w:rFonts w:hint="eastAsia"/>
                <w:color w:val="000000"/>
                <w:sz w:val="21"/>
                <w:szCs w:val="21"/>
              </w:rPr>
            </w:pPr>
            <w:r>
              <w:rPr>
                <w:rFonts w:hint="eastAsia" w:ascii="Songti SC" w:hAnsi="Songti SC" w:eastAsia="Songti SC" w:cs="Songti SC"/>
                <w:color w:val="000000"/>
                <w:sz w:val="21"/>
                <w:szCs w:val="21"/>
              </w:rPr>
              <w:t>2</w:t>
            </w:r>
          </w:p>
        </w:tc>
        <w:tc>
          <w:tcPr>
            <w:tcW w:w="2086" w:type="pct"/>
            <w:tcBorders>
              <w:top w:val="single" w:color="000000" w:sz="4" w:space="0"/>
              <w:left w:val="single" w:color="000000" w:sz="4" w:space="0"/>
              <w:bottom w:val="single" w:color="000000" w:sz="4" w:space="0"/>
              <w:right w:val="single" w:color="000000" w:sz="4" w:space="0"/>
            </w:tcBorders>
            <w:noWrap/>
            <w:vAlign w:val="center"/>
          </w:tcPr>
          <w:p w14:paraId="5861FB29">
            <w:pPr>
              <w:pStyle w:val="182"/>
              <w:spacing w:before="240"/>
              <w:ind w:firstLine="27"/>
              <w:jc w:val="center"/>
              <w:rPr>
                <w:rFonts w:hint="eastAsia"/>
                <w:color w:val="000000"/>
                <w:sz w:val="21"/>
                <w:szCs w:val="21"/>
              </w:rPr>
            </w:pPr>
            <w:r>
              <w:rPr>
                <w:rFonts w:hint="eastAsia" w:ascii="Songti SC" w:hAnsi="Songti SC" w:eastAsia="Songti SC" w:cs="Songti SC"/>
                <w:color w:val="000000"/>
                <w:sz w:val="21"/>
                <w:szCs w:val="21"/>
              </w:rPr>
              <w:t>安全审计（日志审计、堡垒机、数据库审计等）</w:t>
            </w:r>
          </w:p>
        </w:tc>
        <w:tc>
          <w:tcPr>
            <w:tcW w:w="711" w:type="pct"/>
            <w:tcBorders>
              <w:top w:val="single" w:color="000000" w:sz="4" w:space="0"/>
              <w:left w:val="single" w:color="000000" w:sz="4" w:space="0"/>
              <w:bottom w:val="single" w:color="000000" w:sz="4" w:space="0"/>
              <w:right w:val="single" w:color="000000" w:sz="4" w:space="0"/>
            </w:tcBorders>
            <w:noWrap/>
            <w:vAlign w:val="center"/>
          </w:tcPr>
          <w:p w14:paraId="41ED29FD">
            <w:pPr>
              <w:pStyle w:val="182"/>
              <w:spacing w:before="240"/>
              <w:ind w:firstLine="27"/>
              <w:jc w:val="center"/>
              <w:rPr>
                <w:rFonts w:hint="eastAsia"/>
                <w:color w:val="000000"/>
                <w:sz w:val="21"/>
                <w:szCs w:val="21"/>
              </w:rPr>
            </w:pPr>
            <w:r>
              <w:rPr>
                <w:rFonts w:hint="eastAsia" w:ascii="Songti SC" w:hAnsi="Songti SC" w:eastAsia="Songti SC" w:cs="Songti SC"/>
                <w:color w:val="000000"/>
                <w:sz w:val="21"/>
                <w:szCs w:val="21"/>
              </w:rPr>
              <w:t>结合政务云现有能力及安全差距分析结果统筹配置</w:t>
            </w:r>
          </w:p>
        </w:tc>
        <w:tc>
          <w:tcPr>
            <w:tcW w:w="1101" w:type="pct"/>
            <w:tcBorders>
              <w:top w:val="single" w:color="000000" w:sz="4" w:space="0"/>
              <w:left w:val="single" w:color="000000" w:sz="4" w:space="0"/>
              <w:bottom w:val="single" w:color="000000" w:sz="4" w:space="0"/>
              <w:right w:val="single" w:color="000000" w:sz="4" w:space="0"/>
            </w:tcBorders>
            <w:noWrap/>
            <w:vAlign w:val="center"/>
          </w:tcPr>
          <w:p w14:paraId="42709D6F">
            <w:pPr>
              <w:pStyle w:val="182"/>
              <w:spacing w:before="240"/>
              <w:ind w:firstLine="27"/>
              <w:jc w:val="center"/>
              <w:rPr>
                <w:rFonts w:hint="eastAsia"/>
                <w:color w:val="000000"/>
                <w:sz w:val="21"/>
                <w:szCs w:val="21"/>
              </w:rPr>
            </w:pPr>
            <w:r>
              <w:rPr>
                <w:rFonts w:hint="eastAsia" w:ascii="Songti SC" w:hAnsi="Songti SC" w:eastAsia="Songti SC" w:cs="Songti SC"/>
                <w:color w:val="000000"/>
                <w:sz w:val="21"/>
                <w:szCs w:val="21"/>
              </w:rPr>
              <w:t>支撑集中审计、运维管控和安全追溯</w:t>
            </w:r>
          </w:p>
        </w:tc>
      </w:tr>
      <w:tr w14:paraId="4B0ACC14">
        <w:trPr>
          <w:trHeight w:val="312" w:hRule="atLeast"/>
        </w:trPr>
        <w:tc>
          <w:tcPr>
            <w:tcW w:w="1101" w:type="pct"/>
            <w:tcBorders>
              <w:top w:val="single" w:color="000000" w:sz="4" w:space="0"/>
              <w:left w:val="single" w:color="000000" w:sz="4" w:space="0"/>
              <w:bottom w:val="single" w:color="000000" w:sz="4" w:space="0"/>
              <w:right w:val="single" w:color="000000" w:sz="4" w:space="0"/>
            </w:tcBorders>
            <w:noWrap/>
            <w:vAlign w:val="center"/>
          </w:tcPr>
          <w:p w14:paraId="48965622">
            <w:pPr>
              <w:pStyle w:val="182"/>
              <w:spacing w:before="240"/>
              <w:ind w:firstLine="27"/>
              <w:jc w:val="center"/>
              <w:rPr>
                <w:rFonts w:hint="eastAsia"/>
                <w:color w:val="000000"/>
                <w:sz w:val="21"/>
                <w:szCs w:val="21"/>
              </w:rPr>
            </w:pPr>
            <w:r>
              <w:rPr>
                <w:rFonts w:hint="eastAsia" w:ascii="Songti SC" w:hAnsi="Songti SC" w:eastAsia="Songti SC" w:cs="Songti SC"/>
                <w:color w:val="000000"/>
                <w:sz w:val="21"/>
                <w:szCs w:val="21"/>
              </w:rPr>
              <w:t>3</w:t>
            </w:r>
          </w:p>
        </w:tc>
        <w:tc>
          <w:tcPr>
            <w:tcW w:w="2086" w:type="pct"/>
            <w:tcBorders>
              <w:top w:val="single" w:color="000000" w:sz="4" w:space="0"/>
              <w:left w:val="single" w:color="000000" w:sz="4" w:space="0"/>
              <w:bottom w:val="single" w:color="000000" w:sz="4" w:space="0"/>
              <w:right w:val="single" w:color="000000" w:sz="4" w:space="0"/>
            </w:tcBorders>
            <w:vAlign w:val="center"/>
          </w:tcPr>
          <w:p w14:paraId="4A7338E2">
            <w:pPr>
              <w:pStyle w:val="182"/>
              <w:spacing w:before="240"/>
              <w:ind w:firstLine="27"/>
              <w:jc w:val="center"/>
              <w:rPr>
                <w:rFonts w:hint="eastAsia"/>
                <w:color w:val="000000"/>
                <w:sz w:val="21"/>
                <w:szCs w:val="21"/>
              </w:rPr>
            </w:pPr>
            <w:r>
              <w:rPr>
                <w:rFonts w:hint="eastAsia" w:ascii="Songti SC" w:hAnsi="Songti SC" w:eastAsia="Songti SC" w:cs="Songti SC"/>
                <w:color w:val="000000"/>
                <w:sz w:val="21"/>
                <w:szCs w:val="21"/>
              </w:rPr>
              <w:t>主机与安全监测（主机安全、态势感知等）</w:t>
            </w:r>
          </w:p>
        </w:tc>
        <w:tc>
          <w:tcPr>
            <w:tcW w:w="711" w:type="pct"/>
            <w:tcBorders>
              <w:top w:val="single" w:color="000000" w:sz="4" w:space="0"/>
              <w:left w:val="single" w:color="000000" w:sz="4" w:space="0"/>
              <w:bottom w:val="single" w:color="000000" w:sz="4" w:space="0"/>
              <w:right w:val="single" w:color="000000" w:sz="4" w:space="0"/>
            </w:tcBorders>
            <w:noWrap/>
            <w:vAlign w:val="center"/>
          </w:tcPr>
          <w:p w14:paraId="415A0A79">
            <w:pPr>
              <w:pStyle w:val="182"/>
              <w:spacing w:before="240"/>
              <w:ind w:firstLine="27"/>
              <w:jc w:val="center"/>
              <w:rPr>
                <w:rFonts w:hint="eastAsia"/>
                <w:color w:val="000000"/>
                <w:sz w:val="21"/>
                <w:szCs w:val="21"/>
              </w:rPr>
            </w:pPr>
            <w:r>
              <w:rPr>
                <w:rFonts w:hint="eastAsia" w:ascii="Songti SC" w:hAnsi="Songti SC" w:eastAsia="Songti SC" w:cs="Songti SC"/>
                <w:color w:val="000000"/>
                <w:sz w:val="21"/>
                <w:szCs w:val="21"/>
              </w:rPr>
              <w:t>结合政务云现有能力及安全差距分析结果统筹配置</w:t>
            </w:r>
          </w:p>
        </w:tc>
        <w:tc>
          <w:tcPr>
            <w:tcW w:w="1101" w:type="pct"/>
            <w:tcBorders>
              <w:top w:val="single" w:color="000000" w:sz="4" w:space="0"/>
              <w:left w:val="single" w:color="000000" w:sz="4" w:space="0"/>
              <w:bottom w:val="single" w:color="000000" w:sz="4" w:space="0"/>
              <w:right w:val="single" w:color="000000" w:sz="4" w:space="0"/>
            </w:tcBorders>
            <w:noWrap/>
            <w:vAlign w:val="center"/>
          </w:tcPr>
          <w:p w14:paraId="36508BAA">
            <w:pPr>
              <w:pStyle w:val="182"/>
              <w:spacing w:before="240"/>
              <w:ind w:firstLine="27"/>
              <w:jc w:val="center"/>
              <w:rPr>
                <w:rFonts w:hint="eastAsia"/>
                <w:color w:val="000000"/>
                <w:sz w:val="21"/>
                <w:szCs w:val="21"/>
              </w:rPr>
            </w:pPr>
            <w:r>
              <w:rPr>
                <w:rFonts w:hint="eastAsia" w:ascii="Songti SC" w:hAnsi="Songti SC" w:eastAsia="Songti SC" w:cs="Songti SC"/>
                <w:color w:val="000000"/>
                <w:sz w:val="21"/>
                <w:szCs w:val="21"/>
              </w:rPr>
              <w:t>支撑主机防护、安全监测和异常告警</w:t>
            </w:r>
          </w:p>
        </w:tc>
      </w:tr>
    </w:tbl>
    <w:p w14:paraId="70F108F0">
      <w:pPr>
        <w:ind w:firstLine="0" w:firstLineChars="0"/>
        <w:rPr>
          <w:rFonts w:hint="eastAsia"/>
          <w:color w:val="000000"/>
        </w:rPr>
      </w:pPr>
    </w:p>
    <w:p w14:paraId="69F0C516">
      <w:pPr>
        <w:pStyle w:val="4"/>
        <w:rPr>
          <w:rFonts w:hint="eastAsia"/>
          <w:color w:val="000000"/>
        </w:rPr>
      </w:pPr>
      <w:bookmarkStart w:id="425" w:name="_Toc1029586416"/>
      <w:bookmarkStart w:id="426" w:name="_Toc295951597"/>
      <w:bookmarkStart w:id="427" w:name="_Toc871406488"/>
      <w:bookmarkStart w:id="428" w:name="_Toc174296151"/>
      <w:r>
        <w:rPr>
          <w:rFonts w:hint="eastAsia" w:ascii="Songti SC" w:hAnsi="Songti SC" w:eastAsia="Songti SC" w:cs="Songti SC"/>
          <w:color w:val="000000"/>
        </w:rPr>
        <w:t>安全架构设计</w:t>
      </w:r>
      <w:bookmarkEnd w:id="425"/>
      <w:bookmarkEnd w:id="426"/>
      <w:bookmarkEnd w:id="427"/>
      <w:bookmarkEnd w:id="428"/>
    </w:p>
    <w:p w14:paraId="54C5DE64">
      <w:pPr>
        <w:pStyle w:val="5"/>
        <w:rPr>
          <w:rFonts w:hint="eastAsia"/>
          <w:color w:val="000000"/>
        </w:rPr>
      </w:pPr>
      <w:r>
        <w:rPr>
          <w:rFonts w:hint="eastAsia" w:ascii="Songti SC" w:hAnsi="Songti SC" w:eastAsia="Songti SC" w:cs="Songti SC"/>
          <w:color w:val="000000"/>
        </w:rPr>
        <w:t>网络隔离与访问控制</w:t>
      </w:r>
    </w:p>
    <w:p w14:paraId="45F196C4">
      <w:pPr>
        <w:pStyle w:val="30"/>
        <w:spacing w:before="156" w:after="156" w:line="360" w:lineRule="auto"/>
        <w:ind w:firstLine="480"/>
        <w:rPr>
          <w:rFonts w:hint="eastAsia"/>
          <w:color w:val="000000"/>
        </w:rPr>
      </w:pPr>
      <w:r>
        <w:rPr>
          <w:rFonts w:ascii="Songti SC" w:hAnsi="Songti SC" w:eastAsia="Songti SC" w:cs="Songti SC"/>
          <w:color w:val="000000"/>
        </w:rPr>
        <w:t>1.逻辑隔离</w:t>
      </w:r>
    </w:p>
    <w:p w14:paraId="6031C161">
      <w:pPr>
        <w:pStyle w:val="30"/>
        <w:spacing w:before="156" w:after="156" w:line="360" w:lineRule="auto"/>
        <w:ind w:firstLine="480"/>
        <w:rPr>
          <w:rFonts w:hint="eastAsia"/>
          <w:color w:val="000000"/>
        </w:rPr>
      </w:pPr>
      <w:r>
        <w:rPr>
          <w:rFonts w:ascii="Songti SC" w:hAnsi="Songti SC" w:eastAsia="Songti SC" w:cs="Songti SC"/>
          <w:color w:val="000000"/>
        </w:rPr>
        <w:t>互联网区域与电子政务外网区域通过防火墙实现逻辑隔离，确保不同安全区域间的访问受到严格控制。</w:t>
      </w:r>
    </w:p>
    <w:p w14:paraId="6FD4A0D2">
      <w:pPr>
        <w:pStyle w:val="30"/>
        <w:spacing w:before="156" w:after="156" w:line="360" w:lineRule="auto"/>
        <w:ind w:firstLine="480"/>
        <w:rPr>
          <w:rFonts w:hint="eastAsia"/>
          <w:color w:val="000000"/>
        </w:rPr>
      </w:pPr>
      <w:r>
        <w:rPr>
          <w:rFonts w:ascii="Songti SC" w:hAnsi="Songti SC" w:eastAsia="Songti SC" w:cs="Songti SC"/>
          <w:color w:val="000000"/>
        </w:rPr>
        <w:t>2.访问控制</w:t>
      </w:r>
    </w:p>
    <w:p w14:paraId="4B2A786C">
      <w:pPr>
        <w:pStyle w:val="30"/>
        <w:spacing w:before="156" w:after="156" w:line="360" w:lineRule="auto"/>
        <w:ind w:firstLine="480"/>
        <w:rPr>
          <w:rFonts w:hint="eastAsia"/>
          <w:color w:val="000000"/>
        </w:rPr>
      </w:pPr>
      <w:r>
        <w:rPr>
          <w:rFonts w:ascii="Songti SC" w:hAnsi="Songti SC" w:eastAsia="Songti SC" w:cs="Songti SC"/>
          <w:color w:val="000000"/>
        </w:rPr>
        <w:t>实施基于角色的访问控制（RBAC）,确保只有授权用户能够访问系统资源。</w:t>
      </w:r>
    </w:p>
    <w:p w14:paraId="375AA2DF">
      <w:pPr>
        <w:pStyle w:val="30"/>
        <w:spacing w:before="156" w:after="156" w:line="360" w:lineRule="auto"/>
        <w:ind w:firstLine="480"/>
        <w:rPr>
          <w:rFonts w:hint="eastAsia"/>
          <w:color w:val="000000"/>
        </w:rPr>
      </w:pPr>
      <w:r>
        <w:rPr>
          <w:rFonts w:ascii="Songti SC" w:hAnsi="Songti SC" w:eastAsia="Songti SC" w:cs="Songti SC"/>
          <w:color w:val="000000"/>
        </w:rPr>
        <w:t>3.入侵检测与防御（IDS/IPS）</w:t>
      </w:r>
    </w:p>
    <w:p w14:paraId="2B272479">
      <w:pPr>
        <w:pStyle w:val="30"/>
        <w:spacing w:before="156" w:after="156" w:line="360" w:lineRule="auto"/>
        <w:ind w:firstLine="480"/>
        <w:rPr>
          <w:rFonts w:hint="eastAsia"/>
          <w:color w:val="000000"/>
        </w:rPr>
      </w:pPr>
      <w:r>
        <w:rPr>
          <w:rFonts w:ascii="Songti SC" w:hAnsi="Songti SC" w:eastAsia="Songti SC" w:cs="Songti SC"/>
          <w:color w:val="000000"/>
        </w:rPr>
        <w:t>通过云平台可提供的边界防护服务，对食堂应用发布接口设置访问控制、异常流量检测及告警；本段不形成独立IDS/IPS设备购置要求。</w:t>
      </w:r>
    </w:p>
    <w:p w14:paraId="17AEF92C">
      <w:pPr>
        <w:pStyle w:val="5"/>
        <w:rPr>
          <w:rFonts w:hint="eastAsia"/>
          <w:color w:val="000000"/>
        </w:rPr>
      </w:pPr>
      <w:r>
        <w:rPr>
          <w:rFonts w:hint="eastAsia" w:ascii="Songti SC" w:hAnsi="Songti SC" w:eastAsia="Songti SC" w:cs="Songti SC"/>
          <w:color w:val="000000"/>
        </w:rPr>
        <w:t>数据保护与加密</w:t>
      </w:r>
    </w:p>
    <w:p w14:paraId="2E99BDD7">
      <w:pPr>
        <w:pStyle w:val="30"/>
        <w:spacing w:before="156" w:after="156" w:line="360" w:lineRule="auto"/>
        <w:ind w:firstLine="480"/>
        <w:rPr>
          <w:rFonts w:hint="eastAsia"/>
          <w:color w:val="000000"/>
        </w:rPr>
      </w:pPr>
      <w:r>
        <w:rPr>
          <w:rFonts w:hint="eastAsia" w:ascii="Songti SC" w:hAnsi="Songti SC" w:eastAsia="Songti SC" w:cs="Songti SC"/>
          <w:color w:val="000000"/>
        </w:rPr>
        <w:t>1</w:t>
      </w:r>
      <w:r>
        <w:rPr>
          <w:rFonts w:ascii="Songti SC" w:hAnsi="Songti SC" w:eastAsia="Songti SC" w:cs="Songti SC"/>
          <w:color w:val="000000"/>
        </w:rPr>
        <w:t>.数据加密</w:t>
      </w:r>
    </w:p>
    <w:p w14:paraId="5B14A510">
      <w:pPr>
        <w:pStyle w:val="30"/>
        <w:spacing w:before="156" w:after="156" w:line="360" w:lineRule="auto"/>
        <w:ind w:firstLine="480"/>
        <w:rPr>
          <w:rFonts w:hint="eastAsia"/>
          <w:color w:val="000000"/>
        </w:rPr>
      </w:pPr>
      <w:r>
        <w:rPr>
          <w:rFonts w:ascii="Songti SC" w:hAnsi="Songti SC" w:eastAsia="Songti SC" w:cs="Songti SC"/>
          <w:color w:val="000000"/>
        </w:rPr>
        <w:t>对敏感数据（如用户信息、企业数据等）进行加密存储和传输，采用HTTPS等安全协议保护数据传输过程。</w:t>
      </w:r>
    </w:p>
    <w:p w14:paraId="420D4D59">
      <w:pPr>
        <w:pStyle w:val="30"/>
        <w:spacing w:before="156" w:after="156" w:line="360" w:lineRule="auto"/>
        <w:ind w:firstLine="480"/>
        <w:rPr>
          <w:rFonts w:hint="eastAsia"/>
          <w:color w:val="000000"/>
        </w:rPr>
      </w:pPr>
      <w:r>
        <w:rPr>
          <w:rFonts w:ascii="Songti SC" w:hAnsi="Songti SC" w:eastAsia="Songti SC" w:cs="Songti SC"/>
          <w:color w:val="000000"/>
        </w:rPr>
        <w:t>2.备份与恢复</w:t>
      </w:r>
    </w:p>
    <w:p w14:paraId="135D36D0">
      <w:pPr>
        <w:pStyle w:val="30"/>
        <w:spacing w:before="156" w:after="156" w:line="360" w:lineRule="auto"/>
        <w:ind w:firstLine="480"/>
        <w:rPr>
          <w:rFonts w:hint="eastAsia"/>
          <w:color w:val="000000"/>
        </w:rPr>
      </w:pPr>
      <w:r>
        <w:rPr>
          <w:rFonts w:ascii="Songti SC" w:hAnsi="Songti SC" w:eastAsia="Songti SC" w:cs="Songti SC"/>
          <w:color w:val="000000"/>
        </w:rPr>
        <w:t>目标业务系统配置每日数据库备份及日志备份，副本存入与生产服务隔离的备份位置；应用发布前备份配置及版本。云主机快照只能作为辅助恢复手段，不能替代数据库一致性备份。恢复验证须覆盖账户余额、充值消费流水及最近增量数据。</w:t>
      </w:r>
    </w:p>
    <w:p w14:paraId="7A0C771E">
      <w:pPr>
        <w:pStyle w:val="5"/>
        <w:rPr>
          <w:rFonts w:hint="eastAsia"/>
          <w:color w:val="000000"/>
        </w:rPr>
      </w:pPr>
      <w:r>
        <w:rPr>
          <w:rFonts w:hint="eastAsia" w:ascii="Songti SC" w:hAnsi="Songti SC" w:eastAsia="Songti SC" w:cs="Songti SC"/>
          <w:color w:val="000000"/>
        </w:rPr>
        <w:t>身份认证与授权</w:t>
      </w:r>
    </w:p>
    <w:p w14:paraId="4B42A485">
      <w:pPr>
        <w:pStyle w:val="30"/>
        <w:spacing w:before="156" w:after="156" w:line="360" w:lineRule="auto"/>
        <w:ind w:firstLine="480"/>
        <w:rPr>
          <w:rFonts w:hint="eastAsia"/>
          <w:color w:val="000000"/>
        </w:rPr>
      </w:pPr>
      <w:r>
        <w:rPr>
          <w:rFonts w:ascii="Songti SC" w:hAnsi="Songti SC" w:eastAsia="Songti SC" w:cs="Songti SC"/>
          <w:color w:val="000000"/>
        </w:rPr>
        <w:t>1.强身份认证</w:t>
      </w:r>
    </w:p>
    <w:p w14:paraId="56AE6E70">
      <w:pPr>
        <w:pStyle w:val="30"/>
        <w:spacing w:before="156" w:after="156" w:line="360" w:lineRule="auto"/>
        <w:ind w:firstLine="480"/>
        <w:rPr>
          <w:rFonts w:hint="eastAsia"/>
          <w:color w:val="000000"/>
        </w:rPr>
      </w:pPr>
      <w:r>
        <w:rPr>
          <w:rFonts w:ascii="Songti SC" w:hAnsi="Songti SC" w:eastAsia="Songti SC" w:cs="Songti SC"/>
          <w:color w:val="000000"/>
        </w:rPr>
        <w:t>采用多因素认证机制（如密码、短信验证码、令牌等），提高用户身份认证的安全性。</w:t>
      </w:r>
    </w:p>
    <w:p w14:paraId="7CCF9CA5">
      <w:pPr>
        <w:pStyle w:val="30"/>
        <w:spacing w:before="156" w:after="156" w:line="360" w:lineRule="auto"/>
        <w:ind w:firstLine="480"/>
        <w:rPr>
          <w:rFonts w:hint="eastAsia"/>
          <w:color w:val="000000"/>
        </w:rPr>
      </w:pPr>
      <w:r>
        <w:rPr>
          <w:rFonts w:ascii="Songti SC" w:hAnsi="Songti SC" w:eastAsia="Songti SC" w:cs="Songti SC"/>
          <w:color w:val="000000"/>
        </w:rPr>
        <w:t>2.细粒度授权</w:t>
      </w:r>
    </w:p>
    <w:p w14:paraId="43B95D9A">
      <w:pPr>
        <w:pStyle w:val="30"/>
        <w:spacing w:before="156" w:after="156" w:line="360" w:lineRule="auto"/>
        <w:ind w:firstLine="480"/>
        <w:rPr>
          <w:rFonts w:hint="eastAsia"/>
          <w:color w:val="000000"/>
        </w:rPr>
      </w:pPr>
      <w:r>
        <w:rPr>
          <w:rFonts w:ascii="Songti SC" w:hAnsi="Songti SC" w:eastAsia="Songti SC" w:cs="Songti SC"/>
          <w:color w:val="000000"/>
        </w:rPr>
        <w:t>根据用户角色和业务需求，实现细粒度的权限分配，确保用户只能访问其工作所需的资源。</w:t>
      </w:r>
    </w:p>
    <w:p w14:paraId="3948B9EF">
      <w:pPr>
        <w:pStyle w:val="5"/>
        <w:rPr>
          <w:rFonts w:hint="eastAsia"/>
          <w:color w:val="000000"/>
        </w:rPr>
      </w:pPr>
      <w:r>
        <w:rPr>
          <w:rFonts w:hint="eastAsia" w:ascii="Songti SC" w:hAnsi="Songti SC" w:eastAsia="Songti SC" w:cs="Songti SC"/>
          <w:color w:val="000000"/>
        </w:rPr>
        <w:t>安全审计与监控</w:t>
      </w:r>
    </w:p>
    <w:p w14:paraId="3611C943">
      <w:pPr>
        <w:pStyle w:val="30"/>
        <w:spacing w:before="156" w:after="156" w:line="360" w:lineRule="auto"/>
        <w:ind w:firstLine="480"/>
        <w:rPr>
          <w:rFonts w:hint="eastAsia"/>
          <w:color w:val="000000"/>
        </w:rPr>
      </w:pPr>
      <w:r>
        <w:rPr>
          <w:rFonts w:ascii="Songti SC" w:hAnsi="Songti SC" w:eastAsia="Songti SC" w:cs="Songti SC"/>
          <w:color w:val="000000"/>
        </w:rPr>
        <w:t>1.日志管理</w:t>
      </w:r>
    </w:p>
    <w:p w14:paraId="6362D519">
      <w:pPr>
        <w:pStyle w:val="30"/>
        <w:spacing w:before="156" w:after="156" w:line="360" w:lineRule="auto"/>
        <w:ind w:firstLine="480"/>
        <w:rPr>
          <w:rFonts w:hint="eastAsia"/>
          <w:color w:val="000000"/>
        </w:rPr>
      </w:pPr>
      <w:r>
        <w:rPr>
          <w:rFonts w:ascii="Songti SC" w:hAnsi="Songti SC" w:eastAsia="Songti SC" w:cs="Songti SC"/>
          <w:color w:val="000000"/>
        </w:rPr>
        <w:t>集中收集并管理系统的操作日志、安全日志等，定期进行分析和审计，发现潜在的安全问题。</w:t>
      </w:r>
    </w:p>
    <w:p w14:paraId="6195FE0A">
      <w:pPr>
        <w:pStyle w:val="30"/>
        <w:spacing w:before="156" w:after="156" w:line="360" w:lineRule="auto"/>
        <w:ind w:firstLine="480"/>
        <w:rPr>
          <w:rFonts w:hint="eastAsia"/>
          <w:color w:val="000000"/>
        </w:rPr>
      </w:pPr>
      <w:r>
        <w:rPr>
          <w:rFonts w:ascii="Songti SC" w:hAnsi="Songti SC" w:eastAsia="Songti SC" w:cs="Songti SC"/>
          <w:color w:val="000000"/>
        </w:rPr>
        <w:t>2.安全监控</w:t>
      </w:r>
    </w:p>
    <w:p w14:paraId="523FBD4B">
      <w:pPr>
        <w:pStyle w:val="30"/>
        <w:spacing w:before="156" w:after="156" w:line="360" w:lineRule="auto"/>
        <w:ind w:firstLine="480"/>
        <w:rPr>
          <w:rFonts w:hint="eastAsia"/>
          <w:color w:val="000000"/>
        </w:rPr>
      </w:pPr>
      <w:r>
        <w:rPr>
          <w:rFonts w:ascii="Songti SC" w:hAnsi="Songti SC" w:eastAsia="Songti SC" w:cs="Songti SC"/>
          <w:color w:val="000000"/>
        </w:rPr>
        <w:t>将应用错误、异常登录、充值回调失败、数据库告警和终端离线事件汇集到项目运维告警渠道，明确接收人、处置记录和关闭条件，不另建通用安全运营中心。</w:t>
      </w:r>
    </w:p>
    <w:p w14:paraId="724DC328">
      <w:pPr>
        <w:pStyle w:val="5"/>
        <w:rPr>
          <w:rFonts w:hint="eastAsia"/>
          <w:color w:val="000000"/>
        </w:rPr>
      </w:pPr>
      <w:r>
        <w:rPr>
          <w:rFonts w:hint="eastAsia" w:ascii="Songti SC" w:hAnsi="Songti SC" w:eastAsia="Songti SC" w:cs="Songti SC"/>
          <w:color w:val="000000"/>
        </w:rPr>
        <w:t>安全培训与意识提升</w:t>
      </w:r>
    </w:p>
    <w:p w14:paraId="2C44B85D">
      <w:pPr>
        <w:pStyle w:val="30"/>
        <w:spacing w:before="156" w:after="156" w:line="360" w:lineRule="auto"/>
        <w:ind w:firstLine="480"/>
        <w:rPr>
          <w:rFonts w:hint="eastAsia"/>
          <w:color w:val="000000"/>
        </w:rPr>
      </w:pPr>
      <w:r>
        <w:rPr>
          <w:rFonts w:ascii="Songti SC" w:hAnsi="Songti SC" w:eastAsia="Songti SC" w:cs="Songti SC"/>
          <w:color w:val="000000"/>
        </w:rPr>
        <w:t>1.定期培训</w:t>
      </w:r>
    </w:p>
    <w:p w14:paraId="636191BD">
      <w:pPr>
        <w:pStyle w:val="30"/>
        <w:spacing w:before="156" w:after="156" w:line="360" w:lineRule="auto"/>
        <w:ind w:firstLine="480"/>
        <w:rPr>
          <w:rFonts w:hint="eastAsia"/>
          <w:color w:val="000000"/>
        </w:rPr>
      </w:pPr>
      <w:r>
        <w:rPr>
          <w:rFonts w:ascii="Songti SC" w:hAnsi="Songti SC" w:eastAsia="Songti SC" w:cs="Songti SC"/>
          <w:color w:val="000000"/>
        </w:rPr>
        <w:t>对运维人员、开发人员及用户进行定期的信息安全培训，提高安全意识和操作技能。</w:t>
      </w:r>
    </w:p>
    <w:p w14:paraId="3120E437">
      <w:pPr>
        <w:pStyle w:val="30"/>
        <w:spacing w:before="156" w:after="156" w:line="360" w:lineRule="auto"/>
        <w:ind w:firstLine="480"/>
        <w:rPr>
          <w:rFonts w:hint="eastAsia"/>
          <w:color w:val="000000"/>
        </w:rPr>
      </w:pPr>
      <w:r>
        <w:rPr>
          <w:rFonts w:ascii="Songti SC" w:hAnsi="Songti SC" w:eastAsia="Songti SC" w:cs="Songti SC"/>
          <w:color w:val="000000"/>
        </w:rPr>
        <w:t>2.应急处置验证</w:t>
      </w:r>
    </w:p>
    <w:p w14:paraId="55DFE2AD">
      <w:pPr>
        <w:pStyle w:val="30"/>
        <w:spacing w:before="156" w:after="156" w:line="360" w:lineRule="auto"/>
        <w:ind w:firstLine="480"/>
        <w:rPr>
          <w:rFonts w:hint="eastAsia"/>
          <w:color w:val="000000"/>
        </w:rPr>
      </w:pPr>
      <w:r>
        <w:rPr>
          <w:rFonts w:ascii="Songti SC" w:hAnsi="Songti SC" w:eastAsia="Songti SC" w:cs="Songti SC"/>
          <w:color w:val="000000"/>
        </w:rPr>
        <w:t>定期组织应急处置验证，模拟各类安全事件，检验应急预案的有效性和人员的应急响应能力。</w:t>
      </w:r>
    </w:p>
    <w:p w14:paraId="0907F8BE">
      <w:pPr>
        <w:pStyle w:val="4"/>
        <w:rPr>
          <w:rFonts w:hint="eastAsia"/>
          <w:color w:val="000000"/>
        </w:rPr>
      </w:pPr>
      <w:bookmarkStart w:id="429" w:name="_Toc1983149833"/>
      <w:bookmarkStart w:id="430" w:name="_Toc2037854923"/>
      <w:bookmarkStart w:id="431" w:name="_Toc786"/>
      <w:bookmarkStart w:id="432" w:name="_Toc554572088"/>
      <w:r>
        <w:rPr>
          <w:rFonts w:ascii="Songti SC" w:hAnsi="Songti SC" w:eastAsia="Songti SC" w:cs="Songti SC"/>
          <w:color w:val="000000"/>
        </w:rPr>
        <w:t>安全技术防护</w:t>
      </w:r>
      <w:bookmarkEnd w:id="429"/>
      <w:bookmarkEnd w:id="430"/>
      <w:bookmarkEnd w:id="431"/>
      <w:bookmarkEnd w:id="432"/>
    </w:p>
    <w:p w14:paraId="11DE4819">
      <w:pPr>
        <w:pStyle w:val="5"/>
        <w:rPr>
          <w:rFonts w:hint="eastAsia"/>
          <w:color w:val="000000"/>
        </w:rPr>
      </w:pPr>
      <w:bookmarkStart w:id="433" w:name="_Toc31684"/>
      <w:r>
        <w:rPr>
          <w:rFonts w:ascii="Songti SC" w:hAnsi="Songti SC" w:eastAsia="Songti SC" w:cs="Songti SC"/>
          <w:color w:val="000000"/>
        </w:rPr>
        <w:t>安全物理环境</w:t>
      </w:r>
      <w:bookmarkEnd w:id="433"/>
    </w:p>
    <w:p w14:paraId="1780ADF8">
      <w:pPr>
        <w:ind w:firstLine="480"/>
        <w:rPr>
          <w:rFonts w:hint="eastAsia"/>
          <w:color w:val="000000"/>
          <w:lang w:bidi="ar"/>
        </w:rPr>
      </w:pPr>
      <w:r>
        <w:rPr>
          <w:rFonts w:ascii="Songti SC" w:hAnsi="Songti SC" w:eastAsia="Songti SC" w:cs="Songti SC"/>
          <w:color w:val="000000"/>
        </w:rPr>
        <w:t>食堂消费系统将部署在建设单位统筹确定的政务云环境，项目所使用的政务云承载环境应符合网络安全等级保护安全物理环境要求。</w:t>
      </w:r>
    </w:p>
    <w:p w14:paraId="3E9EB020">
      <w:pPr>
        <w:pStyle w:val="5"/>
        <w:rPr>
          <w:rFonts w:hint="eastAsia"/>
          <w:color w:val="000000"/>
        </w:rPr>
      </w:pPr>
      <w:bookmarkStart w:id="434" w:name="_Toc22525"/>
      <w:r>
        <w:rPr>
          <w:rFonts w:ascii="Songti SC" w:hAnsi="Songti SC" w:eastAsia="Songti SC" w:cs="Songti SC"/>
          <w:color w:val="000000"/>
        </w:rPr>
        <w:t>安全通信网络</w:t>
      </w:r>
      <w:bookmarkEnd w:id="434"/>
    </w:p>
    <w:p w14:paraId="68D79BD5">
      <w:pPr>
        <w:ind w:firstLine="480"/>
        <w:rPr>
          <w:rFonts w:hint="eastAsia"/>
          <w:color w:val="000000"/>
        </w:rPr>
      </w:pPr>
      <w:r>
        <w:rPr>
          <w:rFonts w:ascii="Songti SC" w:hAnsi="Songti SC" w:eastAsia="Songti SC" w:cs="Songti SC"/>
          <w:color w:val="000000"/>
        </w:rPr>
        <w:t>根据《信息安全技术网络安全等级保护基本要求》（GB/T22239-2019），应划分不同的网络区域，并按照方便管理和控制的原则为各网络区域分配地址；应避免将重要网络区域部署在边界处，重要网络区域与其他网络区域之间应采取可靠的技术隔离手段。</w:t>
      </w:r>
    </w:p>
    <w:p w14:paraId="32821CE9">
      <w:pPr>
        <w:ind w:firstLine="480"/>
        <w:rPr>
          <w:rFonts w:hint="eastAsia"/>
          <w:color w:val="000000"/>
        </w:rPr>
      </w:pPr>
      <w:r>
        <w:rPr>
          <w:rFonts w:ascii="Songti SC" w:hAnsi="Songti SC" w:eastAsia="Songti SC" w:cs="Songti SC"/>
          <w:color w:val="000000"/>
        </w:rPr>
        <w:t>食堂消费系统计划部署于建设单位统筹确定的政务云环境。依据《信息安全技术 网络安全等级保护基本要求》（GB/T 22239-2019）及网络安全等级保护第三级要求，系统应合理划分网络区域并分配地址资源，避免将重要网络区域直接设置在边界位置，并采取可靠的技术隔离和访问控制措施保障区域之间的安全隔离。</w:t>
      </w:r>
    </w:p>
    <w:p w14:paraId="449BEB04">
      <w:pPr>
        <w:pStyle w:val="5"/>
        <w:rPr>
          <w:rFonts w:hint="eastAsia"/>
          <w:color w:val="000000"/>
        </w:rPr>
      </w:pPr>
      <w:bookmarkStart w:id="435" w:name="_Toc11730"/>
      <w:r>
        <w:rPr>
          <w:rFonts w:ascii="Songti SC" w:hAnsi="Songti SC" w:eastAsia="Songti SC" w:cs="Songti SC"/>
          <w:color w:val="000000"/>
        </w:rPr>
        <w:t>安全区域边界</w:t>
      </w:r>
      <w:bookmarkEnd w:id="435"/>
    </w:p>
    <w:p w14:paraId="2C93C029">
      <w:pPr>
        <w:pStyle w:val="6"/>
        <w:rPr>
          <w:rFonts w:hint="eastAsia"/>
          <w:color w:val="000000"/>
        </w:rPr>
      </w:pPr>
      <w:r>
        <w:rPr>
          <w:rFonts w:ascii="Songti SC" w:hAnsi="Songti SC" w:eastAsia="Songti SC" w:cs="Songti SC"/>
          <w:color w:val="000000"/>
        </w:rPr>
        <w:t>边界防护与访问控制</w:t>
      </w:r>
    </w:p>
    <w:p w14:paraId="3B3FB837">
      <w:pPr>
        <w:ind w:firstLine="480"/>
        <w:rPr>
          <w:rFonts w:hint="eastAsia"/>
          <w:color w:val="000000"/>
        </w:rPr>
      </w:pPr>
      <w:r>
        <w:rPr>
          <w:rFonts w:ascii="Songti SC" w:hAnsi="Songti SC" w:eastAsia="Songti SC" w:cs="Songti SC"/>
          <w:color w:val="000000"/>
        </w:rPr>
        <w:t>由于食堂消费系统计划部署在建设单位统筹确定的政务云环境，因此边界防护安全主要体现在区域出口边界安全。实现边界保护最常见的安全产品是利用防火墙的不同接口，对所有流经防火墙的数据包按照制定的安全规则进行过滤，将所有不安全的或不符合安全规则的数据包屏蔽或丢弃，杜绝跨区域越权访问行为。</w:t>
      </w:r>
    </w:p>
    <w:p w14:paraId="168AEF39">
      <w:pPr>
        <w:ind w:firstLine="480"/>
        <w:rPr>
          <w:rFonts w:hint="eastAsia"/>
          <w:color w:val="000000"/>
        </w:rPr>
      </w:pPr>
      <w:r>
        <w:rPr>
          <w:rFonts w:ascii="Songti SC" w:hAnsi="Songti SC" w:eastAsia="Songti SC" w:cs="Songti SC"/>
          <w:color w:val="000000"/>
        </w:rPr>
        <w:t>防火墙是重要的网络安全隔离设备，采用有效的防火墙系统，配置合理的安全策略，实现安全域之间有效逻辑隔离，提升应用系统对非法访问的控制能力，防止内部、外部恶意用户对北京市大兴区机关事务管理服务中心信息系统的攻击。</w:t>
      </w:r>
    </w:p>
    <w:p w14:paraId="6B081DFE">
      <w:pPr>
        <w:ind w:firstLine="480"/>
        <w:rPr>
          <w:rFonts w:hint="eastAsia"/>
          <w:color w:val="000000"/>
        </w:rPr>
      </w:pPr>
      <w:r>
        <w:rPr>
          <w:rFonts w:ascii="Songti SC" w:hAnsi="Songti SC" w:eastAsia="Songti SC" w:cs="Songti SC"/>
          <w:color w:val="000000"/>
        </w:rPr>
        <w:t>系统应具备网络边界访问控制、入侵防御和恶意流量识别等能力，可结合政务云现有网络边界防护服务实现；具体配置以安全差距分析和目标云环境实际能力为准。</w:t>
      </w:r>
    </w:p>
    <w:p w14:paraId="317393A2">
      <w:pPr>
        <w:pStyle w:val="6"/>
        <w:rPr>
          <w:rFonts w:hint="eastAsia"/>
          <w:color w:val="000000"/>
        </w:rPr>
      </w:pPr>
      <w:r>
        <w:rPr>
          <w:rFonts w:hint="eastAsia" w:ascii="Songti SC" w:hAnsi="Songti SC" w:eastAsia="Songti SC" w:cs="Songti SC"/>
          <w:color w:val="000000"/>
        </w:rPr>
        <w:t>Web应用防护</w:t>
      </w:r>
    </w:p>
    <w:p w14:paraId="39F37928">
      <w:pPr>
        <w:ind w:firstLine="480"/>
        <w:rPr>
          <w:rFonts w:hint="eastAsia"/>
          <w:color w:val="000000"/>
        </w:rPr>
      </w:pPr>
      <w:r>
        <w:rPr>
          <w:rFonts w:ascii="Songti SC" w:hAnsi="Songti SC" w:eastAsia="Songti SC" w:cs="Songti SC"/>
          <w:color w:val="000000"/>
        </w:rPr>
        <w:t>Web应用防护重点覆盖小程序接口、管理端登录、文件上传下载和充值回调。按业务路径设置鉴权、输入校验、请求大小限制与访问频率控制，敏感接口不允许匿名调用。</w:t>
      </w:r>
    </w:p>
    <w:p w14:paraId="4C7BBC10">
      <w:pPr>
        <w:ind w:firstLine="480"/>
        <w:rPr>
          <w:rFonts w:hint="eastAsia"/>
          <w:color w:val="000000"/>
        </w:rPr>
      </w:pPr>
      <w:r>
        <w:rPr>
          <w:rFonts w:ascii="Songti SC" w:hAnsi="Songti SC" w:eastAsia="Songti SC" w:cs="Songti SC"/>
          <w:color w:val="000000"/>
        </w:rPr>
        <w:t>Web防护可接入云平台提供的相关服务，应用侧同时落实参数化数据库访问、输出编码和上传文件类型校验。边界防护不能替代应用自身权限判断。</w:t>
      </w:r>
    </w:p>
    <w:p w14:paraId="41EA850F">
      <w:pPr>
        <w:ind w:firstLine="480"/>
        <w:rPr>
          <w:rFonts w:hint="eastAsia"/>
          <w:color w:val="000000"/>
        </w:rPr>
      </w:pPr>
      <w:r>
        <w:rPr>
          <w:rFonts w:ascii="Songti SC" w:hAnsi="Songti SC" w:eastAsia="Songti SC" w:cs="Songti SC"/>
          <w:color w:val="000000"/>
        </w:rPr>
        <w:t>对食堂系统按以下三类行为落实防护与留痕：</w:t>
      </w:r>
    </w:p>
    <w:p w14:paraId="5CFF62B8">
      <w:pPr>
        <w:ind w:firstLine="480"/>
        <w:rPr>
          <w:rFonts w:hint="eastAsia"/>
          <w:color w:val="000000"/>
        </w:rPr>
      </w:pPr>
      <w:r>
        <w:rPr>
          <w:rFonts w:ascii="Songti SC" w:hAnsi="Songti SC" w:eastAsia="Songti SC" w:cs="Songti SC"/>
          <w:color w:val="000000"/>
        </w:rPr>
        <w:t>一是登录与权限访问。限制异常登录和越权查询，按人员、餐厅和财务角色控制数据范围，禁止仅依赖前端隐藏按钮实现权限控制。</w:t>
      </w:r>
    </w:p>
    <w:p w14:paraId="4C7B179E">
      <w:pPr>
        <w:ind w:firstLine="480"/>
        <w:rPr>
          <w:rFonts w:hint="eastAsia"/>
          <w:color w:val="000000"/>
        </w:rPr>
      </w:pPr>
      <w:r>
        <w:rPr>
          <w:rFonts w:ascii="Songti SC" w:hAnsi="Songti SC" w:eastAsia="Songti SC" w:cs="Songti SC"/>
          <w:color w:val="000000"/>
        </w:rPr>
        <w:t>二是充值与扣款请求。验证来源、签名或约定凭证及订单状态，防止重复回调、重放和并发重复入账；异常请求保留业务编号与原因。</w:t>
      </w:r>
    </w:p>
    <w:p w14:paraId="2945DC05">
      <w:pPr>
        <w:ind w:firstLine="480"/>
        <w:rPr>
          <w:rFonts w:hint="eastAsia"/>
          <w:color w:val="000000"/>
        </w:rPr>
      </w:pPr>
      <w:r>
        <w:rPr>
          <w:rFonts w:ascii="Songti SC" w:hAnsi="Songti SC" w:eastAsia="Songti SC" w:cs="Songti SC"/>
          <w:color w:val="000000"/>
        </w:rPr>
        <w:t>三是上传与数据导出。限制文件类型和大小，对人脸文件与报表下载实施鉴权和有效期控制，记录导出人、时间和范围，不公开存储路径。</w:t>
      </w:r>
    </w:p>
    <w:p w14:paraId="78167A90">
      <w:pPr>
        <w:ind w:firstLine="480"/>
        <w:rPr>
          <w:rFonts w:hint="eastAsia"/>
          <w:color w:val="000000"/>
        </w:rPr>
      </w:pPr>
      <w:r>
        <w:rPr>
          <w:rFonts w:ascii="Songti SC" w:hAnsi="Songti SC" w:eastAsia="Songti SC" w:cs="Songti SC"/>
          <w:color w:val="000000"/>
        </w:rPr>
        <w:t>系统应具备Web应用防护能力，可结合政务云现有Web应用防护服务实现，防范针对HTTP/HTTPS业务的常见应用层攻击。</w:t>
      </w:r>
    </w:p>
    <w:p w14:paraId="1168E2D9">
      <w:pPr>
        <w:pStyle w:val="5"/>
        <w:rPr>
          <w:rFonts w:hint="eastAsia"/>
          <w:color w:val="000000"/>
        </w:rPr>
      </w:pPr>
      <w:bookmarkStart w:id="436" w:name="_Toc29832"/>
      <w:r>
        <w:rPr>
          <w:rFonts w:ascii="Songti SC" w:hAnsi="Songti SC" w:eastAsia="Songti SC" w:cs="Songti SC"/>
          <w:color w:val="000000"/>
        </w:rPr>
        <w:t>安全计算环境</w:t>
      </w:r>
      <w:bookmarkEnd w:id="436"/>
    </w:p>
    <w:p w14:paraId="7FD34E1C">
      <w:pPr>
        <w:pStyle w:val="6"/>
        <w:rPr>
          <w:rFonts w:hint="eastAsia"/>
          <w:color w:val="000000"/>
        </w:rPr>
      </w:pPr>
      <w:r>
        <w:rPr>
          <w:rFonts w:ascii="Songti SC" w:hAnsi="Songti SC" w:eastAsia="Songti SC" w:cs="Songti SC"/>
          <w:color w:val="000000"/>
        </w:rPr>
        <w:t>日志审计</w:t>
      </w:r>
    </w:p>
    <w:p w14:paraId="6868799C">
      <w:pPr>
        <w:ind w:firstLine="480"/>
        <w:rPr>
          <w:rFonts w:hint="eastAsia"/>
          <w:color w:val="000000"/>
        </w:rPr>
      </w:pPr>
      <w:r>
        <w:rPr>
          <w:rFonts w:ascii="Songti SC" w:hAnsi="Songti SC" w:eastAsia="Songti SC" w:cs="Songti SC"/>
          <w:color w:val="000000"/>
        </w:rPr>
        <w:t>系统应对应用、数据库、中间件、安全设备等日志进行集中采集、统一存储、检索分析和审计追溯。依据《中华人民共和国网络安全法》及网络安全等级保护第三级要求，相关网络日志留存时间应不少于六个月。日志审计能力结合政务云现有服务及安全差距分析结果统筹配置，为安全事件分析和事后取证提供依据。</w:t>
      </w:r>
    </w:p>
    <w:p w14:paraId="0B0E562D">
      <w:pPr>
        <w:pStyle w:val="6"/>
        <w:rPr>
          <w:rFonts w:hint="eastAsia"/>
          <w:color w:val="000000"/>
        </w:rPr>
      </w:pPr>
      <w:r>
        <w:rPr>
          <w:rFonts w:hint="eastAsia" w:ascii="Songti SC" w:hAnsi="Songti SC" w:eastAsia="Songti SC" w:cs="Songti SC"/>
          <w:color w:val="000000"/>
        </w:rPr>
        <w:t>堡垒机</w:t>
      </w:r>
    </w:p>
    <w:p w14:paraId="400CC388">
      <w:pPr>
        <w:widowControl/>
        <w:ind w:firstLine="480"/>
        <w:jc w:val="left"/>
        <w:rPr>
          <w:rFonts w:hint="eastAsia"/>
          <w:color w:val="000000"/>
        </w:rPr>
      </w:pPr>
      <w:r>
        <w:rPr>
          <w:rFonts w:hint="eastAsia" w:ascii="Songti SC" w:hAnsi="Songti SC" w:eastAsia="Songti SC" w:cs="Songti SC"/>
          <w:color w:val="000000"/>
        </w:rPr>
        <w:t>食堂消费系统应按照用户角色配置相应的访问和操作权限，运维访问应纳入统一运维管控和审计范围。堡垒机能力可结合政务云现有服务及安全差距分析结果统筹配置，并在应用系统权限控制基础上采取以下措施加以完善。</w:t>
      </w:r>
    </w:p>
    <w:p w14:paraId="44B60150">
      <w:pPr>
        <w:ind w:firstLine="480"/>
        <w:rPr>
          <w:rFonts w:hint="eastAsia"/>
          <w:color w:val="000000"/>
          <w:szCs w:val="32"/>
        </w:rPr>
      </w:pPr>
      <w:r>
        <w:rPr>
          <w:rFonts w:hint="eastAsia" w:ascii="Songti SC" w:hAnsi="Songti SC" w:eastAsia="Songti SC" w:cs="Songti SC"/>
          <w:color w:val="000000"/>
          <w:szCs w:val="32"/>
        </w:rPr>
        <w:t>身份认证</w:t>
      </w:r>
    </w:p>
    <w:p w14:paraId="155D29CA">
      <w:pPr>
        <w:ind w:firstLine="480"/>
        <w:rPr>
          <w:rFonts w:hint="eastAsia"/>
          <w:color w:val="000000"/>
          <w:szCs w:val="32"/>
        </w:rPr>
      </w:pPr>
      <w:r>
        <w:rPr>
          <w:rFonts w:hint="eastAsia" w:ascii="Songti SC" w:hAnsi="Songti SC" w:eastAsia="Songti SC" w:cs="Songti SC"/>
          <w:color w:val="000000"/>
          <w:szCs w:val="32"/>
        </w:rPr>
        <w:t>引用多因子认证技术，包括手机短信、手机令牌、USBKey、动态令牌等方式，安全认证登录用户身份，降低用户账号密码风险。</w:t>
      </w:r>
    </w:p>
    <w:p w14:paraId="3218E80D">
      <w:pPr>
        <w:ind w:firstLine="480"/>
        <w:rPr>
          <w:rFonts w:hint="eastAsia"/>
          <w:color w:val="000000"/>
          <w:szCs w:val="32"/>
        </w:rPr>
      </w:pPr>
      <w:r>
        <w:rPr>
          <w:rFonts w:hint="eastAsia" w:ascii="Songti SC" w:hAnsi="Songti SC" w:eastAsia="Songti SC" w:cs="Songti SC"/>
          <w:color w:val="000000"/>
          <w:szCs w:val="32"/>
        </w:rPr>
        <w:t>账户管理</w:t>
      </w:r>
    </w:p>
    <w:p w14:paraId="008B0102">
      <w:pPr>
        <w:ind w:firstLine="480"/>
        <w:rPr>
          <w:rFonts w:hint="eastAsia"/>
          <w:color w:val="000000"/>
          <w:szCs w:val="32"/>
        </w:rPr>
      </w:pPr>
      <w:r>
        <w:rPr>
          <w:rFonts w:hint="eastAsia" w:ascii="Songti SC" w:hAnsi="Songti SC" w:eastAsia="Songti SC" w:cs="Songti SC"/>
          <w:color w:val="000000"/>
          <w:szCs w:val="32"/>
        </w:rPr>
        <w:t>集中管理系统用户和资源账号信息，对账号全生命周期建立可视、可控、可管运维体系，解决共享账号、临时账号、滥用权限等问题。</w:t>
      </w:r>
    </w:p>
    <w:p w14:paraId="6FB26BBC">
      <w:pPr>
        <w:ind w:firstLine="480"/>
        <w:rPr>
          <w:rFonts w:hint="eastAsia"/>
          <w:color w:val="000000"/>
          <w:szCs w:val="32"/>
        </w:rPr>
      </w:pPr>
      <w:r>
        <w:rPr>
          <w:rFonts w:hint="eastAsia" w:ascii="Songti SC" w:hAnsi="Songti SC" w:eastAsia="Songti SC" w:cs="Songti SC"/>
          <w:color w:val="000000"/>
          <w:szCs w:val="32"/>
        </w:rPr>
        <w:t>权限控制</w:t>
      </w:r>
    </w:p>
    <w:p w14:paraId="2ADC0C7A">
      <w:pPr>
        <w:ind w:firstLine="480"/>
        <w:rPr>
          <w:rFonts w:hint="eastAsia"/>
          <w:color w:val="000000"/>
          <w:szCs w:val="32"/>
        </w:rPr>
      </w:pPr>
      <w:r>
        <w:rPr>
          <w:rFonts w:hint="eastAsia" w:ascii="Songti SC" w:hAnsi="Songti SC" w:eastAsia="Songti SC" w:cs="Songti SC"/>
          <w:color w:val="000000"/>
          <w:szCs w:val="32"/>
        </w:rPr>
        <w:t>集中管控用户访问系统和资源的权限，对系统和资源的访问权限进行细粒度设置，保障系统管理安全和资源运维安全。</w:t>
      </w:r>
    </w:p>
    <w:p w14:paraId="56D76907">
      <w:pPr>
        <w:ind w:firstLine="480"/>
        <w:rPr>
          <w:rFonts w:hint="eastAsia"/>
          <w:color w:val="000000"/>
          <w:szCs w:val="32"/>
        </w:rPr>
      </w:pPr>
      <w:r>
        <w:rPr>
          <w:rFonts w:hint="eastAsia" w:ascii="Songti SC" w:hAnsi="Songti SC" w:eastAsia="Songti SC" w:cs="Songti SC"/>
          <w:color w:val="000000"/>
          <w:szCs w:val="32"/>
        </w:rPr>
        <w:t>操作审计</w:t>
      </w:r>
    </w:p>
    <w:p w14:paraId="20E5210A">
      <w:pPr>
        <w:ind w:firstLine="480"/>
        <w:rPr>
          <w:rFonts w:hint="eastAsia"/>
          <w:color w:val="000000"/>
          <w:szCs w:val="32"/>
        </w:rPr>
      </w:pPr>
      <w:r>
        <w:rPr>
          <w:rFonts w:hint="eastAsia" w:ascii="Songti SC" w:hAnsi="Songti SC" w:eastAsia="Songti SC" w:cs="Songti SC"/>
          <w:color w:val="000000"/>
          <w:szCs w:val="32"/>
        </w:rPr>
        <w:t>系统行为审计，资源运维审计。支持服务器操作系统命令审计、原系统操作审计、数据库命令审计、文件传输审计，支持对服务器操作系统命令审计、原系统操作审计全程录像记录。</w:t>
      </w:r>
    </w:p>
    <w:p w14:paraId="11313AE7">
      <w:pPr>
        <w:ind w:firstLine="480"/>
        <w:rPr>
          <w:rFonts w:hint="eastAsia"/>
          <w:color w:val="000000"/>
          <w:szCs w:val="32"/>
        </w:rPr>
      </w:pPr>
      <w:r>
        <w:rPr>
          <w:rFonts w:hint="eastAsia" w:ascii="Songti SC" w:hAnsi="Songti SC" w:eastAsia="Songti SC" w:cs="Songti SC"/>
          <w:color w:val="000000"/>
          <w:szCs w:val="32"/>
        </w:rPr>
        <w:t>高效运维</w:t>
      </w:r>
    </w:p>
    <w:p w14:paraId="28AD6139">
      <w:pPr>
        <w:ind w:firstLine="480"/>
        <w:rPr>
          <w:rFonts w:hint="eastAsia"/>
          <w:color w:val="000000"/>
          <w:szCs w:val="32"/>
        </w:rPr>
      </w:pPr>
      <w:r>
        <w:rPr>
          <w:rFonts w:hint="eastAsia" w:ascii="Songti SC" w:hAnsi="Songti SC" w:eastAsia="Songti SC" w:cs="Songti SC"/>
          <w:color w:val="000000"/>
          <w:szCs w:val="32"/>
        </w:rPr>
        <w:t>Web运维，自动运维（专业版支持），第三方客户端运维。支持SecureCRT、Xshell、Xftp、WinSCP、Navicat、数据库运维工具等工具。</w:t>
      </w:r>
    </w:p>
    <w:p w14:paraId="1E778F1E">
      <w:pPr>
        <w:ind w:firstLine="480"/>
        <w:rPr>
          <w:rFonts w:hint="eastAsia"/>
          <w:color w:val="000000"/>
          <w:szCs w:val="32"/>
        </w:rPr>
      </w:pPr>
      <w:r>
        <w:rPr>
          <w:rFonts w:hint="eastAsia" w:ascii="Songti SC" w:hAnsi="Songti SC" w:eastAsia="Songti SC" w:cs="Songti SC"/>
          <w:color w:val="000000"/>
          <w:szCs w:val="32"/>
        </w:rPr>
        <w:t>工单申请</w:t>
      </w:r>
    </w:p>
    <w:p w14:paraId="6BBA2958">
      <w:pPr>
        <w:ind w:firstLine="480"/>
        <w:rPr>
          <w:rFonts w:hint="eastAsia"/>
          <w:color w:val="000000"/>
          <w:szCs w:val="32"/>
        </w:rPr>
      </w:pPr>
      <w:r>
        <w:rPr>
          <w:rFonts w:hint="eastAsia" w:ascii="Songti SC" w:hAnsi="Songti SC" w:eastAsia="Songti SC" w:cs="Songti SC"/>
          <w:color w:val="000000"/>
          <w:szCs w:val="32"/>
        </w:rPr>
        <w:t>系统运维用户在运维过程中，遇到需运维资源而无权限情况，可提交系统工单申请资源控制权限，寻求管理人员授权审批。</w:t>
      </w:r>
    </w:p>
    <w:p w14:paraId="5FD0FEB1">
      <w:pPr>
        <w:pStyle w:val="6"/>
        <w:rPr>
          <w:rFonts w:hint="eastAsia"/>
          <w:color w:val="000000"/>
        </w:rPr>
      </w:pPr>
      <w:r>
        <w:rPr>
          <w:rFonts w:hint="eastAsia" w:ascii="Songti SC" w:hAnsi="Songti SC" w:eastAsia="Songti SC" w:cs="Songti SC"/>
          <w:color w:val="000000"/>
        </w:rPr>
        <w:t>数据库审计</w:t>
      </w:r>
    </w:p>
    <w:p w14:paraId="6FC7B187">
      <w:pPr>
        <w:ind w:firstLine="480"/>
        <w:rPr>
          <w:rFonts w:hint="eastAsia"/>
          <w:color w:val="000000"/>
        </w:rPr>
      </w:pPr>
      <w:r>
        <w:rPr>
          <w:rFonts w:ascii="Songti SC" w:hAnsi="Songti SC" w:eastAsia="Songti SC" w:cs="Songti SC"/>
          <w:color w:val="000000"/>
        </w:rPr>
        <w:t>系统应具备数据库访问审计、异常告警和追溯分析能力，记录数据库访问主体、时间、来源、对象及操作结果。在满足网络安全等级保护第三级安全审计要求的同时，数据库审计能力结合政务云现有服务及安全差距分析结果统筹配置，为敏感数据访问监管和安全事件取证提供支撑。</w:t>
      </w:r>
    </w:p>
    <w:p w14:paraId="5AF27117">
      <w:pPr>
        <w:pStyle w:val="6"/>
        <w:rPr>
          <w:rFonts w:hint="eastAsia"/>
          <w:color w:val="000000"/>
        </w:rPr>
      </w:pPr>
      <w:r>
        <w:rPr>
          <w:rFonts w:hint="eastAsia" w:ascii="Songti SC" w:hAnsi="Songti SC" w:eastAsia="Songti SC" w:cs="Songti SC"/>
          <w:color w:val="000000"/>
        </w:rPr>
        <w:t>主机安全防护</w:t>
      </w:r>
    </w:p>
    <w:p w14:paraId="21E972AC">
      <w:pPr>
        <w:ind w:firstLine="480"/>
        <w:rPr>
          <w:rFonts w:hint="eastAsia"/>
          <w:color w:val="000000"/>
        </w:rPr>
      </w:pPr>
      <w:r>
        <w:rPr>
          <w:rFonts w:ascii="Songti SC" w:hAnsi="Songti SC" w:eastAsia="Songti SC" w:cs="Songti SC"/>
          <w:color w:val="000000"/>
        </w:rPr>
        <w:t>主机防护覆盖9台目标云主机的操作系统及其实际服务：入口节点检查暴露端口，应用节点检查PHP与依赖版本，数据库节点检查账号和审计，支撑节点检查消息、缓存、文件及识别服务权限。采用补丁、最小服务、恶意代码防护、运行监测和配置基线，不以通用威胁介绍替代本项目措施。</w:t>
      </w:r>
    </w:p>
    <w:p w14:paraId="13E0F8DE">
      <w:pPr>
        <w:ind w:firstLine="480"/>
        <w:rPr>
          <w:rFonts w:hint="eastAsia"/>
          <w:color w:val="000000"/>
        </w:rPr>
      </w:pPr>
      <w:r>
        <w:rPr>
          <w:rFonts w:hint="eastAsia" w:ascii="Songti SC" w:hAnsi="Songti SC" w:eastAsia="Songti SC" w:cs="Songti SC"/>
          <w:color w:val="000000"/>
        </w:rPr>
        <w:t>虚拟服务器应具备恶意代码防范、病毒查杀和主机安全监测能力。相关能力可结合政务云现有主机安全服务及安全差距分析结果统筹配置，降低病毒木马和恶意代码对系统运行的影响。</w:t>
      </w:r>
    </w:p>
    <w:p w14:paraId="38B821F5">
      <w:pPr>
        <w:pStyle w:val="5"/>
        <w:rPr>
          <w:rFonts w:hint="eastAsia"/>
          <w:color w:val="000000"/>
        </w:rPr>
      </w:pPr>
      <w:bookmarkStart w:id="437" w:name="_Toc28854"/>
      <w:bookmarkStart w:id="438" w:name="_Toc28017"/>
      <w:r>
        <w:rPr>
          <w:rFonts w:ascii="Songti SC" w:hAnsi="Songti SC" w:eastAsia="Songti SC" w:cs="Songti SC"/>
          <w:color w:val="000000"/>
        </w:rPr>
        <w:t>安全管理中心</w:t>
      </w:r>
      <w:bookmarkEnd w:id="437"/>
      <w:bookmarkEnd w:id="438"/>
    </w:p>
    <w:p w14:paraId="0AFB8E85">
      <w:pPr>
        <w:ind w:firstLine="480"/>
        <w:rPr>
          <w:rFonts w:hint="eastAsia"/>
          <w:color w:val="000000"/>
        </w:rPr>
      </w:pPr>
      <w:r>
        <w:rPr>
          <w:rFonts w:ascii="Songti SC" w:hAnsi="Songti SC" w:eastAsia="Songti SC" w:cs="Songti SC"/>
          <w:color w:val="000000"/>
        </w:rPr>
        <w:t>本项目将入口、应用、数据库、消息、生物识别、缓存与文件服务的运行及安全日志统一接入管理渠道。对异常事件关联用户、设备、订单及请求编号，按告警、处置、复核、关闭形成记录；不将态势感知或通用安全平台作为未列预算的新增建设内容。</w:t>
      </w:r>
    </w:p>
    <w:p w14:paraId="6F9747F9">
      <w:pPr>
        <w:ind w:firstLine="480"/>
        <w:rPr>
          <w:rFonts w:hint="eastAsia"/>
          <w:color w:val="000000"/>
        </w:rPr>
      </w:pPr>
      <w:r>
        <w:rPr>
          <w:rFonts w:ascii="Songti SC" w:hAnsi="Songti SC" w:eastAsia="Songti SC" w:cs="Songti SC"/>
          <w:color w:val="000000"/>
        </w:rPr>
        <w:t>根据《信息安全技术网络安全等级保护基本要求》（GB/T22239-2019），建设安全管理中心改变安全事件和单个资产为视角的传统模式使得系统管理人员能够直观、清晰、全面地认识到业务是否面临着风险、所产生风险的严重程度。</w:t>
      </w:r>
    </w:p>
    <w:p w14:paraId="19B11C7C">
      <w:pPr>
        <w:ind w:firstLine="480"/>
        <w:rPr>
          <w:rFonts w:hint="eastAsia"/>
          <w:color w:val="000000"/>
        </w:rPr>
      </w:pPr>
      <w:r>
        <w:rPr>
          <w:rFonts w:ascii="Songti SC" w:hAnsi="Songti SC" w:eastAsia="Songti SC" w:cs="Songti SC"/>
          <w:color w:val="000000"/>
        </w:rPr>
        <w:t>安全管理中心应统一制定并下发安全策略，支撑计算环境和区域边界执行相应控制要求。态势感知能力可结合政务云现有服务及安全差距分析结果统筹配置，对网络攻击、安全威胁事件、日志和流量等安全信息进行集中分析和告警。</w:t>
      </w:r>
    </w:p>
    <w:p w14:paraId="3A9E92CB">
      <w:pPr>
        <w:pStyle w:val="4"/>
        <w:rPr>
          <w:rFonts w:hint="eastAsia"/>
          <w:color w:val="000000"/>
        </w:rPr>
      </w:pPr>
      <w:bookmarkStart w:id="439" w:name="_Toc11004858"/>
      <w:bookmarkStart w:id="440" w:name="_Toc1853041791"/>
      <w:bookmarkStart w:id="441" w:name="_Toc20589"/>
      <w:bookmarkStart w:id="442" w:name="_Toc614055036"/>
      <w:r>
        <w:rPr>
          <w:rFonts w:ascii="Songti SC" w:hAnsi="Songti SC" w:eastAsia="Songti SC" w:cs="Songti SC"/>
          <w:color w:val="000000"/>
        </w:rPr>
        <w:t>安全管理防护</w:t>
      </w:r>
      <w:bookmarkEnd w:id="439"/>
      <w:bookmarkEnd w:id="440"/>
      <w:bookmarkEnd w:id="441"/>
      <w:bookmarkEnd w:id="442"/>
    </w:p>
    <w:p w14:paraId="7072561A">
      <w:pPr>
        <w:ind w:firstLine="480"/>
        <w:rPr>
          <w:rFonts w:hint="eastAsia"/>
          <w:color w:val="000000"/>
        </w:rPr>
      </w:pPr>
      <w:r>
        <w:rPr>
          <w:rFonts w:ascii="Songti SC" w:hAnsi="Songti SC" w:eastAsia="Songti SC" w:cs="Songti SC"/>
          <w:color w:val="000000"/>
        </w:rPr>
        <w:t>建设信息安全管理体系，健全安全管理和运维机制，科学有效地控制安全风险，同时培养信息安全人才队伍，整体提升信息安全保障水平。信息系统在开发、运行、维护、管理等方面都要重视安全管理体系，严格按制度办事，明确责任权力，规范操作，加强人员、设备的管理以及人员的培训，提高安全管理水平。信息安全管理体系由制度体系和管理组织体系构成。</w:t>
      </w:r>
    </w:p>
    <w:p w14:paraId="6D5E13E9">
      <w:pPr>
        <w:ind w:firstLine="480"/>
        <w:rPr>
          <w:rFonts w:hint="eastAsia"/>
          <w:color w:val="000000"/>
        </w:rPr>
      </w:pPr>
      <w:r>
        <w:rPr>
          <w:rFonts w:ascii="Songti SC" w:hAnsi="Songti SC" w:eastAsia="Songti SC" w:cs="Songti SC"/>
          <w:color w:val="000000"/>
        </w:rPr>
        <w:t>信息安全管理制度体系主要由信息安全策略、管理制度、操作规程及相关记录表单等四个层面构成，安全管理说明机构安全工作的总体目标、范围、原则和安全框架，管理安全管理活动中（如物理、网络、主机系统、数据、应用、管理等）的各类工作，规范系统安全运维相关人员执行的日常管理操作，并严格按照管理体系进行相关工作，记录日常管理工作内容。</w:t>
      </w:r>
    </w:p>
    <w:p w14:paraId="4D2EC436">
      <w:pPr>
        <w:ind w:firstLine="480"/>
        <w:rPr>
          <w:rFonts w:hint="eastAsia"/>
          <w:color w:val="000000"/>
        </w:rPr>
      </w:pPr>
      <w:bookmarkStart w:id="443" w:name="_Hlk12120225"/>
      <w:r>
        <w:rPr>
          <w:rFonts w:ascii="Songti SC" w:hAnsi="Songti SC" w:eastAsia="Songti SC" w:cs="Songti SC"/>
          <w:color w:val="000000"/>
        </w:rPr>
        <w:t>建设系统建设和运维相关管理制度，健全安全建设、运维和管理机制，科学有效地控制安全风险</w:t>
      </w:r>
      <w:bookmarkEnd w:id="443"/>
      <w:r>
        <w:rPr>
          <w:rFonts w:ascii="Songti SC" w:hAnsi="Songti SC" w:eastAsia="Songti SC" w:cs="Songti SC"/>
          <w:color w:val="000000"/>
        </w:rPr>
        <w:t>，培养信息安全人才队伍，整体提升信息安全保障水平。</w:t>
      </w:r>
      <w:bookmarkStart w:id="444" w:name="_Hlk12120274"/>
      <w:r>
        <w:rPr>
          <w:rFonts w:ascii="Songti SC" w:hAnsi="Songti SC" w:eastAsia="Songti SC" w:cs="Songti SC"/>
          <w:color w:val="000000"/>
        </w:rPr>
        <w:t>在系统在开发、运行、维护等各阶段按照安全管理体系执行与落实，明确责任权力，规范操作，提高安全管理水平</w:t>
      </w:r>
      <w:bookmarkEnd w:id="444"/>
      <w:r>
        <w:rPr>
          <w:rFonts w:ascii="Songti SC" w:hAnsi="Songti SC" w:eastAsia="Songti SC" w:cs="Songti SC"/>
          <w:color w:val="000000"/>
        </w:rPr>
        <w:t>。</w:t>
      </w:r>
    </w:p>
    <w:p w14:paraId="162A1B1E">
      <w:pPr>
        <w:pStyle w:val="5"/>
        <w:rPr>
          <w:rFonts w:hint="eastAsia"/>
          <w:color w:val="000000"/>
        </w:rPr>
      </w:pPr>
      <w:bookmarkStart w:id="445" w:name="_Toc9459"/>
      <w:bookmarkStart w:id="446" w:name="_Toc25435"/>
      <w:r>
        <w:rPr>
          <w:rFonts w:hint="eastAsia" w:ascii="Songti SC" w:hAnsi="Songti SC" w:eastAsia="Songti SC" w:cs="Songti SC"/>
          <w:color w:val="000000"/>
        </w:rPr>
        <w:t>安全管理机构</w:t>
      </w:r>
      <w:bookmarkEnd w:id="445"/>
      <w:bookmarkEnd w:id="446"/>
    </w:p>
    <w:p w14:paraId="685F1D05">
      <w:pPr>
        <w:ind w:firstLine="480"/>
        <w:rPr>
          <w:rFonts w:hint="eastAsia"/>
          <w:color w:val="000000"/>
        </w:rPr>
      </w:pPr>
      <w:r>
        <w:rPr>
          <w:rFonts w:hint="eastAsia" w:ascii="Songti SC" w:hAnsi="Songti SC" w:eastAsia="Songti SC" w:cs="Songti SC"/>
          <w:color w:val="000000"/>
        </w:rPr>
        <w:t>网络安全管理工作不仅仅是某一个部门的事情，网络安全应该涉及北京市大兴区机关事务管理服务中心各个部门，需要从信息安全管理角度，厘清各个部门的职责。网络安全管理组织机构的建立是北京市大兴区机关事务管理服务中心开展网络安全管理工作的先决条件，只有完善的组织机构才能保障网络安全管理得到有效落实。</w:t>
      </w:r>
    </w:p>
    <w:p w14:paraId="23E941D4">
      <w:pPr>
        <w:ind w:firstLine="480"/>
        <w:rPr>
          <w:rFonts w:hint="eastAsia"/>
          <w:color w:val="000000"/>
        </w:rPr>
      </w:pPr>
      <w:r>
        <w:rPr>
          <w:rFonts w:hint="eastAsia" w:ascii="Songti SC" w:hAnsi="Songti SC" w:eastAsia="Songti SC" w:cs="Songti SC"/>
          <w:color w:val="000000"/>
        </w:rPr>
        <w:t>网络安全管理与技术检查规范的制定与有效执行是网络安全管理工作执行力度的有效保障，没有检查规范或者检查规范执行不到位都难以有效保障网络安全管理工作得到有效执行，编制《北京市大兴区机关事务管理服务中心网络安全管理检查规范》和《北京市大兴区机关事务管理服务中心网络安全技术检查规范》，将显得尤为迫切。</w:t>
      </w:r>
    </w:p>
    <w:p w14:paraId="468F22E7">
      <w:pPr>
        <w:pStyle w:val="5"/>
        <w:rPr>
          <w:rFonts w:hint="eastAsia"/>
          <w:color w:val="000000"/>
        </w:rPr>
      </w:pPr>
      <w:bookmarkStart w:id="447" w:name="_Toc10275"/>
      <w:bookmarkStart w:id="448" w:name="_Toc9144"/>
      <w:bookmarkStart w:id="449" w:name="_Toc15117"/>
      <w:r>
        <w:rPr>
          <w:rFonts w:hint="eastAsia" w:ascii="Songti SC" w:hAnsi="Songti SC" w:eastAsia="Songti SC" w:cs="Songti SC"/>
          <w:color w:val="000000"/>
        </w:rPr>
        <w:t>安全管理制度</w:t>
      </w:r>
      <w:bookmarkEnd w:id="447"/>
      <w:bookmarkEnd w:id="448"/>
      <w:bookmarkEnd w:id="449"/>
    </w:p>
    <w:p w14:paraId="7C3ADD4B">
      <w:pPr>
        <w:ind w:firstLine="480"/>
        <w:rPr>
          <w:rFonts w:hint="eastAsia"/>
          <w:color w:val="000000"/>
        </w:rPr>
      </w:pPr>
      <w:r>
        <w:rPr>
          <w:rFonts w:hint="eastAsia" w:ascii="Songti SC" w:hAnsi="Songti SC" w:eastAsia="Songti SC" w:cs="Songti SC"/>
          <w:color w:val="000000"/>
        </w:rPr>
        <w:t>通过网络安全管理相关规范的制订与发布，确立北京市大兴区机关事务管理服务中心网络安全方针，对网络安全管理体系文档的制订、发布、修订、评审进行约定，以保证网络安全管理规范文档的严肃性。</w:t>
      </w:r>
    </w:p>
    <w:p w14:paraId="79487D3B">
      <w:pPr>
        <w:ind w:firstLine="480"/>
        <w:rPr>
          <w:rFonts w:hint="eastAsia"/>
          <w:color w:val="000000"/>
        </w:rPr>
      </w:pPr>
      <w:r>
        <w:rPr>
          <w:rFonts w:hint="eastAsia" w:ascii="Songti SC" w:hAnsi="Songti SC" w:eastAsia="Songti SC" w:cs="Songti SC"/>
          <w:color w:val="000000"/>
        </w:rPr>
        <w:t>通过制定北京市大兴区机关事务管理服务中心统一的网络安全策略，有效指导北京市大兴区机关事务管理服务中心网络安全管理与技术工作的开展，为北京市大兴区机关事务管理服务中心建立统一的网络安全策略标准。</w:t>
      </w:r>
    </w:p>
    <w:p w14:paraId="6CF92B5B">
      <w:pPr>
        <w:pStyle w:val="5"/>
        <w:rPr>
          <w:rFonts w:hint="eastAsia"/>
          <w:color w:val="000000"/>
        </w:rPr>
      </w:pPr>
      <w:bookmarkStart w:id="450" w:name="_Toc10091"/>
      <w:bookmarkStart w:id="451" w:name="_Toc12715"/>
      <w:bookmarkStart w:id="452" w:name="_Toc12483"/>
      <w:bookmarkStart w:id="453" w:name="_Toc17812060"/>
      <w:bookmarkStart w:id="454" w:name="_Toc22826240"/>
      <w:bookmarkStart w:id="455" w:name="_Toc17999640"/>
      <w:bookmarkStart w:id="456" w:name="_Toc37340862"/>
      <w:bookmarkStart w:id="457" w:name="_Toc36043787"/>
      <w:r>
        <w:rPr>
          <w:rFonts w:hint="eastAsia" w:ascii="Songti SC" w:hAnsi="Songti SC" w:eastAsia="Songti SC" w:cs="Songti SC"/>
          <w:color w:val="000000"/>
        </w:rPr>
        <w:t>安全管理人员</w:t>
      </w:r>
      <w:bookmarkEnd w:id="450"/>
      <w:bookmarkEnd w:id="451"/>
      <w:bookmarkEnd w:id="452"/>
      <w:bookmarkEnd w:id="453"/>
      <w:bookmarkEnd w:id="454"/>
      <w:bookmarkEnd w:id="455"/>
      <w:bookmarkEnd w:id="456"/>
      <w:bookmarkEnd w:id="457"/>
    </w:p>
    <w:p w14:paraId="2E0123B1">
      <w:pPr>
        <w:ind w:firstLine="480"/>
        <w:rPr>
          <w:rFonts w:hint="eastAsia"/>
          <w:color w:val="000000"/>
        </w:rPr>
      </w:pPr>
      <w:r>
        <w:rPr>
          <w:rFonts w:hint="eastAsia" w:ascii="Songti SC" w:hAnsi="Songti SC" w:eastAsia="Songti SC" w:cs="Songti SC"/>
          <w:color w:val="000000"/>
        </w:rPr>
        <w:t>建立内部工作人员从入职、在岗、调岗、离岗全流程的网络安全管理规范，以加强工作人员的信息安全管理，增强工作人员的网络安全意识。</w:t>
      </w:r>
    </w:p>
    <w:p w14:paraId="7CC30AD9">
      <w:pPr>
        <w:ind w:firstLine="480"/>
        <w:rPr>
          <w:rFonts w:hint="eastAsia"/>
          <w:color w:val="000000"/>
        </w:rPr>
      </w:pPr>
      <w:r>
        <w:rPr>
          <w:rFonts w:hint="eastAsia" w:ascii="Songti SC" w:hAnsi="Songti SC" w:eastAsia="Songti SC" w:cs="Songti SC"/>
          <w:color w:val="000000"/>
        </w:rPr>
        <w:t>建立外来人员的网络安全管理要求，以防范由于对外来人员的安全管理不当所造成的网络安全风险。</w:t>
      </w:r>
    </w:p>
    <w:p w14:paraId="618426F5">
      <w:pPr>
        <w:pStyle w:val="5"/>
        <w:rPr>
          <w:rFonts w:hint="eastAsia"/>
          <w:color w:val="000000"/>
        </w:rPr>
      </w:pPr>
      <w:bookmarkStart w:id="458" w:name="_Toc22826241"/>
      <w:bookmarkStart w:id="459" w:name="_Toc17081"/>
      <w:bookmarkStart w:id="460" w:name="_Toc17999641"/>
      <w:bookmarkStart w:id="461" w:name="_Toc1855"/>
      <w:bookmarkStart w:id="462" w:name="_Toc28779"/>
      <w:bookmarkStart w:id="463" w:name="_Toc36043788"/>
      <w:bookmarkStart w:id="464" w:name="_Toc17812061"/>
      <w:bookmarkStart w:id="465" w:name="_Toc37340863"/>
      <w:r>
        <w:rPr>
          <w:rFonts w:hint="eastAsia" w:ascii="Songti SC" w:hAnsi="Songti SC" w:eastAsia="Songti SC" w:cs="Songti SC"/>
          <w:color w:val="000000"/>
        </w:rPr>
        <w:t>安全建设管理</w:t>
      </w:r>
      <w:bookmarkEnd w:id="458"/>
      <w:bookmarkEnd w:id="459"/>
      <w:bookmarkEnd w:id="460"/>
      <w:bookmarkEnd w:id="461"/>
      <w:bookmarkEnd w:id="462"/>
      <w:bookmarkEnd w:id="463"/>
      <w:bookmarkEnd w:id="464"/>
      <w:bookmarkEnd w:id="465"/>
    </w:p>
    <w:p w14:paraId="25D77639">
      <w:pPr>
        <w:ind w:firstLine="480"/>
        <w:rPr>
          <w:rFonts w:hint="eastAsia"/>
          <w:color w:val="000000"/>
        </w:rPr>
      </w:pPr>
      <w:r>
        <w:rPr>
          <w:rFonts w:hint="eastAsia" w:ascii="Songti SC" w:hAnsi="Songti SC" w:eastAsia="Songti SC" w:cs="Songti SC"/>
          <w:color w:val="000000"/>
        </w:rPr>
        <w:t>制定相关管理规范，以规范新建信息系统在立项阶段、设计阶段、开发实施阶段、试运行阶段、上线阶段应该要怎样落实等级保护要求。</w:t>
      </w:r>
    </w:p>
    <w:p w14:paraId="55DF2DCA">
      <w:pPr>
        <w:pStyle w:val="5"/>
        <w:rPr>
          <w:rFonts w:hint="eastAsia"/>
          <w:color w:val="000000"/>
        </w:rPr>
      </w:pPr>
      <w:bookmarkStart w:id="466" w:name="_Toc22826242"/>
      <w:bookmarkStart w:id="467" w:name="_Toc36043789"/>
      <w:bookmarkStart w:id="468" w:name="_Toc28072"/>
      <w:bookmarkStart w:id="469" w:name="_Toc17812062"/>
      <w:bookmarkStart w:id="470" w:name="_Toc37340864"/>
      <w:bookmarkStart w:id="471" w:name="_Toc17999642"/>
      <w:bookmarkStart w:id="472" w:name="_Toc27083"/>
      <w:bookmarkStart w:id="473" w:name="_Toc18827"/>
      <w:r>
        <w:rPr>
          <w:rFonts w:hint="eastAsia" w:ascii="Songti SC" w:hAnsi="Songti SC" w:eastAsia="Songti SC" w:cs="Songti SC"/>
          <w:color w:val="000000"/>
        </w:rPr>
        <w:t>安全运维管理</w:t>
      </w:r>
      <w:bookmarkEnd w:id="466"/>
      <w:bookmarkEnd w:id="467"/>
      <w:bookmarkEnd w:id="468"/>
      <w:bookmarkEnd w:id="469"/>
      <w:bookmarkEnd w:id="470"/>
      <w:bookmarkEnd w:id="471"/>
      <w:bookmarkEnd w:id="472"/>
      <w:bookmarkEnd w:id="473"/>
    </w:p>
    <w:p w14:paraId="6DEC8A5A">
      <w:pPr>
        <w:ind w:firstLine="480"/>
        <w:rPr>
          <w:rFonts w:hint="eastAsia"/>
          <w:color w:val="000000"/>
        </w:rPr>
      </w:pPr>
      <w:r>
        <w:rPr>
          <w:rFonts w:hint="eastAsia" w:ascii="Songti SC" w:hAnsi="Songti SC" w:eastAsia="Songti SC" w:cs="Songti SC"/>
          <w:color w:val="000000"/>
        </w:rPr>
        <w:t>建立整套网络安全运维管理规范与操作手册，制定相关技术规范，以此来加强北京市大兴区机关事务管理服务中心信息系统运维过程中的安全管理。</w:t>
      </w:r>
    </w:p>
    <w:p w14:paraId="26849515">
      <w:pPr>
        <w:pStyle w:val="4"/>
        <w:rPr>
          <w:rFonts w:hint="eastAsia"/>
          <w:color w:val="000000"/>
          <w:lang w:eastAsia="zh-CN"/>
        </w:rPr>
      </w:pPr>
      <w:bookmarkStart w:id="474" w:name="_Toc486364327"/>
      <w:bookmarkStart w:id="475" w:name="_Toc174296152"/>
      <w:bookmarkStart w:id="476" w:name="_Toc275054764"/>
      <w:bookmarkStart w:id="477" w:name="_Toc1265532543"/>
      <w:r>
        <w:rPr>
          <w:rFonts w:hint="eastAsia" w:ascii="Songti SC" w:hAnsi="Songti SC" w:eastAsia="Songti SC" w:cs="Songti SC"/>
          <w:color w:val="000000"/>
          <w:lang w:eastAsia="zh-CN"/>
        </w:rPr>
        <w:t>针对特定场景的安全措施</w:t>
      </w:r>
      <w:bookmarkEnd w:id="474"/>
      <w:bookmarkEnd w:id="475"/>
      <w:bookmarkEnd w:id="476"/>
      <w:bookmarkEnd w:id="477"/>
    </w:p>
    <w:p w14:paraId="4758202B">
      <w:pPr>
        <w:pStyle w:val="30"/>
        <w:spacing w:before="156" w:after="156" w:line="360" w:lineRule="auto"/>
        <w:ind w:firstLine="480"/>
        <w:rPr>
          <w:rFonts w:hint="eastAsia"/>
          <w:color w:val="000000"/>
        </w:rPr>
      </w:pPr>
      <w:r>
        <w:rPr>
          <w:rFonts w:ascii="Songti SC" w:hAnsi="Songti SC" w:eastAsia="Songti SC" w:cs="Songti SC"/>
          <w:color w:val="000000"/>
        </w:rPr>
        <w:t>1.互联网区域安全</w:t>
      </w:r>
    </w:p>
    <w:p w14:paraId="1AD6EDC9">
      <w:pPr>
        <w:pStyle w:val="30"/>
        <w:spacing w:before="156" w:after="156" w:line="360" w:lineRule="auto"/>
        <w:ind w:firstLine="480"/>
        <w:rPr>
          <w:rFonts w:hint="eastAsia"/>
          <w:color w:val="000000"/>
        </w:rPr>
      </w:pPr>
      <w:r>
        <w:rPr>
          <w:rFonts w:ascii="Songti SC" w:hAnsi="Songti SC" w:eastAsia="Songti SC" w:cs="Songti SC"/>
          <w:color w:val="000000"/>
        </w:rPr>
        <w:t>Web应用安全，对对外服务的Web应用进行安全加固，如使用HTTPS、SQL注入防护、XSS防护等。</w:t>
      </w:r>
    </w:p>
    <w:p w14:paraId="426CFB88">
      <w:pPr>
        <w:pStyle w:val="30"/>
        <w:spacing w:before="156" w:after="156" w:line="360" w:lineRule="auto"/>
        <w:ind w:firstLine="480"/>
        <w:rPr>
          <w:rFonts w:hint="eastAsia"/>
          <w:color w:val="000000"/>
        </w:rPr>
      </w:pPr>
      <w:r>
        <w:rPr>
          <w:rFonts w:ascii="Songti SC" w:hAnsi="Songti SC" w:eastAsia="Songti SC" w:cs="Songti SC"/>
          <w:color w:val="000000"/>
        </w:rPr>
        <w:t>对互联网发布入口采用云平台可提供的抗拒绝服务能力和应用限流；本项目不独立采购DDoS防护设备。</w:t>
      </w:r>
    </w:p>
    <w:p w14:paraId="69FA5D21">
      <w:pPr>
        <w:pStyle w:val="30"/>
        <w:spacing w:before="156" w:after="156" w:line="360" w:lineRule="auto"/>
        <w:ind w:firstLine="480"/>
        <w:rPr>
          <w:rFonts w:hint="eastAsia"/>
          <w:color w:val="000000"/>
        </w:rPr>
      </w:pPr>
      <w:r>
        <w:rPr>
          <w:rFonts w:ascii="Songti SC" w:hAnsi="Songti SC" w:eastAsia="Songti SC" w:cs="Songti SC"/>
          <w:color w:val="000000"/>
        </w:rPr>
        <w:t>2.电子政务外网区域安全</w:t>
      </w:r>
    </w:p>
    <w:p w14:paraId="44D3BB31">
      <w:pPr>
        <w:pStyle w:val="30"/>
        <w:spacing w:before="156" w:after="156" w:line="360" w:lineRule="auto"/>
        <w:ind w:firstLine="480"/>
        <w:rPr>
          <w:rFonts w:hint="eastAsia"/>
          <w:color w:val="000000"/>
        </w:rPr>
      </w:pPr>
      <w:r>
        <w:rPr>
          <w:rFonts w:ascii="Songti SC" w:hAnsi="Songti SC" w:eastAsia="Songti SC" w:cs="Songti SC"/>
          <w:color w:val="000000"/>
        </w:rPr>
        <w:t>敏感信息保护，对电子政务外网区域内的敏感信息进行更加严格的安全保护，如加密存储、访问控制等。</w:t>
      </w:r>
    </w:p>
    <w:p w14:paraId="09C1187A">
      <w:pPr>
        <w:pStyle w:val="30"/>
        <w:spacing w:before="156" w:after="156" w:line="360" w:lineRule="auto"/>
        <w:ind w:firstLine="480"/>
        <w:rPr>
          <w:rFonts w:hint="eastAsia"/>
          <w:color w:val="000000"/>
        </w:rPr>
      </w:pPr>
      <w:r>
        <w:rPr>
          <w:rFonts w:ascii="Songti SC" w:hAnsi="Songti SC" w:eastAsia="Songti SC" w:cs="Songti SC"/>
          <w:color w:val="000000"/>
        </w:rPr>
        <w:t>安全隔离，在电子政务外网内部根据业务需求进行适当的安全隔离，减少不同业务之间的安全风险。</w:t>
      </w:r>
    </w:p>
    <w:p w14:paraId="4FD4B359">
      <w:pPr>
        <w:pStyle w:val="30"/>
        <w:spacing w:before="156" w:after="156" w:line="360" w:lineRule="auto"/>
        <w:ind w:firstLine="480"/>
        <w:rPr>
          <w:rFonts w:hint="eastAsia"/>
          <w:color w:val="000000"/>
        </w:rPr>
      </w:pPr>
      <w:r>
        <w:rPr>
          <w:rFonts w:ascii="Songti SC" w:hAnsi="Songti SC" w:eastAsia="Songti SC" w:cs="Songti SC"/>
          <w:color w:val="000000"/>
        </w:rPr>
        <w:t>3.数据交互安全</w:t>
      </w:r>
    </w:p>
    <w:p w14:paraId="2DF12B8F">
      <w:pPr>
        <w:pStyle w:val="30"/>
        <w:spacing w:before="156" w:after="156" w:line="360" w:lineRule="auto"/>
        <w:ind w:firstLine="480"/>
        <w:rPr>
          <w:rFonts w:hint="eastAsia"/>
          <w:color w:val="000000"/>
        </w:rPr>
      </w:pPr>
      <w:r>
        <w:rPr>
          <w:rFonts w:ascii="Songti SC" w:hAnsi="Songti SC" w:eastAsia="Songti SC" w:cs="Songti SC"/>
          <w:color w:val="000000"/>
        </w:rPr>
        <w:t>前置机管理，与外部数据交互采用</w:t>
      </w:r>
      <w:r>
        <w:rPr>
          <w:rFonts w:hint="eastAsia" w:ascii="Songti SC" w:hAnsi="Songti SC" w:eastAsia="Songti SC" w:cs="Songti SC"/>
          <w:color w:val="000000"/>
          <w:lang w:eastAsia="zh-CN"/>
        </w:rPr>
        <w:t>大数据交互平台</w:t>
      </w:r>
      <w:r>
        <w:rPr>
          <w:rFonts w:ascii="Songti SC" w:hAnsi="Songti SC" w:eastAsia="Songti SC" w:cs="Songti SC"/>
          <w:color w:val="000000"/>
        </w:rPr>
        <w:t>前置机进行数据交互，确保数据在传输过程中的安全性。</w:t>
      </w:r>
    </w:p>
    <w:p w14:paraId="1820D8B4">
      <w:pPr>
        <w:pStyle w:val="30"/>
        <w:spacing w:before="156" w:after="156" w:line="360" w:lineRule="auto"/>
        <w:ind w:firstLine="480"/>
        <w:rPr>
          <w:rFonts w:hint="eastAsia"/>
          <w:color w:val="000000"/>
        </w:rPr>
      </w:pPr>
      <w:r>
        <w:rPr>
          <w:rFonts w:ascii="Songti SC" w:hAnsi="Songti SC" w:eastAsia="Songti SC" w:cs="Songti SC"/>
          <w:color w:val="000000"/>
        </w:rPr>
        <w:t>4.安全协议</w:t>
      </w:r>
    </w:p>
    <w:p w14:paraId="3F263D5E">
      <w:pPr>
        <w:pStyle w:val="30"/>
        <w:spacing w:before="156" w:after="156" w:line="360" w:lineRule="auto"/>
        <w:ind w:firstLine="480"/>
        <w:rPr>
          <w:rFonts w:hint="eastAsia"/>
          <w:color w:val="000000"/>
        </w:rPr>
      </w:pPr>
      <w:r>
        <w:rPr>
          <w:rFonts w:ascii="Songti SC" w:hAnsi="Songti SC" w:eastAsia="Songti SC" w:cs="Songti SC"/>
          <w:color w:val="000000"/>
        </w:rPr>
        <w:t>与外部系统交互时，应使用安全协议（如HTTPS、SFTP等）确保数据传输的安全性。</w:t>
      </w:r>
    </w:p>
    <w:p w14:paraId="390D2008">
      <w:pPr>
        <w:pStyle w:val="4"/>
        <w:rPr>
          <w:rFonts w:hint="eastAsia"/>
          <w:color w:val="000000"/>
        </w:rPr>
      </w:pPr>
      <w:bookmarkStart w:id="478" w:name="_Toc1127410313"/>
      <w:bookmarkStart w:id="479" w:name="_Toc1460610204"/>
      <w:bookmarkStart w:id="480" w:name="_Toc1002483407"/>
      <w:bookmarkStart w:id="481" w:name="_Toc174296153"/>
      <w:r>
        <w:rPr>
          <w:rFonts w:hint="eastAsia" w:ascii="Songti SC" w:hAnsi="Songti SC" w:eastAsia="Songti SC" w:cs="Songti SC"/>
          <w:color w:val="000000"/>
        </w:rPr>
        <w:t>合规性与标准</w:t>
      </w:r>
      <w:bookmarkEnd w:id="478"/>
      <w:bookmarkEnd w:id="479"/>
      <w:bookmarkEnd w:id="480"/>
      <w:bookmarkEnd w:id="481"/>
    </w:p>
    <w:p w14:paraId="4792A76D">
      <w:pPr>
        <w:pStyle w:val="30"/>
        <w:spacing w:before="156" w:after="156" w:line="360" w:lineRule="auto"/>
        <w:ind w:firstLine="480"/>
        <w:rPr>
          <w:rFonts w:hint="eastAsia"/>
          <w:color w:val="000000"/>
        </w:rPr>
      </w:pPr>
      <w:r>
        <w:rPr>
          <w:rFonts w:ascii="Songti SC" w:hAnsi="Songti SC" w:eastAsia="Songti SC" w:cs="Songti SC"/>
          <w:color w:val="000000"/>
        </w:rPr>
        <w:t>确保项目符合《网络安全法》、《个人信息保护法》等相关法律法规的要求。</w:t>
      </w:r>
    </w:p>
    <w:p w14:paraId="602DD63D">
      <w:pPr>
        <w:pStyle w:val="30"/>
        <w:spacing w:before="156" w:after="156" w:line="360" w:lineRule="auto"/>
        <w:ind w:firstLine="480"/>
        <w:rPr>
          <w:rFonts w:hint="eastAsia"/>
          <w:color w:val="000000"/>
        </w:rPr>
      </w:pPr>
      <w:r>
        <w:rPr>
          <w:rFonts w:ascii="Songti SC" w:hAnsi="Songti SC" w:eastAsia="Songti SC" w:cs="Songti SC"/>
          <w:color w:val="000000"/>
        </w:rPr>
        <w:t>遵循国家信息安全等级保护制度，根据业务需求进行相应等级的安全防护。</w:t>
      </w:r>
    </w:p>
    <w:p w14:paraId="5980D39A">
      <w:pPr>
        <w:ind w:firstLine="480"/>
        <w:rPr>
          <w:rFonts w:hint="eastAsia"/>
          <w:color w:val="000000"/>
        </w:rPr>
      </w:pPr>
      <w:r>
        <w:rPr>
          <w:rFonts w:ascii="Songti SC" w:hAnsi="Songti SC" w:eastAsia="Songti SC" w:cs="Songti SC"/>
          <w:color w:val="000000"/>
        </w:rPr>
        <w:t>安全系统建设应以网络安全等级保护测评为约束，结合政务云现有安全能力完成安全策略配置、日志留存、审计取证、漏洞整改、账户权限和运维行为管控，支撑测评报告和整改验证材料形成。</w:t>
      </w:r>
    </w:p>
    <w:bookmarkEnd w:id="414"/>
    <w:p w14:paraId="3E4294EF">
      <w:pPr>
        <w:pStyle w:val="3"/>
        <w:rPr>
          <w:rFonts w:hint="eastAsia"/>
          <w:color w:val="000000"/>
          <w:lang w:eastAsia="zh-CN"/>
        </w:rPr>
      </w:pPr>
      <w:bookmarkStart w:id="482" w:name="_Toc590129771"/>
      <w:bookmarkStart w:id="483" w:name="_Toc1729410734"/>
      <w:bookmarkStart w:id="484" w:name="_Toc1136913110"/>
      <w:bookmarkStart w:id="485" w:name="_Toc17721"/>
      <w:bookmarkStart w:id="486" w:name="_Toc66881474"/>
      <w:r>
        <w:rPr>
          <w:rFonts w:hint="eastAsia" w:ascii="Songti SC" w:hAnsi="Songti SC" w:eastAsia="Songti SC" w:cs="Songti SC"/>
          <w:color w:val="000000"/>
          <w:lang w:eastAsia="zh-CN"/>
        </w:rPr>
        <w:t>项目部署方案</w:t>
      </w:r>
      <w:bookmarkEnd w:id="482"/>
      <w:bookmarkEnd w:id="483"/>
      <w:bookmarkEnd w:id="484"/>
      <w:bookmarkEnd w:id="485"/>
      <w:bookmarkEnd w:id="486"/>
    </w:p>
    <w:p w14:paraId="1B58746F">
      <w:pPr>
        <w:pStyle w:val="4"/>
        <w:rPr>
          <w:rFonts w:hint="eastAsia"/>
          <w:color w:val="000000"/>
        </w:rPr>
      </w:pPr>
      <w:bookmarkStart w:id="487" w:name="_Toc4049"/>
      <w:bookmarkStart w:id="488" w:name="_Toc1231579351"/>
      <w:bookmarkStart w:id="489" w:name="_Toc15044193"/>
      <w:bookmarkStart w:id="490" w:name="_Toc1936632411"/>
      <w:r>
        <w:rPr>
          <w:rFonts w:hint="eastAsia" w:ascii="Songti SC" w:hAnsi="Songti SC" w:eastAsia="Songti SC" w:cs="Songti SC"/>
          <w:color w:val="000000"/>
        </w:rPr>
        <w:t>系统整体部署方案</w:t>
      </w:r>
      <w:bookmarkEnd w:id="487"/>
      <w:bookmarkEnd w:id="488"/>
      <w:bookmarkEnd w:id="489"/>
      <w:bookmarkEnd w:id="490"/>
    </w:p>
    <w:p w14:paraId="2B779779">
      <w:pPr>
        <w:ind w:firstLine="480"/>
        <w:rPr>
          <w:rFonts w:hint="eastAsia"/>
          <w:color w:val="000000"/>
        </w:rPr>
      </w:pPr>
      <w:r>
        <w:rPr>
          <w:rFonts w:hint="eastAsia" w:ascii="Songti SC" w:hAnsi="Songti SC" w:eastAsia="Songti SC" w:cs="Songti SC"/>
          <w:color w:val="000000"/>
        </w:rPr>
        <w:t>本项目部署在建设单位统筹确定的政务云环境，系统网络连接关系与前文系统网络架构描述保持一致。</w:t>
      </w:r>
    </w:p>
    <w:p w14:paraId="110D036F">
      <w:pPr>
        <w:ind w:firstLine="480"/>
        <w:rPr>
          <w:rFonts w:hint="eastAsia"/>
          <w:color w:val="000000"/>
          <w:lang w:bidi="ar"/>
        </w:rPr>
      </w:pPr>
      <w:r>
        <w:rPr>
          <w:rFonts w:hint="eastAsia" w:ascii="Songti SC" w:hAnsi="Songti SC" w:eastAsia="Songti SC" w:cs="Songti SC"/>
          <w:b/>
          <w:color w:val="000000"/>
          <w:lang w:bidi="ar"/>
        </w:rPr>
        <w:t>目标节点与业务链路关系</w:t>
      </w:r>
    </w:p>
    <w:tbl>
      <w:tblPr>
        <w:tblStyle w:val="60"/>
        <w:tblW w:w="8500"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75" w:type="dxa"/>
          <w:left w:w="75" w:type="dxa"/>
          <w:bottom w:w="75" w:type="dxa"/>
          <w:right w:w="75" w:type="dxa"/>
        </w:tblCellMar>
      </w:tblPr>
      <w:tblGrid>
        <w:gridCol w:w="1600"/>
        <w:gridCol w:w="2500"/>
        <w:gridCol w:w="4400"/>
      </w:tblGrid>
      <w:tr w14:paraId="44972EEC">
        <w:trPr>
          <w:cantSplit/>
          <w:tblHeader/>
        </w:trPr>
        <w:tc>
          <w:tcPr>
            <w:tcW w:w="1600" w:type="dxa"/>
            <w:vAlign w:val="center"/>
          </w:tcPr>
          <w:p w14:paraId="43F8E458">
            <w:pPr>
              <w:spacing w:before="40" w:after="40" w:line="260" w:lineRule="auto"/>
            </w:pPr>
            <w:r>
              <w:rPr>
                <w:rFonts w:hint="eastAsia" w:ascii="Songti SC" w:hAnsi="Songti SC" w:eastAsia="Songti SC" w:cs="Songti SC"/>
                <w:b/>
                <w:color w:val="000000"/>
                <w:sz w:val="21"/>
                <w:szCs w:val="21"/>
                <w:lang w:bidi="ar"/>
              </w:rPr>
              <w:t>链路</w:t>
            </w:r>
          </w:p>
        </w:tc>
        <w:tc>
          <w:tcPr>
            <w:tcW w:w="2500" w:type="dxa"/>
            <w:vAlign w:val="center"/>
          </w:tcPr>
          <w:p w14:paraId="11A629C4">
            <w:pPr>
              <w:spacing w:before="40" w:after="40" w:line="260" w:lineRule="auto"/>
            </w:pPr>
            <w:r>
              <w:rPr>
                <w:rFonts w:hint="eastAsia" w:ascii="Songti SC" w:hAnsi="Songti SC" w:eastAsia="Songti SC" w:cs="Songti SC"/>
                <w:b/>
                <w:color w:val="000000"/>
                <w:sz w:val="21"/>
                <w:szCs w:val="21"/>
                <w:lang w:bidi="ar"/>
              </w:rPr>
              <w:t>节点路径</w:t>
            </w:r>
          </w:p>
        </w:tc>
        <w:tc>
          <w:tcPr>
            <w:tcW w:w="4400" w:type="dxa"/>
            <w:vAlign w:val="center"/>
          </w:tcPr>
          <w:p w14:paraId="25C6AA51">
            <w:pPr>
              <w:spacing w:before="40" w:after="40" w:line="260" w:lineRule="auto"/>
            </w:pPr>
            <w:r>
              <w:rPr>
                <w:rFonts w:hint="eastAsia" w:ascii="Songti SC" w:hAnsi="Songti SC" w:eastAsia="Songti SC" w:cs="Songti SC"/>
                <w:b/>
                <w:color w:val="000000"/>
                <w:sz w:val="21"/>
                <w:szCs w:val="21"/>
                <w:lang w:bidi="ar"/>
              </w:rPr>
              <w:t>处理与故障边界</w:t>
            </w:r>
          </w:p>
        </w:tc>
      </w:tr>
      <w:tr w14:paraId="4AC7A444">
        <w:trPr>
          <w:cantSplit/>
        </w:trPr>
        <w:tc>
          <w:tcPr>
            <w:tcW w:w="1600" w:type="dxa"/>
            <w:vAlign w:val="center"/>
          </w:tcPr>
          <w:p w14:paraId="386CBE17">
            <w:pPr>
              <w:spacing w:before="40" w:after="40" w:line="260" w:lineRule="auto"/>
            </w:pPr>
            <w:r>
              <w:rPr>
                <w:rFonts w:hint="eastAsia" w:ascii="Songti SC" w:hAnsi="Songti SC" w:eastAsia="Songti SC" w:cs="Songti SC"/>
                <w:color w:val="000000"/>
                <w:sz w:val="21"/>
                <w:szCs w:val="21"/>
                <w:lang w:bidi="ar"/>
              </w:rPr>
              <w:t>互联网访问</w:t>
            </w:r>
          </w:p>
        </w:tc>
        <w:tc>
          <w:tcPr>
            <w:tcW w:w="2500" w:type="dxa"/>
            <w:vAlign w:val="center"/>
          </w:tcPr>
          <w:p w14:paraId="4A4268CA">
            <w:pPr>
              <w:spacing w:before="40" w:after="40" w:line="260" w:lineRule="auto"/>
            </w:pPr>
            <w:r>
              <w:rPr>
                <w:rFonts w:hint="eastAsia" w:ascii="Songti SC" w:hAnsi="Songti SC" w:eastAsia="Songti SC" w:cs="Songti SC"/>
                <w:color w:val="000000"/>
                <w:sz w:val="21"/>
                <w:szCs w:val="21"/>
                <w:lang w:bidi="ar"/>
              </w:rPr>
              <w:t>小程序/外部接口→E01/E02→批准的安全交换→A01/A02</w:t>
            </w:r>
          </w:p>
        </w:tc>
        <w:tc>
          <w:tcPr>
            <w:tcW w:w="4400" w:type="dxa"/>
            <w:vAlign w:val="center"/>
          </w:tcPr>
          <w:p w14:paraId="3ED6A9F5">
            <w:pPr>
              <w:spacing w:before="40" w:after="40" w:line="260" w:lineRule="auto"/>
            </w:pPr>
            <w:r>
              <w:rPr>
                <w:rFonts w:hint="eastAsia" w:ascii="Songti SC" w:hAnsi="Songti SC" w:eastAsia="Songti SC" w:cs="Songti SC"/>
                <w:color w:val="000000"/>
                <w:sz w:val="21"/>
                <w:szCs w:val="21"/>
                <w:lang w:bidi="ar"/>
              </w:rPr>
              <w:t>入口只做接入与转发；禁止直接访问数据库。</w:t>
            </w:r>
          </w:p>
        </w:tc>
      </w:tr>
      <w:tr w14:paraId="3A370A2A">
        <w:trPr>
          <w:cantSplit/>
        </w:trPr>
        <w:tc>
          <w:tcPr>
            <w:tcW w:w="1600" w:type="dxa"/>
            <w:vAlign w:val="center"/>
          </w:tcPr>
          <w:p w14:paraId="6CE4BAE8">
            <w:pPr>
              <w:spacing w:before="40" w:after="40" w:line="260" w:lineRule="auto"/>
            </w:pPr>
            <w:r>
              <w:rPr>
                <w:rFonts w:hint="eastAsia" w:ascii="Songti SC" w:hAnsi="Songti SC" w:eastAsia="Songti SC" w:cs="Songti SC"/>
                <w:color w:val="000000"/>
                <w:sz w:val="21"/>
                <w:szCs w:val="21"/>
                <w:lang w:bidi="ar"/>
              </w:rPr>
              <w:t>现场消费</w:t>
            </w:r>
          </w:p>
        </w:tc>
        <w:tc>
          <w:tcPr>
            <w:tcW w:w="2500" w:type="dxa"/>
            <w:vAlign w:val="center"/>
          </w:tcPr>
          <w:p w14:paraId="6A777D71">
            <w:pPr>
              <w:spacing w:before="40" w:after="40" w:line="260" w:lineRule="auto"/>
            </w:pPr>
            <w:r>
              <w:rPr>
                <w:rFonts w:hint="eastAsia" w:ascii="Songti SC" w:hAnsi="Songti SC" w:eastAsia="Songti SC" w:cs="Songti SC"/>
                <w:color w:val="000000"/>
                <w:sz w:val="21"/>
                <w:szCs w:val="21"/>
                <w:lang w:bidi="ar"/>
              </w:rPr>
              <w:t>终端→A01/A02→D01；D01→D02同步</w:t>
            </w:r>
          </w:p>
        </w:tc>
        <w:tc>
          <w:tcPr>
            <w:tcW w:w="4400" w:type="dxa"/>
            <w:vAlign w:val="center"/>
          </w:tcPr>
          <w:p w14:paraId="7F4AB9D6">
            <w:pPr>
              <w:spacing w:before="40" w:after="40" w:line="260" w:lineRule="auto"/>
            </w:pPr>
            <w:r>
              <w:rPr>
                <w:rFonts w:hint="eastAsia" w:ascii="Songti SC" w:hAnsi="Songti SC" w:eastAsia="Songti SC" w:cs="Songti SC"/>
                <w:color w:val="000000"/>
                <w:sz w:val="21"/>
                <w:szCs w:val="21"/>
                <w:lang w:bidi="ar"/>
              </w:rPr>
              <w:t>以数据库事务结果为扣款依据；应用无结果时按订单查询，不重复提交扣款。</w:t>
            </w:r>
          </w:p>
        </w:tc>
      </w:tr>
      <w:tr w14:paraId="44A1DB45">
        <w:trPr>
          <w:cantSplit/>
        </w:trPr>
        <w:tc>
          <w:tcPr>
            <w:tcW w:w="1600" w:type="dxa"/>
            <w:vAlign w:val="center"/>
          </w:tcPr>
          <w:p w14:paraId="13D97A1C">
            <w:pPr>
              <w:spacing w:before="40" w:after="40" w:line="260" w:lineRule="auto"/>
            </w:pPr>
            <w:r>
              <w:rPr>
                <w:rFonts w:hint="eastAsia" w:ascii="Songti SC" w:hAnsi="Songti SC" w:eastAsia="Songti SC" w:cs="Songti SC"/>
                <w:color w:val="000000"/>
                <w:sz w:val="21"/>
                <w:szCs w:val="21"/>
                <w:lang w:bidi="ar"/>
              </w:rPr>
              <w:t>身份与消息</w:t>
            </w:r>
          </w:p>
        </w:tc>
        <w:tc>
          <w:tcPr>
            <w:tcW w:w="2500" w:type="dxa"/>
            <w:vAlign w:val="center"/>
          </w:tcPr>
          <w:p w14:paraId="36B36D4F">
            <w:pPr>
              <w:spacing w:before="40" w:after="40" w:line="260" w:lineRule="auto"/>
            </w:pPr>
            <w:r>
              <w:rPr>
                <w:rFonts w:hint="eastAsia" w:ascii="Songti SC" w:hAnsi="Songti SC" w:eastAsia="Songti SC" w:cs="Songti SC"/>
                <w:color w:val="000000"/>
                <w:sz w:val="21"/>
                <w:szCs w:val="21"/>
                <w:lang w:bidi="ar"/>
              </w:rPr>
              <w:t>应用↔B01；应用↔M01↔终端；应用↔S01</w:t>
            </w:r>
          </w:p>
        </w:tc>
        <w:tc>
          <w:tcPr>
            <w:tcW w:w="4400" w:type="dxa"/>
            <w:vAlign w:val="center"/>
          </w:tcPr>
          <w:p w14:paraId="087EABF5">
            <w:pPr>
              <w:spacing w:before="40" w:after="40" w:line="260" w:lineRule="auto"/>
            </w:pPr>
            <w:r>
              <w:rPr>
                <w:rFonts w:hint="eastAsia" w:ascii="Songti SC" w:hAnsi="Songti SC" w:eastAsia="Songti SC" w:cs="Songti SC"/>
                <w:color w:val="000000"/>
                <w:sz w:val="21"/>
                <w:szCs w:val="21"/>
                <w:lang w:bidi="ar"/>
              </w:rPr>
              <w:t>终端识别，B01管理人脸资料及同步，应用校验账户；M01异步分发，S01缓存及文件不替代账务数据库。</w:t>
            </w:r>
          </w:p>
        </w:tc>
      </w:tr>
      <w:tr w14:paraId="4AFD9EE6">
        <w:trPr>
          <w:cantSplit/>
        </w:trPr>
        <w:tc>
          <w:tcPr>
            <w:tcW w:w="1600" w:type="dxa"/>
            <w:vAlign w:val="center"/>
          </w:tcPr>
          <w:p w14:paraId="54F0A76C">
            <w:pPr>
              <w:spacing w:before="40" w:after="40" w:line="260" w:lineRule="auto"/>
            </w:pPr>
            <w:r>
              <w:rPr>
                <w:rFonts w:hint="eastAsia" w:ascii="Songti SC" w:hAnsi="Songti SC" w:eastAsia="Songti SC" w:cs="Songti SC"/>
                <w:color w:val="000000"/>
                <w:sz w:val="21"/>
                <w:szCs w:val="21"/>
                <w:lang w:bidi="ar"/>
              </w:rPr>
              <w:t>运维与备份</w:t>
            </w:r>
          </w:p>
        </w:tc>
        <w:tc>
          <w:tcPr>
            <w:tcW w:w="2500" w:type="dxa"/>
            <w:vAlign w:val="center"/>
          </w:tcPr>
          <w:p w14:paraId="1EB471ED">
            <w:pPr>
              <w:spacing w:before="40" w:after="40" w:line="260" w:lineRule="auto"/>
            </w:pPr>
            <w:r>
              <w:rPr>
                <w:rFonts w:hint="eastAsia" w:ascii="Songti SC" w:hAnsi="Songti SC" w:eastAsia="Songti SC" w:cs="Songti SC"/>
                <w:color w:val="000000"/>
                <w:sz w:val="21"/>
                <w:szCs w:val="21"/>
                <w:lang w:bidi="ar"/>
              </w:rPr>
              <w:t>授权运维通道→9节点；数据库/文件→独立备份</w:t>
            </w:r>
          </w:p>
        </w:tc>
        <w:tc>
          <w:tcPr>
            <w:tcW w:w="4400" w:type="dxa"/>
            <w:vAlign w:val="center"/>
          </w:tcPr>
          <w:p w14:paraId="573B5779">
            <w:pPr>
              <w:spacing w:before="40" w:after="40" w:line="260" w:lineRule="auto"/>
            </w:pPr>
            <w:r>
              <w:rPr>
                <w:rFonts w:hint="eastAsia" w:ascii="Songti SC" w:hAnsi="Songti SC" w:eastAsia="Songti SC" w:cs="Songti SC"/>
                <w:color w:val="000000"/>
                <w:sz w:val="21"/>
                <w:szCs w:val="21"/>
                <w:lang w:bidi="ar"/>
              </w:rPr>
              <w:t>限制来源、账号与端口，保留审计；支撑节点仍存在单点，按降级及恢复流程处置。</w:t>
            </w:r>
          </w:p>
        </w:tc>
      </w:tr>
    </w:tbl>
    <w:p w14:paraId="25FACBEF">
      <w:pPr>
        <w:ind w:firstLine="480"/>
        <w:rPr>
          <w:rFonts w:hint="eastAsia"/>
          <w:color w:val="000000"/>
        </w:rPr>
      </w:pPr>
      <w:r>
        <w:rPr>
          <w:rFonts w:ascii="Songti SC" w:hAnsi="Songti SC" w:eastAsia="Songti SC" w:cs="Songti SC"/>
          <w:color w:val="000000"/>
        </w:rPr>
        <w:t>工商银行线上充值及</w:t>
      </w:r>
      <w:r>
        <w:rPr>
          <w:rFonts w:hint="eastAsia" w:ascii="Songti SC" w:hAnsi="Songti SC" w:eastAsia="Songti SC" w:cs="Songti SC"/>
          <w:color w:val="000000"/>
          <w:lang w:eastAsia="zh-CN"/>
        </w:rPr>
        <w:t>大数据交互平台</w:t>
      </w:r>
      <w:r>
        <w:rPr>
          <w:rFonts w:ascii="Songti SC" w:hAnsi="Songti SC" w:eastAsia="Songti SC" w:cs="Songti SC"/>
          <w:color w:val="000000"/>
        </w:rPr>
        <w:t>数据交换关系与前文接口说明保持一致，实施阶段按接口资料完成联调和验证。</w:t>
      </w:r>
    </w:p>
    <w:p w14:paraId="216E5489">
      <w:pPr>
        <w:pStyle w:val="115"/>
        <w:rPr>
          <w:rFonts w:hint="eastAsia"/>
          <w:color w:val="000000"/>
        </w:rPr>
      </w:pPr>
      <w:r>
        <w:rPr>
          <w:rFonts w:ascii="Songti SC" w:hAnsi="Songti SC" w:eastAsia="Songti SC" w:cs="Songti SC"/>
          <w:color w:val="000000"/>
          <w:szCs w:val="24"/>
          <w:lang w:val="en-US" w:bidi="ar"/>
        </w:rPr>
        <w:drawing>
          <wp:inline distT="0" distB="0" distL="114300" distR="114300">
            <wp:extent cx="5127625" cy="2969895"/>
            <wp:effectExtent l="0" t="0" r="3175" b="1905"/>
            <wp:docPr id="7" name="图片 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2" descr="IMG_256"/>
                    <pic:cNvPicPr>
                      <a:picLocks noChangeAspect="1"/>
                    </pic:cNvPicPr>
                  </pic:nvPicPr>
                  <pic:blipFill>
                    <a:blip r:embed="rId19"/>
                    <a:stretch>
                      <a:fillRect/>
                    </a:stretch>
                  </pic:blipFill>
                  <pic:spPr>
                    <a:xfrm>
                      <a:off x="0" y="0"/>
                      <a:ext cx="5127625" cy="2969895"/>
                    </a:xfrm>
                    <a:prstGeom prst="rect">
                      <a:avLst/>
                    </a:prstGeom>
                    <a:noFill/>
                    <a:ln w="9525">
                      <a:noFill/>
                    </a:ln>
                  </pic:spPr>
                </pic:pic>
              </a:graphicData>
            </a:graphic>
          </wp:inline>
        </w:drawing>
      </w:r>
    </w:p>
    <w:p w14:paraId="20ADD4E7">
      <w:pPr>
        <w:pStyle w:val="14"/>
        <w:rPr>
          <w:rFonts w:hint="eastAsia"/>
          <w:color w:val="000000"/>
        </w:rPr>
      </w:pPr>
      <w:r>
        <w:rPr>
          <w:rFonts w:hint="eastAsia" w:ascii="Songti SC" w:hAnsi="Songti SC" w:eastAsia="Songti SC" w:cs="Songti SC"/>
          <w:color w:val="000000"/>
        </w:rPr>
        <w:t>图6</w:t>
      </w:r>
      <w:r>
        <w:rPr>
          <w:rFonts w:ascii="Songti SC" w:hAnsi="Songti SC" w:eastAsia="Songti SC" w:cs="Songti SC"/>
          <w:color w:val="000000"/>
        </w:rPr>
        <w:t>.</w:t>
      </w:r>
      <w:r>
        <w:rPr>
          <w:rFonts w:hint="eastAsia" w:ascii="Songti SC" w:hAnsi="Songti SC" w:eastAsia="Songti SC" w:cs="Songti SC"/>
          <w:color w:val="000000"/>
        </w:rPr>
        <w:t>4网络架构图</w:t>
      </w:r>
    </w:p>
    <w:p w14:paraId="47CD602F">
      <w:pPr>
        <w:pStyle w:val="4"/>
        <w:rPr>
          <w:rFonts w:hint="eastAsia"/>
          <w:color w:val="000000"/>
          <w:lang w:eastAsia="zh-CN"/>
        </w:rPr>
      </w:pPr>
      <w:bookmarkStart w:id="491" w:name="_Toc265448827"/>
      <w:bookmarkEnd w:id="491"/>
      <w:bookmarkStart w:id="492" w:name="_Toc265448875"/>
      <w:bookmarkEnd w:id="492"/>
      <w:bookmarkStart w:id="493" w:name="_Toc265448819"/>
      <w:bookmarkEnd w:id="493"/>
      <w:bookmarkStart w:id="494" w:name="_Toc265448818"/>
      <w:bookmarkEnd w:id="494"/>
      <w:bookmarkStart w:id="495" w:name="_Toc265448840"/>
      <w:bookmarkEnd w:id="495"/>
      <w:bookmarkStart w:id="496" w:name="_Toc265448851"/>
      <w:bookmarkEnd w:id="496"/>
      <w:bookmarkStart w:id="497" w:name="_Toc265448725"/>
      <w:bookmarkEnd w:id="497"/>
      <w:bookmarkStart w:id="498" w:name="_Toc265448726"/>
      <w:bookmarkEnd w:id="498"/>
      <w:bookmarkStart w:id="499" w:name="_Toc265448884"/>
      <w:bookmarkEnd w:id="499"/>
      <w:bookmarkStart w:id="500" w:name="_Toc265448823"/>
      <w:bookmarkEnd w:id="500"/>
      <w:bookmarkStart w:id="501" w:name="_Toc265448980"/>
      <w:bookmarkEnd w:id="501"/>
      <w:bookmarkStart w:id="502" w:name="_Toc265448816"/>
      <w:bookmarkEnd w:id="502"/>
      <w:bookmarkStart w:id="503" w:name="_Toc265448843"/>
      <w:bookmarkEnd w:id="503"/>
      <w:bookmarkStart w:id="504" w:name="_Toc265448728"/>
      <w:bookmarkEnd w:id="504"/>
      <w:bookmarkStart w:id="505" w:name="_Toc265448981"/>
      <w:bookmarkEnd w:id="505"/>
      <w:bookmarkStart w:id="506" w:name="_Toc265448837"/>
      <w:bookmarkEnd w:id="506"/>
      <w:bookmarkStart w:id="507" w:name="_Toc265448880"/>
      <w:bookmarkEnd w:id="507"/>
      <w:bookmarkStart w:id="508" w:name="_Toc265448732"/>
      <w:bookmarkEnd w:id="508"/>
      <w:bookmarkStart w:id="509" w:name="_Toc265448960"/>
      <w:bookmarkEnd w:id="509"/>
      <w:bookmarkStart w:id="510" w:name="_Toc265448882"/>
      <w:bookmarkEnd w:id="510"/>
      <w:bookmarkStart w:id="511" w:name="_Toc265448963"/>
      <w:bookmarkEnd w:id="511"/>
      <w:bookmarkStart w:id="512" w:name="_Toc265448870"/>
      <w:bookmarkEnd w:id="512"/>
      <w:bookmarkStart w:id="513" w:name="_Toc265448821"/>
      <w:bookmarkEnd w:id="513"/>
      <w:bookmarkStart w:id="514" w:name="_Toc265448847"/>
      <w:bookmarkEnd w:id="514"/>
      <w:bookmarkStart w:id="515" w:name="_Toc265448855"/>
      <w:bookmarkEnd w:id="515"/>
      <w:bookmarkStart w:id="516" w:name="_Toc265448858"/>
      <w:bookmarkEnd w:id="516"/>
      <w:bookmarkStart w:id="517" w:name="_Toc265448841"/>
      <w:bookmarkEnd w:id="517"/>
      <w:bookmarkStart w:id="518" w:name="_Toc265448956"/>
      <w:bookmarkEnd w:id="518"/>
      <w:bookmarkStart w:id="519" w:name="_Toc265448845"/>
      <w:bookmarkEnd w:id="519"/>
      <w:bookmarkStart w:id="520" w:name="_Toc265448838"/>
      <w:bookmarkEnd w:id="520"/>
      <w:bookmarkStart w:id="521" w:name="_Toc265448883"/>
      <w:bookmarkEnd w:id="521"/>
      <w:bookmarkStart w:id="522" w:name="_Toc265448849"/>
      <w:bookmarkEnd w:id="522"/>
      <w:bookmarkStart w:id="523" w:name="_Toc265448856"/>
      <w:bookmarkEnd w:id="523"/>
      <w:bookmarkStart w:id="524" w:name="_Toc265448983"/>
      <w:bookmarkEnd w:id="524"/>
      <w:bookmarkStart w:id="525" w:name="_Toc265448836"/>
      <w:bookmarkEnd w:id="525"/>
      <w:bookmarkStart w:id="526" w:name="_Toc265448885"/>
      <w:bookmarkEnd w:id="526"/>
      <w:bookmarkStart w:id="527" w:name="_Toc265448974"/>
      <w:bookmarkEnd w:id="527"/>
      <w:bookmarkStart w:id="528" w:name="_Toc265448969"/>
      <w:bookmarkEnd w:id="528"/>
      <w:bookmarkStart w:id="529" w:name="_Toc265448828"/>
      <w:bookmarkEnd w:id="529"/>
      <w:bookmarkStart w:id="530" w:name="_Toc265448878"/>
      <w:bookmarkEnd w:id="530"/>
      <w:bookmarkStart w:id="531" w:name="_Toc265448872"/>
      <w:bookmarkEnd w:id="531"/>
      <w:bookmarkStart w:id="532" w:name="_Toc265448853"/>
      <w:bookmarkEnd w:id="532"/>
      <w:bookmarkStart w:id="533" w:name="_Toc265448973"/>
      <w:bookmarkEnd w:id="533"/>
      <w:bookmarkStart w:id="534" w:name="_Toc265448834"/>
      <w:bookmarkEnd w:id="534"/>
      <w:bookmarkStart w:id="535" w:name="_Toc265448982"/>
      <w:bookmarkEnd w:id="535"/>
      <w:bookmarkStart w:id="536" w:name="_Toc265448984"/>
      <w:bookmarkEnd w:id="536"/>
      <w:bookmarkStart w:id="537" w:name="_Toc265448825"/>
      <w:bookmarkEnd w:id="537"/>
      <w:bookmarkStart w:id="538" w:name="_Toc265448970"/>
      <w:bookmarkEnd w:id="538"/>
      <w:bookmarkStart w:id="539" w:name="_Toc265448958"/>
      <w:bookmarkEnd w:id="539"/>
      <w:bookmarkStart w:id="540" w:name="_Toc265448730"/>
      <w:bookmarkEnd w:id="540"/>
      <w:bookmarkStart w:id="541" w:name="_Toc265448877"/>
      <w:bookmarkEnd w:id="541"/>
      <w:bookmarkStart w:id="542" w:name="_Toc265448972"/>
      <w:bookmarkEnd w:id="542"/>
      <w:bookmarkStart w:id="543" w:name="_Toc265448839"/>
      <w:bookmarkEnd w:id="543"/>
      <w:bookmarkStart w:id="544" w:name="_Toc265448886"/>
      <w:bookmarkEnd w:id="544"/>
      <w:bookmarkStart w:id="545" w:name="_Toc265448733"/>
      <w:bookmarkEnd w:id="545"/>
      <w:bookmarkStart w:id="546" w:name="_Toc265448857"/>
      <w:bookmarkEnd w:id="546"/>
      <w:bookmarkStart w:id="547" w:name="_Toc265448829"/>
      <w:bookmarkEnd w:id="547"/>
      <w:bookmarkStart w:id="548" w:name="_Toc265448822"/>
      <w:bookmarkEnd w:id="548"/>
      <w:bookmarkStart w:id="549" w:name="_Toc265448959"/>
      <w:bookmarkEnd w:id="549"/>
      <w:bookmarkStart w:id="550" w:name="_Toc265448976"/>
      <w:bookmarkEnd w:id="550"/>
      <w:bookmarkStart w:id="551" w:name="_Toc265448727"/>
      <w:bookmarkEnd w:id="551"/>
      <w:bookmarkStart w:id="552" w:name="_Toc265448820"/>
      <w:bookmarkEnd w:id="552"/>
      <w:bookmarkStart w:id="553" w:name="_Toc265448826"/>
      <w:bookmarkEnd w:id="553"/>
      <w:bookmarkStart w:id="554" w:name="_Toc265448846"/>
      <w:bookmarkEnd w:id="554"/>
      <w:bookmarkStart w:id="555" w:name="_Toc265448879"/>
      <w:bookmarkEnd w:id="555"/>
      <w:bookmarkStart w:id="556" w:name="_Toc265448831"/>
      <w:bookmarkEnd w:id="556"/>
      <w:bookmarkStart w:id="557" w:name="_Toc265448815"/>
      <w:bookmarkEnd w:id="557"/>
      <w:bookmarkStart w:id="558" w:name="_Toc265448979"/>
      <w:bookmarkEnd w:id="558"/>
      <w:bookmarkStart w:id="559" w:name="_Toc265448811"/>
      <w:bookmarkEnd w:id="559"/>
      <w:bookmarkStart w:id="560" w:name="_Toc265448890"/>
      <w:bookmarkEnd w:id="560"/>
      <w:bookmarkStart w:id="561" w:name="_Toc265448871"/>
      <w:bookmarkEnd w:id="561"/>
      <w:bookmarkStart w:id="562" w:name="_Toc265448978"/>
      <w:bookmarkEnd w:id="562"/>
      <w:bookmarkStart w:id="563" w:name="_Toc265448967"/>
      <w:bookmarkEnd w:id="563"/>
      <w:bookmarkStart w:id="564" w:name="_Toc265448731"/>
      <w:bookmarkEnd w:id="564"/>
      <w:bookmarkStart w:id="565" w:name="_Toc265448814"/>
      <w:bookmarkEnd w:id="565"/>
      <w:bookmarkStart w:id="566" w:name="_Toc265448965"/>
      <w:bookmarkEnd w:id="566"/>
      <w:bookmarkStart w:id="567" w:name="_Toc265448867"/>
      <w:bookmarkEnd w:id="567"/>
      <w:bookmarkStart w:id="568" w:name="_Toc265448874"/>
      <w:bookmarkEnd w:id="568"/>
      <w:bookmarkStart w:id="569" w:name="_Toc265448852"/>
      <w:bookmarkEnd w:id="569"/>
      <w:bookmarkStart w:id="570" w:name="_Toc265448862"/>
      <w:bookmarkEnd w:id="570"/>
      <w:bookmarkStart w:id="571" w:name="_Toc265448968"/>
      <w:bookmarkEnd w:id="571"/>
      <w:bookmarkStart w:id="572" w:name="_Toc265448832"/>
      <w:bookmarkEnd w:id="572"/>
      <w:bookmarkStart w:id="573" w:name="_Toc265448964"/>
      <w:bookmarkEnd w:id="573"/>
      <w:bookmarkStart w:id="574" w:name="_Toc265448889"/>
      <w:bookmarkEnd w:id="574"/>
      <w:bookmarkStart w:id="575" w:name="_Toc265448842"/>
      <w:bookmarkEnd w:id="575"/>
      <w:bookmarkStart w:id="576" w:name="_Toc265448966"/>
      <w:bookmarkEnd w:id="576"/>
      <w:bookmarkStart w:id="577" w:name="_Toc265448729"/>
      <w:bookmarkEnd w:id="577"/>
      <w:bookmarkStart w:id="578" w:name="_Toc265448813"/>
      <w:bookmarkEnd w:id="578"/>
      <w:bookmarkStart w:id="579" w:name="_Toc265448986"/>
      <w:bookmarkEnd w:id="579"/>
      <w:bookmarkStart w:id="580" w:name="_Toc265448861"/>
      <w:bookmarkEnd w:id="580"/>
      <w:bookmarkStart w:id="581" w:name="_Toc265448957"/>
      <w:bookmarkEnd w:id="581"/>
      <w:bookmarkStart w:id="582" w:name="_Toc265448848"/>
      <w:bookmarkEnd w:id="582"/>
      <w:bookmarkStart w:id="583" w:name="_Toc265448888"/>
      <w:bookmarkEnd w:id="583"/>
      <w:bookmarkStart w:id="584" w:name="_Toc265448724"/>
      <w:bookmarkEnd w:id="584"/>
      <w:bookmarkStart w:id="585" w:name="_Toc265448817"/>
      <w:bookmarkEnd w:id="585"/>
      <w:bookmarkStart w:id="586" w:name="_Toc265448971"/>
      <w:bookmarkEnd w:id="586"/>
      <w:bookmarkStart w:id="587" w:name="_Toc265448881"/>
      <w:bookmarkEnd w:id="587"/>
      <w:bookmarkStart w:id="588" w:name="_Toc265448977"/>
      <w:bookmarkEnd w:id="588"/>
      <w:bookmarkStart w:id="589" w:name="_Toc265448835"/>
      <w:bookmarkEnd w:id="589"/>
      <w:bookmarkStart w:id="590" w:name="_Toc265448873"/>
      <w:bookmarkEnd w:id="590"/>
      <w:bookmarkStart w:id="591" w:name="_Toc265448975"/>
      <w:bookmarkEnd w:id="591"/>
      <w:bookmarkStart w:id="592" w:name="_Toc265448868"/>
      <w:bookmarkEnd w:id="592"/>
      <w:bookmarkStart w:id="593" w:name="_Toc265448865"/>
      <w:bookmarkEnd w:id="593"/>
      <w:bookmarkStart w:id="594" w:name="_Toc265448961"/>
      <w:bookmarkEnd w:id="594"/>
      <w:bookmarkStart w:id="595" w:name="_Toc265448859"/>
      <w:bookmarkEnd w:id="595"/>
      <w:bookmarkStart w:id="596" w:name="_Toc265448866"/>
      <w:bookmarkEnd w:id="596"/>
      <w:bookmarkStart w:id="597" w:name="_Toc265448869"/>
      <w:bookmarkEnd w:id="597"/>
      <w:bookmarkStart w:id="598" w:name="_Toc265448850"/>
      <w:bookmarkEnd w:id="598"/>
      <w:bookmarkStart w:id="599" w:name="_Toc265448864"/>
      <w:bookmarkEnd w:id="599"/>
      <w:bookmarkStart w:id="600" w:name="_Toc265448863"/>
      <w:bookmarkEnd w:id="600"/>
      <w:bookmarkStart w:id="601" w:name="_Toc265448854"/>
      <w:bookmarkEnd w:id="601"/>
      <w:bookmarkStart w:id="602" w:name="_Toc265448860"/>
      <w:bookmarkEnd w:id="602"/>
      <w:bookmarkStart w:id="603" w:name="_Toc265448962"/>
      <w:bookmarkEnd w:id="603"/>
      <w:bookmarkStart w:id="604" w:name="_Toc265448876"/>
      <w:bookmarkEnd w:id="604"/>
      <w:bookmarkStart w:id="605" w:name="_Toc265448812"/>
      <w:bookmarkEnd w:id="605"/>
      <w:bookmarkStart w:id="606" w:name="_Toc265448985"/>
      <w:bookmarkEnd w:id="606"/>
      <w:bookmarkStart w:id="607" w:name="_Toc265448824"/>
      <w:bookmarkEnd w:id="607"/>
      <w:bookmarkStart w:id="608" w:name="_Toc265448833"/>
      <w:bookmarkEnd w:id="608"/>
      <w:bookmarkStart w:id="609" w:name="_Toc265448887"/>
      <w:bookmarkEnd w:id="609"/>
      <w:bookmarkStart w:id="610" w:name="_Toc265448830"/>
      <w:bookmarkEnd w:id="610"/>
      <w:bookmarkStart w:id="611" w:name="_Toc265448844"/>
      <w:bookmarkEnd w:id="611"/>
      <w:bookmarkStart w:id="612" w:name="_Toc265448723"/>
      <w:bookmarkEnd w:id="612"/>
      <w:bookmarkStart w:id="613" w:name="_Toc1592165052"/>
      <w:bookmarkStart w:id="614" w:name="_Toc1706762471"/>
      <w:bookmarkStart w:id="615" w:name="_Toc1718777745"/>
      <w:bookmarkStart w:id="616" w:name="_Toc29294"/>
      <w:bookmarkStart w:id="617" w:name="_Toc271804410"/>
      <w:bookmarkStart w:id="618" w:name="_Toc259782101"/>
      <w:r>
        <w:rPr>
          <w:rFonts w:hint="eastAsia" w:ascii="Songti SC" w:hAnsi="Songti SC" w:eastAsia="Songti SC" w:cs="Songti SC"/>
          <w:color w:val="000000"/>
          <w:lang w:eastAsia="zh-CN"/>
        </w:rPr>
        <w:t>主机与存储备份系统建设方案</w:t>
      </w:r>
      <w:bookmarkEnd w:id="613"/>
      <w:bookmarkEnd w:id="614"/>
      <w:bookmarkEnd w:id="615"/>
      <w:bookmarkEnd w:id="616"/>
    </w:p>
    <w:tbl>
      <w:tblPr>
        <w:tblStyle w:val="6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1432"/>
        <w:gridCol w:w="1973"/>
        <w:gridCol w:w="2823"/>
      </w:tblGrid>
      <w:tr w14:paraId="0A55D20A">
        <w:trPr>
          <w:trHeight w:val="699" w:hRule="atLeast"/>
          <w:jc w:val="center"/>
        </w:trPr>
        <w:tc>
          <w:tcPr>
            <w:tcW w:w="2076" w:type="dxa"/>
            <w:vAlign w:val="center"/>
          </w:tcPr>
          <w:p w14:paraId="2CEFC2BE">
            <w:pPr>
              <w:pStyle w:val="128"/>
              <w:rPr>
                <w:rFonts w:hint="eastAsia"/>
                <w:color w:val="000000"/>
              </w:rPr>
            </w:pPr>
            <w:r>
              <w:rPr>
                <w:rFonts w:ascii="Songti SC" w:hAnsi="Songti SC" w:eastAsia="Songti SC" w:cs="Songti SC"/>
                <w:color w:val="000000"/>
              </w:rPr>
              <w:t>资源类型及规格</w:t>
            </w:r>
          </w:p>
        </w:tc>
        <w:tc>
          <w:tcPr>
            <w:tcW w:w="1432" w:type="dxa"/>
            <w:vAlign w:val="center"/>
          </w:tcPr>
          <w:p w14:paraId="050EBA6F">
            <w:pPr>
              <w:pStyle w:val="128"/>
              <w:rPr>
                <w:rFonts w:hint="eastAsia"/>
                <w:color w:val="000000"/>
              </w:rPr>
            </w:pPr>
            <w:r>
              <w:rPr>
                <w:rFonts w:ascii="Songti SC" w:hAnsi="Songti SC" w:eastAsia="Songti SC" w:cs="Songti SC"/>
                <w:color w:val="000000"/>
              </w:rPr>
              <w:t>数量</w:t>
            </w:r>
          </w:p>
        </w:tc>
        <w:tc>
          <w:tcPr>
            <w:tcW w:w="1973" w:type="dxa"/>
            <w:vAlign w:val="center"/>
          </w:tcPr>
          <w:p w14:paraId="2112EBC6">
            <w:pPr>
              <w:pStyle w:val="128"/>
              <w:rPr>
                <w:rFonts w:hint="eastAsia"/>
                <w:color w:val="000000"/>
              </w:rPr>
            </w:pPr>
            <w:r>
              <w:rPr>
                <w:rFonts w:ascii="Songti SC" w:hAnsi="Songti SC" w:eastAsia="Songti SC" w:cs="Songti SC"/>
                <w:color w:val="000000"/>
              </w:rPr>
              <w:t>部署区域</w:t>
            </w:r>
          </w:p>
        </w:tc>
        <w:tc>
          <w:tcPr>
            <w:tcW w:w="2823" w:type="dxa"/>
            <w:vAlign w:val="center"/>
          </w:tcPr>
          <w:p w14:paraId="6DEBCE4A">
            <w:pPr>
              <w:pStyle w:val="128"/>
              <w:rPr>
                <w:rFonts w:hint="eastAsia"/>
                <w:color w:val="000000"/>
              </w:rPr>
            </w:pPr>
            <w:r>
              <w:rPr>
                <w:rFonts w:ascii="Songti SC" w:hAnsi="Songti SC" w:eastAsia="Songti SC" w:cs="Songti SC"/>
                <w:color w:val="000000"/>
              </w:rPr>
              <w:t>主要用途</w:t>
            </w:r>
          </w:p>
        </w:tc>
      </w:tr>
      <w:tr w14:paraId="3905EFE3">
        <w:trPr>
          <w:jc w:val="center"/>
        </w:trPr>
        <w:tc>
          <w:tcPr>
            <w:tcW w:w="2076" w:type="dxa"/>
            <w:vAlign w:val="center"/>
          </w:tcPr>
          <w:p w14:paraId="19678581">
            <w:pPr>
              <w:pStyle w:val="129"/>
              <w:rPr>
                <w:rFonts w:hint="eastAsia"/>
                <w:color w:val="000000"/>
              </w:rPr>
            </w:pPr>
            <w:r>
              <w:rPr>
                <w:rFonts w:hint="eastAsia" w:ascii="Songti SC" w:hAnsi="Songti SC" w:eastAsia="Songti SC" w:cs="Songti SC"/>
                <w:color w:val="000000"/>
              </w:rPr>
              <w:t>E01/E02入口节点
各4 vCPU/8GB</w:t>
            </w:r>
            <w:r>
              <w:rPr>
                <w:rFonts w:hint="eastAsia" w:ascii="Songti SC" w:hAnsi="Songti SC" w:eastAsia="Songti SC" w:cs="Songti SC"/>
                <w:color w:val="000000"/>
              </w:rPr>
              <w:br w:type="textWrapping"/>
            </w:r>
          </w:p>
        </w:tc>
        <w:tc>
          <w:tcPr>
            <w:tcW w:w="1432" w:type="dxa"/>
            <w:vAlign w:val="center"/>
          </w:tcPr>
          <w:p w14:paraId="33795E5C">
            <w:pPr>
              <w:pStyle w:val="129"/>
              <w:rPr>
                <w:rFonts w:hint="eastAsia"/>
                <w:color w:val="000000"/>
              </w:rPr>
            </w:pPr>
            <w:r>
              <w:rPr>
                <w:rFonts w:hint="eastAsia" w:ascii="Songti SC" w:hAnsi="Songti SC" w:eastAsia="Songti SC" w:cs="Songti SC"/>
                <w:color w:val="000000"/>
              </w:rPr>
              <w:t>2台</w:t>
            </w:r>
          </w:p>
        </w:tc>
        <w:tc>
          <w:tcPr>
            <w:tcW w:w="1973" w:type="dxa"/>
            <w:vAlign w:val="center"/>
          </w:tcPr>
          <w:p w14:paraId="5225C79D">
            <w:pPr>
              <w:pStyle w:val="129"/>
              <w:rPr>
                <w:rFonts w:hint="eastAsia"/>
                <w:color w:val="000000"/>
              </w:rPr>
            </w:pPr>
            <w:r>
              <w:rPr>
                <w:rFonts w:hint="eastAsia" w:ascii="Songti SC" w:hAnsi="Songti SC" w:eastAsia="Songti SC" w:cs="Songti SC"/>
                <w:color w:val="000000"/>
              </w:rPr>
              <w:t>互联网区</w:t>
            </w:r>
          </w:p>
        </w:tc>
        <w:tc>
          <w:tcPr>
            <w:tcW w:w="2823" w:type="dxa"/>
            <w:vAlign w:val="center"/>
          </w:tcPr>
          <w:p w14:paraId="0E67A3DC">
            <w:pPr>
              <w:pStyle w:val="129"/>
              <w:rPr>
                <w:rFonts w:hint="eastAsia"/>
                <w:color w:val="000000"/>
              </w:rPr>
            </w:pPr>
            <w:r>
              <w:rPr>
                <w:rFonts w:hint="eastAsia" w:ascii="Songti SC" w:hAnsi="Songti SC" w:eastAsia="Songti SC" w:cs="Songti SC"/>
                <w:color w:val="000000"/>
              </w:rPr>
              <w:t>HTTPS接入、反向代理、限流及故障摘除；业务带宽按下文模型测算。</w:t>
            </w:r>
          </w:p>
        </w:tc>
      </w:tr>
      <w:tr w14:paraId="294C8098">
        <w:trPr>
          <w:jc w:val="center"/>
        </w:trPr>
        <w:tc>
          <w:tcPr>
            <w:tcW w:w="2076" w:type="dxa"/>
            <w:vAlign w:val="center"/>
          </w:tcPr>
          <w:p w14:paraId="33D09D73">
            <w:pPr>
              <w:pStyle w:val="129"/>
              <w:rPr>
                <w:rFonts w:hint="eastAsia"/>
                <w:color w:val="000000"/>
              </w:rPr>
            </w:pPr>
            <w:r>
              <w:rPr>
                <w:rFonts w:hint="eastAsia" w:ascii="Songti SC" w:hAnsi="Songti SC" w:eastAsia="Songti SC" w:cs="Songti SC"/>
                <w:color w:val="000000"/>
              </w:rPr>
              <w:t>A01/A02应用节点
各16 vCPU/32GB</w:t>
            </w:r>
            <w:r>
              <w:rPr>
                <w:rFonts w:hint="eastAsia" w:ascii="Songti SC" w:hAnsi="Songti SC" w:eastAsia="Songti SC" w:cs="Songti SC"/>
                <w:color w:val="000000"/>
              </w:rPr>
              <w:br w:type="textWrapping"/>
            </w:r>
          </w:p>
        </w:tc>
        <w:tc>
          <w:tcPr>
            <w:tcW w:w="1432" w:type="dxa"/>
            <w:vAlign w:val="center"/>
          </w:tcPr>
          <w:p w14:paraId="65351147">
            <w:pPr>
              <w:pStyle w:val="129"/>
              <w:rPr>
                <w:rFonts w:hint="eastAsia"/>
                <w:color w:val="000000"/>
              </w:rPr>
            </w:pPr>
            <w:r>
              <w:rPr>
                <w:rFonts w:hint="eastAsia" w:ascii="Songti SC" w:hAnsi="Songti SC" w:eastAsia="Songti SC" w:cs="Songti SC"/>
                <w:color w:val="000000"/>
              </w:rPr>
              <w:t>2台</w:t>
            </w:r>
          </w:p>
        </w:tc>
        <w:tc>
          <w:tcPr>
            <w:tcW w:w="1973" w:type="dxa"/>
            <w:vAlign w:val="center"/>
          </w:tcPr>
          <w:p w14:paraId="3FE4BC17">
            <w:pPr>
              <w:pStyle w:val="129"/>
              <w:rPr>
                <w:rFonts w:hint="eastAsia"/>
                <w:color w:val="000000"/>
              </w:rPr>
            </w:pPr>
            <w:r>
              <w:rPr>
                <w:rFonts w:hint="eastAsia" w:ascii="Songti SC" w:hAnsi="Songti SC" w:eastAsia="Songti SC" w:cs="Songti SC"/>
                <w:color w:val="000000"/>
              </w:rPr>
              <w:t>电子政务外网区</w:t>
            </w:r>
          </w:p>
        </w:tc>
        <w:tc>
          <w:tcPr>
            <w:tcW w:w="2823" w:type="dxa"/>
            <w:vAlign w:val="center"/>
          </w:tcPr>
          <w:p w14:paraId="45109C64">
            <w:pPr>
              <w:pStyle w:val="129"/>
              <w:rPr>
                <w:rFonts w:hint="eastAsia"/>
                <w:color w:val="000000"/>
              </w:rPr>
            </w:pPr>
            <w:r>
              <w:rPr>
                <w:rFonts w:hint="eastAsia" w:ascii="Songti SC" w:hAnsi="Songti SC" w:eastAsia="Songti SC" w:cs="Songti SC"/>
                <w:color w:val="000000"/>
              </w:rPr>
              <w:t>PHP API与业务服务，双节点承接交易；异步报表限额运行，不挤占扣款资源。</w:t>
            </w:r>
          </w:p>
        </w:tc>
      </w:tr>
      <w:tr w14:paraId="3C9E8DEE">
        <w:trPr>
          <w:trHeight w:val="1128" w:hRule="atLeast"/>
          <w:jc w:val="center"/>
        </w:trPr>
        <w:tc>
          <w:tcPr>
            <w:tcW w:w="2076" w:type="dxa"/>
            <w:vAlign w:val="center"/>
          </w:tcPr>
          <w:p w14:paraId="76EE2001">
            <w:pPr>
              <w:pStyle w:val="129"/>
              <w:rPr>
                <w:rFonts w:hint="eastAsia"/>
                <w:color w:val="000000"/>
              </w:rPr>
            </w:pPr>
            <w:r>
              <w:rPr>
                <w:rFonts w:hint="eastAsia" w:ascii="Songti SC" w:hAnsi="Songti SC" w:eastAsia="Songti SC" w:cs="Songti SC"/>
                <w:color w:val="000000"/>
              </w:rPr>
              <w:t>D01/D02数据库节点
各8 vCPU/32GB
各1000GB数据盘</w:t>
            </w:r>
            <w:r>
              <w:rPr>
                <w:rFonts w:hint="eastAsia" w:ascii="Songti SC" w:hAnsi="Songti SC" w:eastAsia="Songti SC" w:cs="Songti SC"/>
                <w:color w:val="000000"/>
              </w:rPr>
              <w:br w:type="textWrapping"/>
            </w:r>
          </w:p>
        </w:tc>
        <w:tc>
          <w:tcPr>
            <w:tcW w:w="1432" w:type="dxa"/>
            <w:vAlign w:val="center"/>
          </w:tcPr>
          <w:p w14:paraId="284ECFEF">
            <w:pPr>
              <w:pStyle w:val="129"/>
              <w:rPr>
                <w:rFonts w:hint="eastAsia"/>
                <w:color w:val="000000"/>
              </w:rPr>
            </w:pPr>
            <w:r>
              <w:rPr>
                <w:rFonts w:hint="eastAsia" w:ascii="Songti SC" w:hAnsi="Songti SC" w:eastAsia="Songti SC" w:cs="Songti SC"/>
                <w:color w:val="000000"/>
              </w:rPr>
              <w:t>2台</w:t>
            </w:r>
          </w:p>
        </w:tc>
        <w:tc>
          <w:tcPr>
            <w:tcW w:w="1973" w:type="dxa"/>
            <w:vAlign w:val="center"/>
          </w:tcPr>
          <w:p w14:paraId="728BCA2E">
            <w:pPr>
              <w:pStyle w:val="129"/>
              <w:rPr>
                <w:rFonts w:hint="eastAsia"/>
                <w:color w:val="000000"/>
              </w:rPr>
            </w:pPr>
            <w:r>
              <w:rPr>
                <w:rFonts w:hint="eastAsia" w:ascii="Songti SC" w:hAnsi="Songti SC" w:eastAsia="Songti SC" w:cs="Songti SC"/>
                <w:color w:val="000000"/>
              </w:rPr>
              <w:t>数据库区</w:t>
            </w:r>
          </w:p>
        </w:tc>
        <w:tc>
          <w:tcPr>
            <w:tcW w:w="2823" w:type="dxa"/>
            <w:vAlign w:val="center"/>
          </w:tcPr>
          <w:p w14:paraId="77D8360D">
            <w:pPr>
              <w:pStyle w:val="129"/>
              <w:rPr>
                <w:rFonts w:hint="eastAsia"/>
                <w:color w:val="000000"/>
              </w:rPr>
            </w:pPr>
            <w:r>
              <w:rPr>
                <w:rFonts w:hint="eastAsia" w:ascii="Songti SC" w:hAnsi="Songti SC" w:eastAsia="Songti SC" w:cs="Songti SC"/>
                <w:color w:val="000000"/>
              </w:rPr>
              <w:t>GBase主备，账户、充值、消费与对账数据；仅主节点处理交易写入。授权须覆盖实际部署节点。</w:t>
            </w:r>
          </w:p>
        </w:tc>
      </w:tr>
      <w:tr w14:paraId="6DCCEF13">
        <w:trPr>
          <w:jc w:val="center"/>
        </w:trPr>
        <w:tc>
          <w:tcPr>
            <w:tcW w:w="2076" w:type="dxa"/>
            <w:vAlign w:val="center"/>
          </w:tcPr>
          <w:p w14:paraId="29B7AB05">
            <w:pPr>
              <w:pStyle w:val="129"/>
              <w:rPr>
                <w:rFonts w:hint="eastAsia"/>
                <w:color w:val="000000"/>
              </w:rPr>
            </w:pPr>
            <w:r>
              <w:rPr>
                <w:rFonts w:hint="eastAsia" w:ascii="Songti SC" w:hAnsi="Songti SC" w:eastAsia="Songti SC" w:cs="Songti SC"/>
                <w:color w:val="000000"/>
              </w:rPr>
              <w:t>S01缓存与文件节点
4 vCPU/16GB
文件盘500GB</w:t>
            </w:r>
            <w:r>
              <w:rPr>
                <w:rFonts w:hint="eastAsia" w:ascii="Songti SC" w:hAnsi="Songti SC" w:eastAsia="Songti SC" w:cs="Songti SC"/>
                <w:color w:val="000000"/>
              </w:rPr>
              <w:br w:type="textWrapping"/>
            </w:r>
          </w:p>
          <w:p w14:paraId="0628A434">
            <w:pPr>
              <w:pStyle w:val="129"/>
              <w:rPr>
                <w:rFonts w:hint="eastAsia"/>
                <w:color w:val="000000"/>
              </w:rPr>
            </w:pPr>
          </w:p>
        </w:tc>
        <w:tc>
          <w:tcPr>
            <w:tcW w:w="1432" w:type="dxa"/>
            <w:vAlign w:val="center"/>
          </w:tcPr>
          <w:p w14:paraId="60301A02">
            <w:pPr>
              <w:pStyle w:val="129"/>
              <w:rPr>
                <w:rFonts w:hint="eastAsia"/>
                <w:color w:val="000000"/>
              </w:rPr>
            </w:pPr>
            <w:r>
              <w:rPr>
                <w:rFonts w:hint="eastAsia" w:ascii="Songti SC" w:hAnsi="Songti SC" w:eastAsia="Songti SC" w:cs="Songti SC"/>
                <w:color w:val="000000"/>
              </w:rPr>
              <w:t>1台</w:t>
            </w:r>
          </w:p>
        </w:tc>
        <w:tc>
          <w:tcPr>
            <w:tcW w:w="1973" w:type="dxa"/>
            <w:vAlign w:val="center"/>
          </w:tcPr>
          <w:p w14:paraId="3062A4A1">
            <w:pPr>
              <w:pStyle w:val="129"/>
              <w:rPr>
                <w:rFonts w:hint="eastAsia"/>
                <w:color w:val="000000"/>
              </w:rPr>
            </w:pPr>
            <w:r>
              <w:rPr>
                <w:rFonts w:hint="eastAsia" w:ascii="Songti SC" w:hAnsi="Songti SC" w:eastAsia="Songti SC" w:cs="Songti SC"/>
                <w:color w:val="000000"/>
              </w:rPr>
              <w:t>基础支撑服务区</w:t>
            </w:r>
          </w:p>
        </w:tc>
        <w:tc>
          <w:tcPr>
            <w:tcW w:w="2823" w:type="dxa"/>
            <w:vAlign w:val="center"/>
          </w:tcPr>
          <w:p w14:paraId="53528F86">
            <w:pPr>
              <w:pStyle w:val="129"/>
              <w:rPr>
                <w:rFonts w:hint="eastAsia"/>
                <w:color w:val="000000"/>
              </w:rPr>
            </w:pPr>
            <w:r>
              <w:rPr>
                <w:rFonts w:hint="eastAsia" w:ascii="Songti SC" w:hAnsi="Songti SC" w:eastAsia="Songti SC" w:cs="Songti SC"/>
                <w:color w:val="000000"/>
              </w:rPr>
              <w:t>缓存与受控文件分进程、分配额；不保存唯一账务记录，独立备份另存。</w:t>
            </w:r>
          </w:p>
          <w:p w14:paraId="2158FC1F">
            <w:pPr>
              <w:pStyle w:val="129"/>
              <w:rPr>
                <w:rFonts w:hint="eastAsia"/>
                <w:color w:val="000000"/>
              </w:rPr>
            </w:pPr>
          </w:p>
        </w:tc>
      </w:tr>
      <w:tr w14:paraId="2A0F8405">
        <w:trPr>
          <w:jc w:val="center"/>
        </w:trPr>
        <w:tc>
          <w:tcPr>
            <w:tcW w:w="2076" w:type="dxa"/>
            <w:vAlign w:val="center"/>
          </w:tcPr>
          <w:p w14:paraId="69FCA67C">
            <w:pPr>
              <w:pStyle w:val="129"/>
              <w:rPr>
                <w:rFonts w:hint="eastAsia"/>
                <w:color w:val="000000"/>
              </w:rPr>
            </w:pPr>
            <w:r>
              <w:rPr>
                <w:rFonts w:hint="eastAsia" w:ascii="Songti SC" w:hAnsi="Songti SC" w:eastAsia="Songti SC" w:cs="Songti SC"/>
                <w:color w:val="000000"/>
              </w:rPr>
              <w:t>B01生物识别节点
8 vCPU/16GB
工作盘200GB</w:t>
            </w:r>
            <w:r>
              <w:rPr>
                <w:rFonts w:hint="eastAsia" w:ascii="Songti SC" w:hAnsi="Songti SC" w:eastAsia="Songti SC" w:cs="Songti SC"/>
                <w:color w:val="000000"/>
              </w:rPr>
              <w:br w:type="textWrapping"/>
            </w:r>
          </w:p>
          <w:p w14:paraId="1C8BC32F">
            <w:pPr>
              <w:pStyle w:val="129"/>
              <w:rPr>
                <w:rFonts w:hint="eastAsia"/>
                <w:color w:val="000000"/>
              </w:rPr>
            </w:pPr>
          </w:p>
        </w:tc>
        <w:tc>
          <w:tcPr>
            <w:tcW w:w="1432" w:type="dxa"/>
            <w:vAlign w:val="center"/>
          </w:tcPr>
          <w:p w14:paraId="38CB9746">
            <w:pPr>
              <w:pStyle w:val="129"/>
              <w:rPr>
                <w:rFonts w:hint="eastAsia"/>
                <w:color w:val="000000"/>
              </w:rPr>
            </w:pPr>
            <w:r>
              <w:rPr>
                <w:rFonts w:hint="eastAsia" w:ascii="Songti SC" w:hAnsi="Songti SC" w:eastAsia="Songti SC" w:cs="Songti SC"/>
                <w:color w:val="000000"/>
              </w:rPr>
              <w:t>1台</w:t>
            </w:r>
          </w:p>
        </w:tc>
        <w:tc>
          <w:tcPr>
            <w:tcW w:w="1973" w:type="dxa"/>
            <w:vAlign w:val="center"/>
          </w:tcPr>
          <w:p w14:paraId="757730EB">
            <w:pPr>
              <w:pStyle w:val="129"/>
              <w:rPr>
                <w:rFonts w:hint="eastAsia"/>
                <w:color w:val="000000"/>
              </w:rPr>
            </w:pPr>
            <w:r>
              <w:rPr>
                <w:rFonts w:hint="eastAsia" w:ascii="Songti SC" w:hAnsi="Songti SC" w:eastAsia="Songti SC" w:cs="Songti SC"/>
                <w:color w:val="000000"/>
              </w:rPr>
              <w:t>基础支撑服务区</w:t>
            </w:r>
          </w:p>
        </w:tc>
        <w:tc>
          <w:tcPr>
            <w:tcW w:w="2823" w:type="dxa"/>
            <w:vAlign w:val="center"/>
          </w:tcPr>
          <w:p w14:paraId="789C9510">
            <w:pPr>
              <w:pStyle w:val="129"/>
              <w:rPr>
                <w:rFonts w:hint="eastAsia"/>
                <w:color w:val="000000"/>
              </w:rPr>
            </w:pPr>
            <w:r>
              <w:rPr>
                <w:rFonts w:hint="eastAsia" w:ascii="Songti SC" w:hAnsi="Songti SC" w:eastAsia="Songti SC" w:cs="Songti SC"/>
                <w:color w:val="000000"/>
              </w:rPr>
              <w:t>独立管理人脸资料与下发接口；终端识别，应用扣款；格式按引擎适配。</w:t>
            </w:r>
          </w:p>
        </w:tc>
      </w:tr>
      <w:tr w14:paraId="4746B470">
        <w:trPr>
          <w:jc w:val="center"/>
        </w:trPr>
        <w:tc>
          <w:tcPr>
            <w:tcW w:w="2076" w:type="dxa"/>
            <w:vAlign w:val="center"/>
          </w:tcPr>
          <w:p w14:paraId="30487B60">
            <w:pPr>
              <w:pStyle w:val="129"/>
              <w:rPr>
                <w:rFonts w:hint="eastAsia"/>
                <w:color w:val="000000"/>
              </w:rPr>
            </w:pPr>
            <w:r>
              <w:rPr>
                <w:rFonts w:hint="eastAsia" w:ascii="Songti SC" w:hAnsi="Songti SC" w:eastAsia="Songti SC" w:cs="Songti SC"/>
                <w:color w:val="000000"/>
              </w:rPr>
              <w:t>M01消息节点
4 vCPU/8GB
消息盘200GB</w:t>
            </w:r>
            <w:r>
              <w:rPr>
                <w:rFonts w:hint="eastAsia" w:ascii="Songti SC" w:hAnsi="Songti SC" w:eastAsia="Songti SC" w:cs="Songti SC"/>
                <w:color w:val="000000"/>
              </w:rPr>
              <w:br w:type="textWrapping"/>
            </w:r>
          </w:p>
          <w:p w14:paraId="67B1D742">
            <w:pPr>
              <w:pStyle w:val="129"/>
              <w:rPr>
                <w:rFonts w:hint="eastAsia"/>
                <w:color w:val="000000"/>
              </w:rPr>
            </w:pPr>
          </w:p>
        </w:tc>
        <w:tc>
          <w:tcPr>
            <w:tcW w:w="1432" w:type="dxa"/>
            <w:vAlign w:val="center"/>
          </w:tcPr>
          <w:p w14:paraId="2C9BE076">
            <w:pPr>
              <w:pStyle w:val="129"/>
              <w:rPr>
                <w:rFonts w:hint="eastAsia"/>
                <w:color w:val="000000"/>
              </w:rPr>
            </w:pPr>
            <w:r>
              <w:rPr>
                <w:rFonts w:hint="eastAsia" w:ascii="Songti SC" w:hAnsi="Songti SC" w:eastAsia="Songti SC" w:cs="Songti SC"/>
                <w:color w:val="000000"/>
              </w:rPr>
              <w:t>1台</w:t>
            </w:r>
          </w:p>
        </w:tc>
        <w:tc>
          <w:tcPr>
            <w:tcW w:w="1973" w:type="dxa"/>
            <w:vAlign w:val="center"/>
          </w:tcPr>
          <w:p w14:paraId="72FECE67">
            <w:pPr>
              <w:pStyle w:val="129"/>
              <w:rPr>
                <w:rFonts w:hint="eastAsia"/>
                <w:color w:val="000000"/>
              </w:rPr>
            </w:pPr>
            <w:r>
              <w:rPr>
                <w:rFonts w:hint="eastAsia" w:ascii="Songti SC" w:hAnsi="Songti SC" w:eastAsia="Songti SC" w:cs="Songti SC"/>
                <w:color w:val="000000"/>
              </w:rPr>
              <w:t>基础支撑服务区</w:t>
            </w:r>
          </w:p>
        </w:tc>
        <w:tc>
          <w:tcPr>
            <w:tcW w:w="2823" w:type="dxa"/>
            <w:vAlign w:val="center"/>
          </w:tcPr>
          <w:p w14:paraId="344146D2">
            <w:pPr>
              <w:pStyle w:val="129"/>
              <w:rPr>
                <w:rFonts w:hint="eastAsia"/>
                <w:color w:val="000000"/>
              </w:rPr>
            </w:pPr>
            <w:r>
              <w:rPr>
                <w:rFonts w:hint="eastAsia" w:ascii="Songti SC" w:hAnsi="Songti SC" w:eastAsia="Songti SC" w:cs="Songti SC"/>
                <w:color w:val="000000"/>
              </w:rPr>
              <w:t>设备心跳、人员下发与异步通知；不是账务数据库。持久任务配限额、重试、去重与失败记录。</w:t>
            </w:r>
          </w:p>
        </w:tc>
      </w:tr>
    </w:tbl>
    <w:p w14:paraId="7E8517D5">
      <w:pPr>
        <w:ind w:firstLine="480"/>
        <w:rPr>
          <w:rFonts w:hint="eastAsia"/>
          <w:color w:val="000000"/>
        </w:rPr>
      </w:pPr>
    </w:p>
    <w:p w14:paraId="52F03CD7">
      <w:pPr>
        <w:ind w:firstLine="480"/>
        <w:rPr>
          <w:rFonts w:hint="eastAsia"/>
          <w:color w:val="000000"/>
        </w:rPr>
      </w:pPr>
      <w:r>
        <w:rPr>
          <w:rFonts w:ascii="Songti SC" w:hAnsi="Songti SC" w:eastAsia="Songti SC" w:cs="Songti SC"/>
          <w:color w:val="000000"/>
        </w:rPr>
        <w:t>本项目由本地机房虚拟机迁至政务云，规划2入口、2应用、2数据库和3个独立支撑节点，共9台。双入口、双应用用于故障接管及滚动发布，数据库采用主备；消息、人脸资料及缓存文件分别隔离。上表为建议初始配置，下文列明测算假设。</w:t>
      </w:r>
    </w:p>
    <w:p w14:paraId="655AE4B0">
      <w:pPr>
        <w:keepNext w:val="0"/>
        <w:keepLines w:val="0"/>
        <w:pageBreakBefore w:val="0"/>
        <w:widowControl w:val="0"/>
        <w:kinsoku/>
        <w:wordWrap/>
        <w:overflowPunct/>
        <w:topLinePunct w:val="0"/>
        <w:autoSpaceDE/>
        <w:autoSpaceDN/>
        <w:bidi w:val="0"/>
        <w:adjustRightInd/>
        <w:snapToGrid/>
        <w:spacing w:line="20" w:lineRule="atLeast"/>
        <w:ind w:firstLine="482"/>
        <w:textAlignment w:val="auto"/>
        <w:rPr>
          <w:rFonts w:hint="eastAsia"/>
          <w:color w:val="000000"/>
        </w:rPr>
      </w:pPr>
      <w:r>
        <w:rPr>
          <w:rFonts w:hint="eastAsia" w:ascii="Songti SC" w:hAnsi="Songti SC" w:eastAsia="Songti SC" w:cs="Songti SC"/>
          <w:b/>
          <w:bCs/>
          <w:color w:val="000000"/>
        </w:rPr>
        <w:t>高可用升级</w:t>
      </w:r>
    </w:p>
    <w:p w14:paraId="6B0412F2">
      <w:pPr>
        <w:pStyle w:val="30"/>
        <w:keepNext w:val="0"/>
        <w:keepLines w:val="0"/>
        <w:pageBreakBefore w:val="0"/>
        <w:widowControl w:val="0"/>
        <w:kinsoku/>
        <w:wordWrap/>
        <w:overflowPunct/>
        <w:topLinePunct w:val="0"/>
        <w:autoSpaceDE/>
        <w:autoSpaceDN/>
        <w:bidi w:val="0"/>
        <w:adjustRightInd/>
        <w:snapToGrid/>
        <w:spacing w:before="156" w:after="156" w:line="20" w:lineRule="atLeast"/>
        <w:ind w:firstLine="480"/>
        <w:textAlignment w:val="auto"/>
        <w:rPr>
          <w:rFonts w:hint="eastAsia"/>
          <w:color w:val="000000"/>
        </w:rPr>
      </w:pPr>
      <w:r>
        <w:rPr>
          <w:rFonts w:hint="eastAsia" w:ascii="Songti SC" w:hAnsi="Songti SC" w:eastAsia="Songti SC" w:cs="Songti SC"/>
          <w:color w:val="000000"/>
        </w:rPr>
        <w:t>应用层：E01/E02入口与A01/A02应用各组成双节点服务，经获配的负载分发及健康检查机制摘除故障节点；缓存、文件、生物识别和消息目前均为单节点，不表述为全链路双机高可用。</w:t>
      </w:r>
    </w:p>
    <w:p w14:paraId="1657B40B">
      <w:pPr>
        <w:pStyle w:val="30"/>
        <w:spacing w:before="156" w:after="156"/>
        <w:ind w:firstLine="480"/>
        <w:rPr>
          <w:rFonts w:hint="eastAsia"/>
          <w:color w:val="000000"/>
        </w:rPr>
      </w:pPr>
      <w:r>
        <w:rPr>
          <w:rFonts w:hint="eastAsia" w:ascii="Songti SC" w:hAnsi="Songti SC" w:eastAsia="Songti SC" w:cs="Songti SC"/>
          <w:color w:val="000000"/>
        </w:rPr>
        <w:t>数据库层：D01为写入主节点，D02为备用节点。切换前隔离旧主并检查同步状态，防止双主写入；主备不替代独立备份。数据损失与恢复时间取决于同步方式、故障点和演练结果，不自行承诺零丢失或固定秒级恢复。</w:t>
      </w:r>
    </w:p>
    <w:p w14:paraId="3DA2D3A7">
      <w:pPr>
        <w:ind w:firstLine="482"/>
        <w:rPr>
          <w:rFonts w:hint="eastAsia"/>
          <w:color w:val="000000"/>
        </w:rPr>
      </w:pPr>
      <w:r>
        <w:rPr>
          <w:rFonts w:hint="eastAsia" w:ascii="Songti SC" w:hAnsi="Songti SC" w:eastAsia="Songti SC" w:cs="Songti SC"/>
          <w:b/>
          <w:bCs/>
          <w:color w:val="000000"/>
        </w:rPr>
        <w:t>性能优化</w:t>
      </w:r>
    </w:p>
    <w:p w14:paraId="2A9E765A">
      <w:pPr>
        <w:ind w:firstLine="480"/>
        <w:rPr>
          <w:rFonts w:hint="eastAsia"/>
          <w:color w:val="000000"/>
        </w:rPr>
      </w:pPr>
      <w:r>
        <w:rPr>
          <w:rFonts w:hint="eastAsia" w:ascii="Songti SC" w:hAnsi="Songti SC" w:eastAsia="Songti SC" w:cs="Songti SC"/>
          <w:color w:val="000000"/>
        </w:rPr>
        <w:t>建议初始配置合计72 vCPU、184GB内存。应用与数据库双节点同配；消息、人脸资料及缓存文件各独立部署。按单节点接管、充值、同步和报表叠加场景验证，调整对应瓶颈节点。</w:t>
      </w:r>
    </w:p>
    <w:p w14:paraId="1C2F1584">
      <w:pPr>
        <w:ind w:firstLine="480"/>
        <w:rPr>
          <w:rFonts w:hint="eastAsia"/>
          <w:color w:val="000000"/>
        </w:rPr>
      </w:pPr>
      <w:r>
        <w:rPr>
          <w:rFonts w:hint="eastAsia" w:ascii="Songti SC" w:hAnsi="Songti SC" w:eastAsia="Songti SC" w:cs="Songti SC"/>
          <w:color w:val="000000"/>
        </w:rPr>
        <w:t>本期采用自管9节点方案。消息故障后按任务补发，人脸资料服务故障时暂停新增同步，已下发人员按权限继续消费；缓存及文件按持久数据恢复。独立备份和云网络能力不计入9台业务主机。</w:t>
      </w:r>
    </w:p>
    <w:p w14:paraId="555932FB">
      <w:pPr>
        <w:pStyle w:val="5"/>
        <w:rPr>
          <w:rStyle w:val="71"/>
          <w:rFonts w:hint="eastAsia"/>
          <w:bCs w:val="0"/>
          <w:color w:val="000000"/>
        </w:rPr>
      </w:pPr>
      <w:r>
        <w:rPr>
          <w:rStyle w:val="71"/>
          <w:rFonts w:hint="eastAsia" w:ascii="Songti SC" w:hAnsi="Songti SC" w:eastAsia="Songti SC" w:cs="Songti SC"/>
          <w:bCs w:val="0"/>
          <w:color w:val="000000"/>
        </w:rPr>
        <w:t>系统架构规划</w:t>
      </w:r>
    </w:p>
    <w:tbl>
      <w:tblPr>
        <w:tblStyle w:val="6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05"/>
        <w:gridCol w:w="3312"/>
        <w:gridCol w:w="1063"/>
        <w:gridCol w:w="2137"/>
      </w:tblGrid>
      <w:tr w14:paraId="32BCB9AE">
        <w:tc>
          <w:tcPr>
            <w:tcW w:w="2005" w:type="dxa"/>
            <w:vAlign w:val="center"/>
          </w:tcPr>
          <w:p w14:paraId="5A05B2B4">
            <w:pPr>
              <w:pStyle w:val="326"/>
              <w:rPr>
                <w:rFonts w:hint="eastAsia"/>
                <w:color w:val="000000"/>
              </w:rPr>
            </w:pPr>
            <w:r>
              <w:rPr>
                <w:rFonts w:hint="eastAsia" w:ascii="Songti SC" w:hAnsi="Songti SC" w:eastAsia="Songti SC" w:cs="Songti SC"/>
                <w:color w:val="000000"/>
              </w:rPr>
              <w:t>组件</w:t>
            </w:r>
          </w:p>
        </w:tc>
        <w:tc>
          <w:tcPr>
            <w:tcW w:w="3312" w:type="dxa"/>
            <w:vAlign w:val="center"/>
          </w:tcPr>
          <w:p w14:paraId="27A59655">
            <w:pPr>
              <w:pStyle w:val="326"/>
              <w:rPr>
                <w:rFonts w:hint="eastAsia"/>
                <w:color w:val="000000"/>
              </w:rPr>
            </w:pPr>
            <w:r>
              <w:rPr>
                <w:rFonts w:hint="eastAsia" w:ascii="Songti SC" w:hAnsi="Songti SC" w:eastAsia="Songti SC" w:cs="Songti SC"/>
                <w:color w:val="000000"/>
              </w:rPr>
              <w:t>部署方案</w:t>
            </w:r>
          </w:p>
        </w:tc>
        <w:tc>
          <w:tcPr>
            <w:tcW w:w="1063" w:type="dxa"/>
            <w:vAlign w:val="center"/>
          </w:tcPr>
          <w:p w14:paraId="168506C9">
            <w:pPr>
              <w:pStyle w:val="326"/>
              <w:rPr>
                <w:rFonts w:hint="eastAsia"/>
                <w:color w:val="000000"/>
              </w:rPr>
            </w:pPr>
            <w:r>
              <w:rPr>
                <w:rFonts w:hint="eastAsia" w:ascii="Songti SC" w:hAnsi="Songti SC" w:eastAsia="Songti SC" w:cs="Songti SC"/>
                <w:color w:val="000000"/>
              </w:rPr>
              <w:t>节点数</w:t>
            </w:r>
          </w:p>
        </w:tc>
        <w:tc>
          <w:tcPr>
            <w:tcW w:w="2137" w:type="dxa"/>
            <w:vAlign w:val="center"/>
          </w:tcPr>
          <w:p w14:paraId="08620093">
            <w:pPr>
              <w:pStyle w:val="326"/>
              <w:rPr>
                <w:rFonts w:hint="eastAsia"/>
                <w:color w:val="000000"/>
              </w:rPr>
            </w:pPr>
            <w:r>
              <w:rPr>
                <w:rFonts w:hint="eastAsia" w:ascii="Songti SC" w:hAnsi="Songti SC" w:eastAsia="Songti SC" w:cs="Songti SC"/>
                <w:color w:val="000000"/>
              </w:rPr>
              <w:t>资源配置</w:t>
            </w:r>
          </w:p>
        </w:tc>
      </w:tr>
      <w:tr w14:paraId="0EDC04CE">
        <w:tc>
          <w:tcPr>
            <w:tcW w:w="2005" w:type="dxa"/>
            <w:vAlign w:val="center"/>
          </w:tcPr>
          <w:p w14:paraId="0D2C1D7C">
            <w:pPr>
              <w:pStyle w:val="182"/>
              <w:rPr>
                <w:rFonts w:hint="eastAsia"/>
                <w:color w:val="000000"/>
              </w:rPr>
            </w:pPr>
            <w:r>
              <w:rPr>
                <w:rFonts w:hint="eastAsia" w:ascii="Songti SC" w:hAnsi="Songti SC" w:eastAsia="Songti SC" w:cs="Songti SC"/>
                <w:color w:val="000000"/>
              </w:rPr>
              <w:t>入口、应用及支撑节点</w:t>
            </w:r>
          </w:p>
        </w:tc>
        <w:tc>
          <w:tcPr>
            <w:tcW w:w="3312" w:type="dxa"/>
            <w:vAlign w:val="center"/>
          </w:tcPr>
          <w:p w14:paraId="7073C648">
            <w:pPr>
              <w:pStyle w:val="182"/>
              <w:rPr>
                <w:rFonts w:hint="eastAsia"/>
                <w:color w:val="000000"/>
              </w:rPr>
            </w:pPr>
            <w:r>
              <w:rPr>
                <w:rFonts w:hint="eastAsia" w:ascii="Songti SC" w:hAnsi="Songti SC" w:eastAsia="Songti SC" w:cs="Songti SC"/>
                <w:color w:val="000000"/>
              </w:rPr>
              <w:t>2入口+2应用+1缓存文件+1生物识别+1消息；其中只有入口、应用为双节点</w:t>
            </w:r>
          </w:p>
        </w:tc>
        <w:tc>
          <w:tcPr>
            <w:tcW w:w="1063" w:type="dxa"/>
            <w:vAlign w:val="center"/>
          </w:tcPr>
          <w:p w14:paraId="248AA6C1">
            <w:pPr>
              <w:pStyle w:val="182"/>
              <w:rPr>
                <w:rFonts w:hint="eastAsia"/>
                <w:color w:val="000000"/>
              </w:rPr>
            </w:pPr>
            <w:r>
              <w:rPr>
                <w:rFonts w:ascii="Songti SC" w:hAnsi="Songti SC" w:eastAsia="Songti SC" w:cs="Songti SC"/>
                <w:color w:val="000000"/>
              </w:rPr>
              <w:t>7</w:t>
            </w:r>
          </w:p>
        </w:tc>
        <w:tc>
          <w:tcPr>
            <w:tcW w:w="2137" w:type="dxa"/>
            <w:vAlign w:val="center"/>
          </w:tcPr>
          <w:p w14:paraId="762BF17B">
            <w:pPr>
              <w:pStyle w:val="182"/>
              <w:jc w:val="left"/>
              <w:rPr>
                <w:rFonts w:hint="eastAsia"/>
                <w:color w:val="000000"/>
              </w:rPr>
            </w:pPr>
            <w:r>
              <w:rPr>
                <w:rFonts w:hint="eastAsia" w:ascii="Songti SC" w:hAnsi="Songti SC" w:eastAsia="Songti SC" w:cs="Songti SC"/>
                <w:color w:val="000000"/>
              </w:rPr>
              <w:t>初始合计56 vCPU、120GB内存</w:t>
            </w:r>
          </w:p>
        </w:tc>
      </w:tr>
      <w:tr w14:paraId="3813A2C3">
        <w:tc>
          <w:tcPr>
            <w:tcW w:w="2005" w:type="dxa"/>
            <w:vAlign w:val="center"/>
          </w:tcPr>
          <w:p w14:paraId="29B115E6">
            <w:pPr>
              <w:pStyle w:val="182"/>
              <w:rPr>
                <w:rFonts w:hint="eastAsia"/>
                <w:color w:val="000000"/>
              </w:rPr>
            </w:pPr>
            <w:r>
              <w:rPr>
                <w:rFonts w:hint="eastAsia" w:ascii="Songti SC" w:hAnsi="Songti SC" w:eastAsia="Songti SC" w:cs="Songti SC"/>
                <w:color w:val="000000"/>
              </w:rPr>
              <w:t>数据库集群</w:t>
            </w:r>
          </w:p>
        </w:tc>
        <w:tc>
          <w:tcPr>
            <w:tcW w:w="3312" w:type="dxa"/>
            <w:vAlign w:val="center"/>
          </w:tcPr>
          <w:p w14:paraId="09A1E1D7">
            <w:pPr>
              <w:pStyle w:val="182"/>
              <w:rPr>
                <w:rFonts w:hint="eastAsia"/>
                <w:color w:val="000000"/>
              </w:rPr>
            </w:pPr>
            <w:r>
              <w:rPr>
                <w:rFonts w:hint="eastAsia" w:ascii="Songti SC" w:hAnsi="Songti SC" w:eastAsia="Songti SC" w:cs="Songti SC"/>
                <w:color w:val="000000"/>
              </w:rPr>
              <w:t>主节点D01+备用D02；独立备份另行接入</w:t>
            </w:r>
          </w:p>
        </w:tc>
        <w:tc>
          <w:tcPr>
            <w:tcW w:w="1063" w:type="dxa"/>
            <w:vAlign w:val="center"/>
          </w:tcPr>
          <w:p w14:paraId="22619AF2">
            <w:pPr>
              <w:pStyle w:val="182"/>
              <w:rPr>
                <w:rFonts w:hint="eastAsia"/>
                <w:color w:val="000000"/>
              </w:rPr>
            </w:pPr>
            <w:r>
              <w:rPr>
                <w:rFonts w:ascii="Songti SC" w:hAnsi="Songti SC" w:eastAsia="Songti SC" w:cs="Songti SC"/>
                <w:color w:val="000000"/>
              </w:rPr>
              <w:t>2</w:t>
            </w:r>
          </w:p>
        </w:tc>
        <w:tc>
          <w:tcPr>
            <w:tcW w:w="2137" w:type="dxa"/>
            <w:vAlign w:val="center"/>
          </w:tcPr>
          <w:p w14:paraId="15820557">
            <w:pPr>
              <w:pStyle w:val="182"/>
              <w:jc w:val="left"/>
              <w:rPr>
                <w:rFonts w:hint="eastAsia"/>
                <w:color w:val="000000"/>
              </w:rPr>
            </w:pPr>
            <w:r>
              <w:rPr>
                <w:rFonts w:ascii="Songti SC" w:hAnsi="Songti SC" w:eastAsia="Songti SC" w:cs="Songti SC"/>
                <w:color w:val="000000"/>
              </w:rPr>
              <w:t>每节点8 vCPU、32GB内存、1000GB数据盘</w:t>
            </w:r>
          </w:p>
        </w:tc>
      </w:tr>
    </w:tbl>
    <w:p w14:paraId="6457E99B">
      <w:pPr>
        <w:pStyle w:val="5"/>
        <w:rPr>
          <w:rStyle w:val="71"/>
          <w:rFonts w:hint="eastAsia"/>
          <w:bCs w:val="0"/>
          <w:color w:val="000000"/>
        </w:rPr>
      </w:pPr>
      <w:r>
        <w:rPr>
          <w:rStyle w:val="71"/>
          <w:rFonts w:ascii="Songti SC" w:hAnsi="Songti SC" w:eastAsia="Songti SC" w:cs="Songti SC"/>
          <w:bCs w:val="0"/>
          <w:color w:val="000000"/>
        </w:rPr>
        <w:t>资源需求计算</w:t>
      </w:r>
    </w:p>
    <w:p w14:paraId="1BA9C630">
      <w:pPr>
        <w:ind w:firstLine="482"/>
        <w:rPr>
          <w:rFonts w:hint="eastAsia"/>
          <w:color w:val="000000"/>
        </w:rPr>
      </w:pPr>
      <w:r>
        <w:rPr>
          <w:rFonts w:hint="eastAsia" w:ascii="Songti SC" w:hAnsi="Songti SC" w:eastAsia="Songti SC" w:cs="Songti SC"/>
          <w:b/>
          <w:bCs/>
          <w:color w:val="000000"/>
        </w:rPr>
        <w:t>CPU核数</w:t>
      </w:r>
    </w:p>
    <w:p w14:paraId="5B24E1F9">
      <w:pPr>
        <w:ind w:firstLine="480"/>
        <w:rPr>
          <w:rFonts w:hint="eastAsia"/>
          <w:color w:val="000000"/>
        </w:rPr>
      </w:pPr>
      <w:r>
        <w:rPr>
          <w:rFonts w:hint="eastAsia" w:ascii="Songti SC" w:hAnsi="Songti SC" w:eastAsia="Songti SC" w:cs="Songti SC"/>
          <w:color w:val="000000"/>
        </w:rPr>
        <w:t>入口及应用：2×4+2×16=40 vCPU；三个支撑节点：4+8+4=16 vCPU。</w:t>
      </w:r>
    </w:p>
    <w:p w14:paraId="30FDF2B0">
      <w:pPr>
        <w:ind w:firstLine="480"/>
        <w:rPr>
          <w:rFonts w:hint="eastAsia"/>
          <w:color w:val="000000"/>
        </w:rPr>
      </w:pPr>
      <w:r>
        <w:rPr>
          <w:rFonts w:hint="eastAsia" w:ascii="Songti SC" w:hAnsi="Songti SC" w:eastAsia="Songti SC" w:cs="Songti SC"/>
          <w:color w:val="000000"/>
        </w:rPr>
        <w:t>数据库：2×8=16 vCPU。云主机vCPU为分配规格，不等同独占物理核心。</w:t>
      </w:r>
    </w:p>
    <w:p w14:paraId="19540CA0">
      <w:pPr>
        <w:ind w:firstLine="480"/>
        <w:rPr>
          <w:rFonts w:hint="eastAsia"/>
          <w:color w:val="000000"/>
        </w:rPr>
      </w:pPr>
      <w:r>
        <w:rPr>
          <w:rFonts w:hint="eastAsia" w:ascii="Songti SC" w:hAnsi="Songti SC" w:eastAsia="Songti SC" w:cs="Songti SC"/>
          <w:color w:val="000000"/>
        </w:rPr>
        <w:t>初始计算配置合计：40+16+16=72 vCPU，其中数据库备用节点不叠加为日常交易处理能力。</w:t>
      </w:r>
    </w:p>
    <w:p w14:paraId="487522ED">
      <w:pPr>
        <w:ind w:firstLine="482"/>
        <w:rPr>
          <w:rFonts w:hint="eastAsia"/>
          <w:color w:val="000000"/>
        </w:rPr>
      </w:pPr>
      <w:r>
        <w:rPr>
          <w:rFonts w:hint="eastAsia" w:ascii="Songti SC" w:hAnsi="Songti SC" w:eastAsia="Songti SC" w:cs="Songti SC"/>
          <w:b/>
          <w:bCs/>
          <w:color w:val="000000"/>
        </w:rPr>
        <w:t>内存容量</w:t>
      </w:r>
    </w:p>
    <w:p w14:paraId="50C9BEE8">
      <w:pPr>
        <w:ind w:firstLine="480"/>
        <w:rPr>
          <w:rFonts w:hint="eastAsia"/>
          <w:color w:val="000000"/>
        </w:rPr>
      </w:pPr>
      <w:r>
        <w:rPr>
          <w:rFonts w:hint="eastAsia" w:ascii="Songti SC" w:hAnsi="Songti SC" w:eastAsia="Songti SC" w:cs="Songti SC"/>
          <w:color w:val="000000"/>
        </w:rPr>
        <w:t>入口及应用内存：2×8+2×32=80GB；三个支撑节点：16+16+8=40GB。</w:t>
      </w:r>
    </w:p>
    <w:p w14:paraId="66AD97D4">
      <w:pPr>
        <w:ind w:firstLine="480"/>
        <w:rPr>
          <w:rFonts w:hint="eastAsia"/>
          <w:color w:val="000000"/>
        </w:rPr>
      </w:pPr>
      <w:r>
        <w:rPr>
          <w:rFonts w:hint="eastAsia" w:ascii="Songti SC" w:hAnsi="Songti SC" w:eastAsia="Songti SC" w:cs="Songti SC"/>
          <w:color w:val="000000"/>
        </w:rPr>
        <w:t>数据库内存：2×32=64GB；每节点预留系统与会话空间，缓冲区及排序工作区按GBase运行参数分配。</w:t>
      </w:r>
    </w:p>
    <w:p w14:paraId="2CA6A025">
      <w:pPr>
        <w:ind w:firstLine="480"/>
        <w:rPr>
          <w:rFonts w:hint="eastAsia"/>
          <w:color w:val="000000"/>
        </w:rPr>
      </w:pPr>
      <w:r>
        <w:rPr>
          <w:rFonts w:hint="eastAsia" w:ascii="Songti SC" w:hAnsi="Songti SC" w:eastAsia="Songti SC" w:cs="Songti SC"/>
          <w:color w:val="000000"/>
        </w:rPr>
        <w:t>初始内存合计：80+40+64=184GB。入口、应用、缓存、识别和消息分别设置进程或队列配额，避免单项任务占满节点内存。</w:t>
      </w:r>
    </w:p>
    <w:p w14:paraId="223BC8B9">
      <w:pPr>
        <w:ind w:firstLine="480"/>
        <w:rPr>
          <w:rFonts w:hint="eastAsia"/>
          <w:color w:val="000000"/>
          <w:lang w:bidi="ar"/>
        </w:rPr>
      </w:pPr>
      <w:r>
        <w:rPr>
          <w:rFonts w:hint="eastAsia" w:ascii="Songti SC" w:hAnsi="Songti SC" w:eastAsia="Songti SC" w:cs="Songti SC"/>
          <w:color w:val="000000"/>
          <w:lang w:bidi="ar"/>
        </w:rPr>
        <w:t>存储容量模型采用十进制GB：规划服务11000人、每日3餐且每餐1笔消费，则每日33000笔、全年365日上界为1204.5万笔。按3年新增数据规划，每笔业务记录4KB、索引及结构开销系数2，新增交易数据约289.08GB。历史数据暂预留300GB容量（容量预算，非现有库实测值），工作及日志空间预留100GB，再保留30%空闲，单库容量为（300+289.08+100）÷0.7≈984.4GB，故暂按1000GB配置。若交接数据量超出预留，应调整容量而不是修改历史事实。</w:t>
      </w:r>
    </w:p>
    <w:p w14:paraId="78484DAF">
      <w:pPr>
        <w:ind w:firstLine="480"/>
        <w:rPr>
          <w:rFonts w:hint="eastAsia"/>
          <w:color w:val="000000"/>
          <w:lang w:bidi="ar"/>
        </w:rPr>
      </w:pPr>
      <w:r>
        <w:rPr>
          <w:rFonts w:hint="eastAsia" w:ascii="Songti SC" w:hAnsi="Songti SC" w:eastAsia="Songti SC" w:cs="Songti SC"/>
          <w:color w:val="000000"/>
          <w:lang w:bidi="ar"/>
        </w:rPr>
        <w:t>文件与备份分开测算：11000人×2张×0.2MB约4.4GB；交易图按每日33000张×0.1MB×30日场景约99GB。加导入导出及临时文件100GB，保留30%空闲约291GB，S01配置500GB。B01工作盘与M01消息盘各200GB，配置清理及容量告警。30日仅为测算场景，实际留存按业务用途确定；独立备份另存，不将S01视为唯一备份。</w:t>
      </w:r>
    </w:p>
    <w:p w14:paraId="0F5A7626">
      <w:pPr>
        <w:pStyle w:val="5"/>
        <w:rPr>
          <w:rStyle w:val="71"/>
          <w:rFonts w:hint="eastAsia"/>
          <w:bCs w:val="0"/>
          <w:color w:val="000000"/>
        </w:rPr>
      </w:pPr>
      <w:r>
        <w:rPr>
          <w:rStyle w:val="71"/>
          <w:rFonts w:hint="eastAsia" w:ascii="Songti SC" w:hAnsi="Songti SC" w:eastAsia="Songti SC" w:cs="Songti SC"/>
          <w:bCs w:val="0"/>
          <w:color w:val="000000"/>
        </w:rPr>
        <w:t>存储规划</w:t>
      </w:r>
    </w:p>
    <w:tbl>
      <w:tblPr>
        <w:tblStyle w:val="6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05"/>
        <w:gridCol w:w="3512"/>
        <w:gridCol w:w="2875"/>
      </w:tblGrid>
      <w:tr w14:paraId="66F125F1">
        <w:tc>
          <w:tcPr>
            <w:tcW w:w="2005" w:type="dxa"/>
            <w:vAlign w:val="center"/>
          </w:tcPr>
          <w:p w14:paraId="1C7346F4">
            <w:pPr>
              <w:ind w:firstLine="0" w:firstLineChars="0"/>
              <w:jc w:val="center"/>
              <w:rPr>
                <w:rFonts w:hint="eastAsia"/>
                <w:color w:val="000000"/>
              </w:rPr>
            </w:pPr>
            <w:r>
              <w:rPr>
                <w:rStyle w:val="71"/>
                <w:rFonts w:hint="eastAsia" w:ascii="Songti SC" w:hAnsi="Songti SC" w:eastAsia="Songti SC" w:cs="Songti SC"/>
                <w:color w:val="000000"/>
              </w:rPr>
              <w:t>存储类型</w:t>
            </w:r>
          </w:p>
        </w:tc>
        <w:tc>
          <w:tcPr>
            <w:tcW w:w="3512" w:type="dxa"/>
            <w:vAlign w:val="center"/>
          </w:tcPr>
          <w:p w14:paraId="0D75CC7F">
            <w:pPr>
              <w:ind w:firstLine="0" w:firstLineChars="0"/>
              <w:jc w:val="center"/>
              <w:rPr>
                <w:rFonts w:hint="eastAsia"/>
                <w:color w:val="000000"/>
              </w:rPr>
            </w:pPr>
            <w:r>
              <w:rPr>
                <w:rStyle w:val="71"/>
                <w:rFonts w:hint="eastAsia" w:ascii="Songti SC" w:hAnsi="Songti SC" w:eastAsia="Songti SC" w:cs="Songti SC"/>
                <w:color w:val="000000"/>
              </w:rPr>
              <w:t>容量需求</w:t>
            </w:r>
          </w:p>
        </w:tc>
        <w:tc>
          <w:tcPr>
            <w:tcW w:w="2875" w:type="dxa"/>
            <w:vAlign w:val="center"/>
          </w:tcPr>
          <w:p w14:paraId="7B32CD0B">
            <w:pPr>
              <w:ind w:firstLine="0" w:firstLineChars="0"/>
              <w:jc w:val="center"/>
              <w:rPr>
                <w:rFonts w:hint="eastAsia"/>
                <w:color w:val="000000"/>
              </w:rPr>
            </w:pPr>
            <w:r>
              <w:rPr>
                <w:rStyle w:val="71"/>
                <w:rFonts w:hint="eastAsia" w:ascii="Songti SC" w:hAnsi="Songti SC" w:eastAsia="Songti SC" w:cs="Songti SC"/>
                <w:color w:val="000000"/>
              </w:rPr>
              <w:t>性能指标</w:t>
            </w:r>
          </w:p>
        </w:tc>
      </w:tr>
      <w:tr w14:paraId="4E7453BF">
        <w:tc>
          <w:tcPr>
            <w:tcW w:w="2005" w:type="dxa"/>
            <w:vAlign w:val="center"/>
          </w:tcPr>
          <w:p w14:paraId="4C496DA2">
            <w:pPr>
              <w:ind w:firstLine="0" w:firstLineChars="0"/>
              <w:jc w:val="center"/>
              <w:rPr>
                <w:rFonts w:hint="eastAsia"/>
                <w:color w:val="000000"/>
              </w:rPr>
            </w:pPr>
            <w:r>
              <w:rPr>
                <w:rFonts w:hint="eastAsia" w:ascii="Songti SC" w:hAnsi="Songti SC" w:eastAsia="Songti SC" w:cs="Songti SC"/>
                <w:color w:val="000000"/>
              </w:rPr>
              <w:t>系统盘</w:t>
            </w:r>
          </w:p>
        </w:tc>
        <w:tc>
          <w:tcPr>
            <w:tcW w:w="3512" w:type="dxa"/>
            <w:vAlign w:val="center"/>
          </w:tcPr>
          <w:p w14:paraId="37FFCCF3">
            <w:pPr>
              <w:ind w:firstLine="0" w:firstLineChars="0"/>
              <w:jc w:val="center"/>
              <w:rPr>
                <w:rFonts w:hint="eastAsia"/>
                <w:color w:val="000000"/>
              </w:rPr>
            </w:pPr>
            <w:r>
              <w:rPr>
                <w:rFonts w:hint="eastAsia" w:ascii="Songti SC" w:hAnsi="Songti SC" w:eastAsia="Songti SC" w:cs="Songti SC"/>
                <w:color w:val="000000"/>
              </w:rPr>
              <w:t>9节点各100GB，共900GB规划容量</w:t>
            </w:r>
          </w:p>
        </w:tc>
        <w:tc>
          <w:tcPr>
            <w:tcW w:w="2875" w:type="dxa"/>
            <w:vAlign w:val="center"/>
          </w:tcPr>
          <w:p w14:paraId="6B664BBC">
            <w:pPr>
              <w:ind w:firstLine="0" w:firstLineChars="0"/>
              <w:jc w:val="center"/>
              <w:rPr>
                <w:rFonts w:hint="eastAsia"/>
                <w:color w:val="000000"/>
              </w:rPr>
            </w:pPr>
            <w:r>
              <w:rPr>
                <w:rFonts w:hint="eastAsia" w:ascii="Songti SC" w:hAnsi="Songti SC" w:eastAsia="Songti SC" w:cs="Songti SC"/>
                <w:color w:val="000000"/>
              </w:rPr>
              <w:t>操作系统、应用及短期日志；生产数据盘分开管理，IOPS按业务测算。</w:t>
            </w:r>
          </w:p>
        </w:tc>
      </w:tr>
      <w:tr w14:paraId="060E82A3">
        <w:tc>
          <w:tcPr>
            <w:tcW w:w="2005" w:type="dxa"/>
            <w:vAlign w:val="center"/>
          </w:tcPr>
          <w:p w14:paraId="5FBDA851">
            <w:pPr>
              <w:ind w:firstLine="0" w:firstLineChars="0"/>
              <w:jc w:val="center"/>
              <w:rPr>
                <w:rFonts w:hint="eastAsia"/>
                <w:color w:val="000000"/>
              </w:rPr>
            </w:pPr>
            <w:r>
              <w:rPr>
                <w:rFonts w:hint="eastAsia" w:ascii="Songti SC" w:hAnsi="Songti SC" w:eastAsia="Songti SC" w:cs="Songti SC"/>
                <w:color w:val="000000"/>
              </w:rPr>
              <w:t>数据库数据盘</w:t>
            </w:r>
          </w:p>
        </w:tc>
        <w:tc>
          <w:tcPr>
            <w:tcW w:w="3512" w:type="dxa"/>
            <w:vAlign w:val="center"/>
          </w:tcPr>
          <w:p w14:paraId="09EF14C7">
            <w:pPr>
              <w:ind w:firstLine="0" w:firstLineChars="0"/>
              <w:jc w:val="center"/>
              <w:rPr>
                <w:rFonts w:hint="eastAsia"/>
                <w:color w:val="000000"/>
              </w:rPr>
            </w:pPr>
            <w:r>
              <w:rPr>
                <w:rFonts w:hint="eastAsia" w:ascii="Songti SC" w:hAnsi="Songti SC" w:eastAsia="Songti SC" w:cs="Songti SC"/>
                <w:color w:val="000000"/>
              </w:rPr>
              <w:t>主备各1000GB，合计2000GB分配容量</w:t>
            </w:r>
          </w:p>
        </w:tc>
        <w:tc>
          <w:tcPr>
            <w:tcW w:w="2875" w:type="dxa"/>
            <w:vAlign w:val="center"/>
          </w:tcPr>
          <w:p w14:paraId="33FCD89B">
            <w:pPr>
              <w:ind w:firstLine="0" w:firstLineChars="0"/>
              <w:jc w:val="center"/>
              <w:rPr>
                <w:rFonts w:hint="eastAsia"/>
                <w:color w:val="000000"/>
              </w:rPr>
            </w:pPr>
            <w:r>
              <w:rPr>
                <w:rFonts w:hint="eastAsia" w:ascii="Songti SC" w:hAnsi="Songti SC" w:eastAsia="Songti SC" w:cs="Songti SC"/>
                <w:color w:val="000000"/>
              </w:rPr>
              <w:t>有效业务数据按一份计算；用实际数据库读写与同步测试核验，不以主备容量相加作可用业务容量</w:t>
            </w:r>
          </w:p>
        </w:tc>
      </w:tr>
    </w:tbl>
    <w:p w14:paraId="75B64FE6">
      <w:pPr>
        <w:pStyle w:val="5"/>
        <w:rPr>
          <w:rStyle w:val="71"/>
          <w:rFonts w:hint="eastAsia"/>
          <w:bCs w:val="0"/>
          <w:color w:val="000000"/>
        </w:rPr>
      </w:pPr>
      <w:r>
        <w:rPr>
          <w:rStyle w:val="71"/>
          <w:rFonts w:hint="eastAsia" w:ascii="Songti SC" w:hAnsi="Songti SC" w:eastAsia="Songti SC" w:cs="Songti SC"/>
          <w:bCs w:val="0"/>
          <w:color w:val="000000"/>
        </w:rPr>
        <w:t>测算依据</w:t>
      </w:r>
    </w:p>
    <w:p w14:paraId="6E241C98">
      <w:pPr>
        <w:pStyle w:val="6"/>
        <w:rPr>
          <w:rFonts w:hint="eastAsia"/>
          <w:color w:val="000000"/>
        </w:rPr>
      </w:pPr>
      <w:r>
        <w:rPr>
          <w:rStyle w:val="71"/>
          <w:rFonts w:hint="eastAsia" w:ascii="Songti SC" w:hAnsi="Songti SC" w:eastAsia="Songti SC" w:cs="Songti SC"/>
          <w:bCs w:val="0"/>
          <w:color w:val="000000"/>
        </w:rPr>
        <w:t>性能基准测算</w:t>
      </w:r>
    </w:p>
    <w:p w14:paraId="7A69DEBD">
      <w:pPr>
        <w:ind w:firstLine="482"/>
        <w:rPr>
          <w:rFonts w:hint="eastAsia"/>
          <w:color w:val="000000"/>
        </w:rPr>
      </w:pPr>
      <w:r>
        <w:rPr>
          <w:rStyle w:val="71"/>
          <w:rFonts w:hint="eastAsia" w:ascii="Songti SC" w:hAnsi="Songti SC" w:eastAsia="Songti SC" w:cs="Songti SC"/>
          <w:color w:val="000000"/>
        </w:rPr>
        <w:t>单</w:t>
      </w:r>
      <w:r>
        <w:rPr>
          <w:rStyle w:val="71"/>
          <w:rFonts w:ascii="Songti SC" w:hAnsi="Songti SC" w:eastAsia="Songti SC" w:cs="Songti SC"/>
          <w:color w:val="000000"/>
        </w:rPr>
        <w:t>节点处理能力</w:t>
      </w:r>
    </w:p>
    <w:p w14:paraId="4A92EBAD">
      <w:pPr>
        <w:pStyle w:val="30"/>
        <w:spacing w:before="156" w:after="156"/>
        <w:ind w:firstLine="480"/>
        <w:rPr>
          <w:rFonts w:hint="eastAsia"/>
          <w:color w:val="000000"/>
        </w:rPr>
      </w:pPr>
      <w:r>
        <w:rPr>
          <w:rFonts w:ascii="Songti SC" w:hAnsi="Songti SC" w:eastAsia="Songti SC" w:cs="Songti SC"/>
          <w:color w:val="000000"/>
        </w:rPr>
        <w:t>测算前提：以下为目标设计假设，不是原系统运行数据。以55台终端同时营业，每台2秒提交1笔交易为瞬时场景，55÷2=27.5笔/秒；再按2倍突发系数形成55笔/秒，向上取60笔/秒作为核心交易测试场景。11000人不是同时在线人数。</w:t>
      </w:r>
    </w:p>
    <w:p w14:paraId="01681ECC">
      <w:pPr>
        <w:pStyle w:val="30"/>
        <w:spacing w:before="156" w:after="156"/>
        <w:ind w:firstLine="480"/>
        <w:rPr>
          <w:rFonts w:hint="eastAsia"/>
          <w:color w:val="000000"/>
        </w:rPr>
      </w:pPr>
      <w:r>
        <w:rPr>
          <w:rFonts w:ascii="Songti SC" w:hAnsi="Songti SC" w:eastAsia="Songti SC" w:cs="Songti SC"/>
          <w:color w:val="000000"/>
        </w:rPr>
        <w:t>请求量模型：每笔交易按4次应用接口请求估算，60×4=240请求/秒；另预留60请求/秒用于充值、查询及管理操作，组合场景为300请求/秒。该场景不等于承诺每个外部接口均能提供相同吞吐。</w:t>
      </w:r>
    </w:p>
    <w:p w14:paraId="12722E83">
      <w:pPr>
        <w:pStyle w:val="30"/>
        <w:spacing w:before="156" w:after="156"/>
        <w:ind w:firstLine="480"/>
        <w:rPr>
          <w:rFonts w:hint="eastAsia"/>
          <w:color w:val="000000"/>
        </w:rPr>
      </w:pPr>
      <w:r>
        <w:rPr>
          <w:rFonts w:ascii="Songti SC" w:hAnsi="Songti SC" w:eastAsia="Songti SC" w:cs="Songti SC"/>
          <w:color w:val="000000"/>
        </w:rPr>
        <w:t>应用CPU模型：按300请求/秒、每请求0.02 CPU秒及目标利用率60%估算，需300×0.02÷0.6=10 vCPU；每应用节点建议16 vCPU，为系统开销和单节点接管留出余量。该值为设计假设；若压测每请求达0.04 CPU秒，需求升至20 vCPU，应优化接口或提升至24 vCPU，并同步更新资源表。</w:t>
      </w:r>
    </w:p>
    <w:p w14:paraId="416F061F">
      <w:pPr>
        <w:ind w:firstLine="482"/>
        <w:rPr>
          <w:rFonts w:hint="eastAsia"/>
          <w:color w:val="000000"/>
        </w:rPr>
      </w:pPr>
      <w:r>
        <w:rPr>
          <w:rStyle w:val="71"/>
          <w:rFonts w:ascii="Songti SC" w:hAnsi="Songti SC" w:eastAsia="Songti SC" w:cs="Songti SC"/>
          <w:color w:val="000000"/>
        </w:rPr>
        <w:t>并发支撑能力</w:t>
      </w:r>
    </w:p>
    <w:p w14:paraId="5B4AB0E2">
      <w:pPr>
        <w:ind w:firstLine="480"/>
        <w:rPr>
          <w:rFonts w:hint="eastAsia"/>
          <w:color w:val="000000"/>
        </w:rPr>
      </w:pPr>
      <w:r>
        <w:rPr>
          <w:rFonts w:ascii="Songti SC" w:hAnsi="Songti SC" w:eastAsia="Songti SC" w:cs="Songti SC"/>
          <w:color w:val="000000"/>
        </w:rPr>
        <w:t>并发与内存模型：按平均响应0.5秒，300请求/秒形成150个在途请求；每工作进程按80MiB估算约11.72GiB，另预留系统及依赖8GiB、任务与峰值8GiB，合计约27.72GiB，每应用节点配置32GB。按实际进程内存调整进程池，数据库连接池独立限额；11000人为服务人数，并非并发数。</w:t>
      </w:r>
    </w:p>
    <w:p w14:paraId="5B70B98C">
      <w:pPr>
        <w:ind w:firstLine="480"/>
        <w:rPr>
          <w:rFonts w:hint="eastAsia"/>
          <w:color w:val="000000"/>
        </w:rPr>
      </w:pPr>
      <w:r>
        <w:rPr>
          <w:rFonts w:ascii="Songti SC" w:hAnsi="Songti SC" w:eastAsia="Songti SC" w:cs="Songti SC"/>
          <w:color w:val="000000"/>
        </w:rPr>
        <w:t>数据库与带宽模型：每笔交易按8次SQL操作，60笔/秒约480次/秒；按每次0.004 CPU秒、查询叠加系数2和60%利用率，需480×0.004×2÷0.6=6.4 vCPU，主备各配置8 vCPU、32GB内存。该模型需用实际SQL验证。300请求/秒×10KB×8×2约48Mbps，纯业务带宽按50Mbps测试，图片和批量迁移另计。</w:t>
      </w:r>
    </w:p>
    <w:p w14:paraId="0E8B1BD6">
      <w:pPr>
        <w:pStyle w:val="6"/>
        <w:rPr>
          <w:rStyle w:val="71"/>
          <w:rFonts w:hint="eastAsia"/>
          <w:bCs w:val="0"/>
          <w:color w:val="000000"/>
        </w:rPr>
      </w:pPr>
      <w:r>
        <w:rPr>
          <w:rStyle w:val="71"/>
          <w:rFonts w:hint="eastAsia" w:ascii="Songti SC" w:hAnsi="Songti SC" w:eastAsia="Songti SC" w:cs="Songti SC"/>
          <w:bCs w:val="0"/>
          <w:color w:val="000000"/>
        </w:rPr>
        <w:t>冗余设计计算</w:t>
      </w:r>
    </w:p>
    <w:p w14:paraId="09B78A68">
      <w:pPr>
        <w:ind w:firstLine="482"/>
        <w:rPr>
          <w:rFonts w:hint="eastAsia"/>
          <w:color w:val="000000"/>
        </w:rPr>
      </w:pPr>
      <w:r>
        <w:rPr>
          <w:rStyle w:val="71"/>
          <w:rFonts w:hint="eastAsia" w:ascii="Songti SC" w:hAnsi="Songti SC" w:eastAsia="Songti SC" w:cs="Songti SC"/>
          <w:color w:val="000000"/>
        </w:rPr>
        <w:t>应</w:t>
      </w:r>
      <w:r>
        <w:rPr>
          <w:rStyle w:val="71"/>
          <w:rFonts w:ascii="Songti SC" w:hAnsi="Songti SC" w:eastAsia="Songti SC" w:cs="Songti SC"/>
          <w:color w:val="000000"/>
        </w:rPr>
        <w:t>用集群</w:t>
      </w:r>
    </w:p>
    <w:p w14:paraId="61456AF5">
      <w:pPr>
        <w:pStyle w:val="30"/>
        <w:spacing w:before="156" w:after="156"/>
        <w:ind w:firstLine="480"/>
        <w:rPr>
          <w:rFonts w:hint="eastAsia"/>
          <w:color w:val="000000"/>
        </w:rPr>
      </w:pPr>
      <w:r>
        <w:rPr>
          <w:rFonts w:ascii="Songti SC" w:hAnsi="Songti SC" w:eastAsia="Songti SC" w:cs="Songti SC"/>
          <w:color w:val="000000"/>
        </w:rPr>
        <w:t>入口与应用各2节点是为故障摘除、滚动发布和单节点接管设计，不是将9台统称应用集群。数据库2节点分别写入与备用，备用容量不得当作额外业务吞吐。</w:t>
      </w:r>
    </w:p>
    <w:p w14:paraId="3F25152B">
      <w:pPr>
        <w:pStyle w:val="30"/>
        <w:spacing w:before="156" w:after="156"/>
        <w:ind w:firstLine="480"/>
        <w:rPr>
          <w:rFonts w:hint="eastAsia"/>
          <w:color w:val="000000"/>
        </w:rPr>
      </w:pPr>
      <w:r>
        <w:rPr>
          <w:rFonts w:ascii="Songti SC" w:hAnsi="Songti SC" w:eastAsia="Songti SC" w:cs="Songti SC"/>
          <w:color w:val="000000"/>
        </w:rPr>
        <w:t>消息与缓存测算：55台终端按30秒心跳约1.83条/秒；人员全量同步按11000人×55台上界共60.5万条，以30分钟分批完成约336条/秒。按2KB消息及3份持久化开销估算约3.63GB，M01建议4 vCPU、8GB内存、200GB消息盘；图片走文件接口。S01缓存限额8GB，其余内存用于系统与文件服务。</w:t>
      </w:r>
    </w:p>
    <w:p w14:paraId="0CA9D623">
      <w:pPr>
        <w:ind w:firstLine="482"/>
        <w:rPr>
          <w:rFonts w:hint="eastAsia"/>
          <w:color w:val="000000"/>
        </w:rPr>
      </w:pPr>
      <w:r>
        <w:rPr>
          <w:rStyle w:val="71"/>
          <w:rFonts w:ascii="Songti SC" w:hAnsi="Songti SC" w:eastAsia="Songti SC" w:cs="Songti SC"/>
          <w:color w:val="000000"/>
        </w:rPr>
        <w:t>生物识别服务</w:t>
      </w:r>
    </w:p>
    <w:p w14:paraId="6A88A313">
      <w:pPr>
        <w:pStyle w:val="30"/>
        <w:spacing w:before="156" w:after="156"/>
        <w:ind w:firstLine="480"/>
        <w:rPr>
          <w:rFonts w:hint="eastAsia"/>
          <w:color w:val="000000"/>
        </w:rPr>
      </w:pPr>
      <w:r>
        <w:rPr>
          <w:rFonts w:ascii="Songti SC" w:hAnsi="Songti SC" w:eastAsia="Songti SC" w:cs="Songti SC"/>
          <w:color w:val="000000"/>
        </w:rPr>
        <w:t>识别服务测算：现场识别在终端完成，B01独立承载人脸资料校验、人员关联和同步接口，不按全部现场识别并发估算中央算力。按11000人、每人2份4KB特征模板估算约88MB，参考照片约4.4GB；建议8 vCPU、16GB内存及200GB工作盘用于批量处理与临时文件。特征格式、处理耗时与授权须按选定终端及引擎核验。</w:t>
      </w:r>
    </w:p>
    <w:p w14:paraId="16E5101C">
      <w:pPr>
        <w:pStyle w:val="30"/>
        <w:spacing w:before="156" w:after="156"/>
        <w:ind w:firstLine="480"/>
        <w:rPr>
          <w:rFonts w:hint="eastAsia"/>
          <w:color w:val="000000"/>
        </w:rPr>
      </w:pPr>
      <w:r>
        <w:rPr>
          <w:rFonts w:ascii="Songti SC" w:hAnsi="Songti SC" w:eastAsia="Songti SC" w:cs="Songti SC"/>
          <w:color w:val="000000"/>
        </w:rPr>
        <w:t>试运行验证安排：依次验证常态业务、60笔/秒交易组合、报表与充值叠加、单应用节点停机、消息中断补偿、数据库主备切换和备份恢复。记录响应分位数、错误订单、重复扣款、CPU、内存、慢SQL、队列积压及数据差异；按结果调配资源，形成可追溯的测算与验证记录。</w:t>
      </w:r>
    </w:p>
    <w:p w14:paraId="6CA7AD7A">
      <w:pPr>
        <w:pStyle w:val="3"/>
        <w:rPr>
          <w:rFonts w:hint="eastAsia"/>
          <w:color w:val="000000"/>
        </w:rPr>
      </w:pPr>
      <w:bookmarkStart w:id="619" w:name="_Toc1695024418"/>
      <w:bookmarkStart w:id="620" w:name="_Toc1764066217"/>
      <w:bookmarkStart w:id="621" w:name="_Toc1617777118"/>
      <w:r>
        <w:rPr>
          <w:rFonts w:hint="eastAsia" w:ascii="Songti SC" w:hAnsi="Songti SC" w:eastAsia="Songti SC" w:cs="Songti SC"/>
          <w:color w:val="000000"/>
        </w:rPr>
        <w:t>密码应用建设方案</w:t>
      </w:r>
      <w:bookmarkEnd w:id="619"/>
      <w:bookmarkEnd w:id="620"/>
      <w:bookmarkEnd w:id="621"/>
    </w:p>
    <w:p w14:paraId="77B72112">
      <w:pPr>
        <w:ind w:firstLine="480"/>
        <w:rPr>
          <w:rFonts w:hint="eastAsia"/>
          <w:color w:val="000000"/>
        </w:rPr>
      </w:pPr>
      <w:r>
        <w:rPr>
          <w:rFonts w:ascii="Songti SC" w:hAnsi="Songti SC" w:eastAsia="Songti SC" w:cs="Songti SC"/>
          <w:color w:val="000000"/>
        </w:rPr>
        <w:t>密码应用建设方案应支撑商用密码应用安全性评估，围绕国密算法应用、数字证书、身份认证、传输加密、存储保护、日志完整性、密钥管理和密码产品服务合规性开展建设、联调和整改验证。</w:t>
      </w:r>
    </w:p>
    <w:p w14:paraId="730D2BBB">
      <w:pPr>
        <w:ind w:firstLine="480"/>
        <w:rPr>
          <w:rFonts w:hint="eastAsia"/>
          <w:color w:val="000000"/>
          <w:lang w:bidi="ar"/>
        </w:rPr>
      </w:pPr>
      <w:r>
        <w:rPr>
          <w:rFonts w:hint="eastAsia" w:ascii="Songti SC" w:hAnsi="Songti SC" w:eastAsia="Songti SC" w:cs="Songti SC"/>
          <w:color w:val="000000"/>
          <w:lang w:bidi="ar"/>
        </w:rPr>
        <w:t>本期密码应用依据既有密码应用方案，按GB/T 39786—2021第三级要求进行设计，与网络安全等级保护三级建设目标相衔接，但两类评估分别实施。重点保护管理身份、充值回调、账户及交易记录、人脸文件和关键审计记录；通过合规密码服务及密钥管理实现，不能仅将普通HTTPS连接写成已完成商用密码合规。以下为拟建控制安排，不是现状测评结论。</w:t>
      </w:r>
    </w:p>
    <w:p w14:paraId="477CA434">
      <w:pPr>
        <w:pStyle w:val="4"/>
        <w:rPr>
          <w:rFonts w:hint="eastAsia"/>
          <w:color w:val="000000"/>
        </w:rPr>
      </w:pPr>
      <w:bookmarkStart w:id="622" w:name="_Toc111127809"/>
      <w:bookmarkStart w:id="623" w:name="_Toc1904815871"/>
      <w:bookmarkStart w:id="624" w:name="_Toc501678637"/>
      <w:bookmarkStart w:id="625" w:name="_Toc689567559"/>
      <w:bookmarkStart w:id="626" w:name="_Toc109942632"/>
      <w:bookmarkStart w:id="627" w:name="_Toc194326857"/>
      <w:r>
        <w:rPr>
          <w:rFonts w:hint="eastAsia" w:ascii="Songti SC" w:hAnsi="Songti SC" w:eastAsia="Songti SC" w:cs="Songti SC"/>
          <w:color w:val="000000"/>
        </w:rPr>
        <w:t>密码应用技术框架</w:t>
      </w:r>
      <w:bookmarkEnd w:id="622"/>
      <w:bookmarkEnd w:id="623"/>
      <w:bookmarkEnd w:id="624"/>
      <w:bookmarkEnd w:id="625"/>
      <w:bookmarkEnd w:id="626"/>
      <w:bookmarkEnd w:id="627"/>
    </w:p>
    <w:p w14:paraId="13B431B0">
      <w:pPr>
        <w:pStyle w:val="115"/>
        <w:rPr>
          <w:rFonts w:hint="eastAsia"/>
          <w:color w:val="000000"/>
        </w:rPr>
      </w:pPr>
      <w:r>
        <w:rPr>
          <w:rFonts w:hint="eastAsia" w:ascii="Songti SC" w:hAnsi="Songti SC" w:eastAsia="Songti SC" w:cs="Songti SC"/>
          <w:color w:val="000000"/>
        </w:rPr>
        <w:drawing>
          <wp:inline distT="0" distB="0" distL="0" distR="0">
            <wp:extent cx="5149215" cy="3241675"/>
            <wp:effectExtent l="19050" t="19050" r="13335" b="15875"/>
            <wp:docPr id="163662901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6629010" name="图片 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a:xfrm>
                      <a:off x="0" y="0"/>
                      <a:ext cx="5168862" cy="3253999"/>
                    </a:xfrm>
                    <a:prstGeom prst="rect">
                      <a:avLst/>
                    </a:prstGeom>
                    <a:noFill/>
                    <a:ln>
                      <a:solidFill>
                        <a:schemeClr val="accent1"/>
                      </a:solidFill>
                    </a:ln>
                  </pic:spPr>
                </pic:pic>
              </a:graphicData>
            </a:graphic>
          </wp:inline>
        </w:drawing>
      </w:r>
    </w:p>
    <w:p w14:paraId="02E2FBC4">
      <w:pPr>
        <w:pStyle w:val="14"/>
        <w:rPr>
          <w:rFonts w:hint="eastAsia" w:cs="宋体"/>
          <w:color w:val="000000"/>
        </w:rPr>
      </w:pPr>
      <w:bookmarkStart w:id="628" w:name="_Toc194255042"/>
      <w:r>
        <w:rPr>
          <w:rFonts w:hint="eastAsia" w:ascii="Songti SC" w:hAnsi="Songti SC" w:eastAsia="Songti SC" w:cs="Songti SC"/>
          <w:color w:val="000000"/>
        </w:rPr>
        <w:t>图</w:t>
      </w:r>
      <w:r>
        <w:rPr>
          <w:rFonts w:ascii="Songti SC" w:hAnsi="Songti SC" w:eastAsia="Songti SC" w:cs="Songti SC"/>
          <w:color w:val="000000"/>
        </w:rPr>
        <w:fldChar w:fldCharType="begin"/>
      </w:r>
      <w:r>
        <w:rPr>
          <w:rFonts w:ascii="Songti SC" w:hAnsi="Songti SC" w:eastAsia="Songti SC" w:cs="Songti SC"/>
          <w:color w:val="000000"/>
        </w:rPr>
        <w:instrText xml:space="preserve"> </w:instrText>
      </w:r>
      <w:r>
        <w:rPr>
          <w:rFonts w:hint="eastAsia" w:ascii="Songti SC" w:hAnsi="Songti SC" w:eastAsia="Songti SC" w:cs="Songti SC"/>
          <w:color w:val="000000"/>
        </w:rPr>
        <w:instrText xml:space="preserve">STYLEREF 1 \s</w:instrText>
      </w:r>
      <w:r>
        <w:rPr>
          <w:rFonts w:ascii="Songti SC" w:hAnsi="Songti SC" w:eastAsia="Songti SC" w:cs="Songti SC"/>
          <w:color w:val="000000"/>
        </w:rPr>
        <w:instrText xml:space="preserve"> </w:instrText>
      </w:r>
      <w:r>
        <w:rPr>
          <w:rFonts w:ascii="Songti SC" w:hAnsi="Songti SC" w:eastAsia="Songti SC" w:cs="Songti SC"/>
          <w:color w:val="000000"/>
        </w:rPr>
        <w:fldChar w:fldCharType="separate"/>
      </w:r>
      <w:r>
        <w:rPr>
          <w:rFonts w:hint="eastAsia" w:ascii="Songti SC" w:hAnsi="Songti SC" w:eastAsia="Songti SC" w:cs="Songti SC"/>
          <w:color w:val="000000"/>
        </w:rPr>
        <w:t>6</w:t>
      </w:r>
      <w:r>
        <w:rPr>
          <w:rFonts w:ascii="Songti SC" w:hAnsi="Songti SC" w:eastAsia="Songti SC" w:cs="Songti SC"/>
          <w:color w:val="000000"/>
        </w:rPr>
        <w:fldChar w:fldCharType="end"/>
      </w:r>
      <w:r>
        <w:rPr>
          <w:rFonts w:ascii="Songti SC" w:hAnsi="Songti SC" w:eastAsia="Songti SC" w:cs="Songti SC"/>
          <w:color w:val="000000"/>
        </w:rPr>
        <w:t>.</w:t>
      </w:r>
      <w:r>
        <w:rPr>
          <w:rFonts w:hint="eastAsia" w:ascii="Songti SC" w:hAnsi="Songti SC" w:eastAsia="Songti SC" w:cs="Songti SC"/>
          <w:color w:val="000000"/>
        </w:rPr>
        <w:t>5密码应用技术架构</w:t>
      </w:r>
      <w:bookmarkEnd w:id="628"/>
    </w:p>
    <w:p w14:paraId="58E144F9">
      <w:pPr>
        <w:ind w:firstLine="480"/>
        <w:rPr>
          <w:rFonts w:hint="eastAsia"/>
          <w:color w:val="000000"/>
        </w:rPr>
      </w:pPr>
      <w:r>
        <w:rPr>
          <w:rFonts w:hint="eastAsia" w:ascii="Songti SC" w:hAnsi="Songti SC" w:eastAsia="Songti SC" w:cs="Songti SC"/>
          <w:color w:val="000000"/>
        </w:rPr>
        <w:t>技术架构分为密码基础服务层以及密码应用层，密码基础服务层包括经过国家密码管理局认证的基础密码算法，具有商用密码鉴定认证的密码产品以及针对应用系统设计的密码服务。</w:t>
      </w:r>
    </w:p>
    <w:p w14:paraId="551FFC32">
      <w:pPr>
        <w:ind w:firstLine="480"/>
        <w:rPr>
          <w:rFonts w:hint="eastAsia"/>
          <w:color w:val="000000"/>
        </w:rPr>
      </w:pPr>
      <w:r>
        <w:rPr>
          <w:rFonts w:hint="eastAsia" w:ascii="Songti SC" w:hAnsi="Songti SC" w:eastAsia="Songti SC" w:cs="Songti SC"/>
          <w:color w:val="000000"/>
        </w:rPr>
        <w:t>密码应用层依据GB/T39786-2021《信息安全技术信息系统密码应用基本要求》展开架构设计，包括网络与通信安全密码应用、应用与数据安全密码应用以及设备和计算安全密码应用。其中物理和环境安全部分由于部署至建设单位统筹确定的政务云环境，故此部分依赖于云上密码服务安全。</w:t>
      </w:r>
    </w:p>
    <w:p w14:paraId="471ADEAF">
      <w:pPr>
        <w:ind w:firstLine="480"/>
        <w:rPr>
          <w:rFonts w:hint="eastAsia"/>
          <w:color w:val="000000"/>
        </w:rPr>
      </w:pPr>
      <w:r>
        <w:rPr>
          <w:rFonts w:hint="eastAsia" w:ascii="Songti SC" w:hAnsi="Songti SC" w:eastAsia="Songti SC" w:cs="Songti SC"/>
          <w:color w:val="000000"/>
        </w:rPr>
        <w:t>在密码应用层，密码应用层利用底层密码基础服务层提供的密码计算能力及其他密码服务，实现终端安全、网络和通信安全、应用和数据安全，以及设备和计算安全等安全能力，对业务系统进行全方位的防护。</w:t>
      </w:r>
    </w:p>
    <w:p w14:paraId="6CDDB537">
      <w:pPr>
        <w:ind w:firstLine="480"/>
        <w:rPr>
          <w:rFonts w:hint="eastAsia"/>
          <w:color w:val="000000"/>
        </w:rPr>
      </w:pPr>
      <w:r>
        <w:rPr>
          <w:rFonts w:hint="eastAsia" w:ascii="Songti SC" w:hAnsi="Songti SC" w:eastAsia="Songti SC" w:cs="Songti SC"/>
          <w:color w:val="000000"/>
        </w:rPr>
        <w:t>在密码基础服务层，密码基础服务层利用基础国密或国际密码算法，以及其所支撑的密码硬件设备，为上层提供身份认证、数据加密、操作不可否认、数字证书管理等密码应用所需基础服务。</w:t>
      </w:r>
    </w:p>
    <w:p w14:paraId="107DF06D">
      <w:pPr>
        <w:pStyle w:val="4"/>
        <w:rPr>
          <w:rFonts w:hint="eastAsia"/>
          <w:color w:val="000000"/>
        </w:rPr>
      </w:pPr>
      <w:bookmarkStart w:id="629" w:name="_Toc1740204901"/>
      <w:bookmarkStart w:id="630" w:name="_Toc194326858"/>
      <w:bookmarkStart w:id="631" w:name="_Toc111127810"/>
      <w:bookmarkStart w:id="632" w:name="_Toc692053937"/>
      <w:bookmarkStart w:id="633" w:name="_Toc109942633"/>
      <w:bookmarkStart w:id="634" w:name="_Toc1701618068"/>
      <w:r>
        <w:rPr>
          <w:rFonts w:hint="eastAsia" w:ascii="Songti SC" w:hAnsi="Songti SC" w:eastAsia="Songti SC" w:cs="Songti SC"/>
          <w:color w:val="000000"/>
        </w:rPr>
        <w:t>物理和环境安全</w:t>
      </w:r>
      <w:bookmarkEnd w:id="629"/>
      <w:bookmarkEnd w:id="630"/>
      <w:bookmarkEnd w:id="631"/>
      <w:bookmarkEnd w:id="632"/>
      <w:bookmarkEnd w:id="633"/>
      <w:bookmarkEnd w:id="634"/>
    </w:p>
    <w:p w14:paraId="4A7D395F">
      <w:pPr>
        <w:ind w:firstLine="480"/>
        <w:rPr>
          <w:rFonts w:hint="eastAsia"/>
          <w:color w:val="000000"/>
        </w:rPr>
      </w:pPr>
      <w:r>
        <w:rPr>
          <w:rFonts w:hint="eastAsia" w:ascii="Songti SC" w:hAnsi="Songti SC" w:eastAsia="Songti SC" w:cs="Songti SC"/>
          <w:color w:val="000000"/>
        </w:rPr>
        <w:t>依托于建设单位统筹确定的政务云环境现有的机房环境和办公环境的安全措施，利用电子门禁系统对人员身份进行确认，防止非法人员进入；利用视频监控系统对人员行为进行记录。</w:t>
      </w:r>
    </w:p>
    <w:p w14:paraId="410EDF0F">
      <w:pPr>
        <w:ind w:firstLine="480"/>
        <w:rPr>
          <w:rFonts w:hint="eastAsia"/>
          <w:color w:val="000000"/>
        </w:rPr>
      </w:pPr>
      <w:r>
        <w:rPr>
          <w:rFonts w:hint="eastAsia" w:ascii="Songti SC" w:hAnsi="Songti SC" w:eastAsia="Songti SC" w:cs="Songti SC"/>
          <w:color w:val="000000"/>
        </w:rPr>
        <w:t>物理和环境安全需引用目标云承载方提供的门禁、视频记录及密码保护服务范围，与应用侧计算和数据安全措施分开描述。</w:t>
      </w:r>
    </w:p>
    <w:p w14:paraId="72900B5A">
      <w:pPr>
        <w:ind w:firstLine="480"/>
        <w:rPr>
          <w:rFonts w:hint="eastAsia"/>
          <w:color w:val="000000"/>
        </w:rPr>
      </w:pPr>
      <w:r>
        <w:rPr>
          <w:rFonts w:hint="eastAsia" w:ascii="Songti SC" w:hAnsi="Songti SC" w:eastAsia="Songti SC" w:cs="Songti SC"/>
          <w:color w:val="000000"/>
        </w:rPr>
        <w:t>本项目不自行新增机房视频加密设备；已有云平台报告只作为对应承载环境的材料引用，不据其推定所有应用层措施均已落实。</w:t>
      </w:r>
    </w:p>
    <w:p w14:paraId="1B1071C9">
      <w:pPr>
        <w:pStyle w:val="4"/>
        <w:rPr>
          <w:rFonts w:hint="eastAsia"/>
          <w:color w:val="000000"/>
        </w:rPr>
      </w:pPr>
      <w:bookmarkStart w:id="635" w:name="_Toc579087007"/>
      <w:bookmarkStart w:id="636" w:name="_Toc109942634"/>
      <w:bookmarkStart w:id="637" w:name="_Toc194326859"/>
      <w:bookmarkStart w:id="638" w:name="_Toc1055141777"/>
      <w:bookmarkStart w:id="639" w:name="_Toc1043982614"/>
      <w:bookmarkStart w:id="640" w:name="_Toc111127811"/>
      <w:r>
        <w:rPr>
          <w:rFonts w:hint="eastAsia" w:ascii="Songti SC" w:hAnsi="Songti SC" w:eastAsia="Songti SC" w:cs="Songti SC"/>
          <w:color w:val="000000"/>
        </w:rPr>
        <w:t>网络和通信安全</w:t>
      </w:r>
      <w:bookmarkEnd w:id="635"/>
      <w:bookmarkEnd w:id="636"/>
      <w:bookmarkEnd w:id="637"/>
      <w:bookmarkEnd w:id="638"/>
      <w:bookmarkEnd w:id="639"/>
      <w:bookmarkEnd w:id="640"/>
    </w:p>
    <w:p w14:paraId="60E9E9AF">
      <w:pPr>
        <w:ind w:firstLine="480"/>
        <w:rPr>
          <w:rFonts w:hint="eastAsia"/>
          <w:color w:val="000000"/>
        </w:rPr>
      </w:pPr>
      <w:r>
        <w:rPr>
          <w:rFonts w:hint="eastAsia" w:ascii="Songti SC" w:hAnsi="Songti SC" w:eastAsia="Songti SC" w:cs="Songti SC"/>
          <w:color w:val="000000"/>
        </w:rPr>
        <w:t>外网部分</w:t>
      </w:r>
    </w:p>
    <w:p w14:paraId="08B6CB39">
      <w:pPr>
        <w:ind w:firstLine="482"/>
        <w:rPr>
          <w:rFonts w:hint="eastAsia"/>
          <w:color w:val="000000"/>
        </w:rPr>
      </w:pPr>
      <w:r>
        <w:rPr>
          <w:rFonts w:hint="eastAsia" w:ascii="Songti SC" w:hAnsi="Songti SC" w:eastAsia="Songti SC" w:cs="Songti SC"/>
          <w:b/>
          <w:color w:val="000000"/>
        </w:rPr>
        <w:t>密码产品的主要应用流程</w:t>
      </w:r>
    </w:p>
    <w:p w14:paraId="679F0BB7">
      <w:pPr>
        <w:ind w:firstLine="480"/>
        <w:rPr>
          <w:rFonts w:hint="eastAsia"/>
          <w:color w:val="000000"/>
        </w:rPr>
      </w:pPr>
      <w:r>
        <w:rPr>
          <w:rFonts w:hint="eastAsia" w:ascii="Songti SC" w:hAnsi="Songti SC" w:eastAsia="Songti SC" w:cs="Songti SC"/>
          <w:color w:val="000000"/>
        </w:rPr>
        <w:t>（1)通道建立</w:t>
      </w:r>
    </w:p>
    <w:p w14:paraId="5B916CA8">
      <w:pPr>
        <w:ind w:firstLine="480"/>
        <w:rPr>
          <w:rFonts w:hint="eastAsia"/>
          <w:color w:val="000000"/>
        </w:rPr>
      </w:pPr>
      <w:r>
        <w:rPr>
          <w:rFonts w:hint="eastAsia" w:ascii="Songti SC" w:hAnsi="Songti SC" w:eastAsia="Songti SC" w:cs="Songti SC"/>
          <w:color w:val="000000"/>
        </w:rPr>
        <w:t>充值系统与系统服务端之间通过VPN网关采用SSL协议进行身份认证和密钥协商，建立安全传输信道。</w:t>
      </w:r>
    </w:p>
    <w:p w14:paraId="75024890">
      <w:pPr>
        <w:ind w:firstLine="480"/>
        <w:rPr>
          <w:rFonts w:hint="eastAsia"/>
          <w:color w:val="000000"/>
        </w:rPr>
      </w:pPr>
      <w:r>
        <w:rPr>
          <w:rFonts w:hint="eastAsia" w:ascii="Songti SC" w:hAnsi="Songti SC" w:eastAsia="Songti SC" w:cs="Songti SC"/>
          <w:color w:val="000000"/>
        </w:rPr>
        <w:t>（2)传输数据保护</w:t>
      </w:r>
    </w:p>
    <w:p w14:paraId="73A6ACDA">
      <w:pPr>
        <w:ind w:firstLine="480"/>
        <w:rPr>
          <w:rFonts w:hint="eastAsia"/>
          <w:color w:val="000000"/>
        </w:rPr>
      </w:pPr>
      <w:r>
        <w:rPr>
          <w:rFonts w:hint="eastAsia" w:ascii="Songti SC" w:hAnsi="Songti SC" w:eastAsia="Songti SC" w:cs="Songti SC"/>
          <w:color w:val="000000"/>
        </w:rPr>
        <w:t>VPN网关采用SSL协议对传输的数据进行机密性和完整性的保护。</w:t>
      </w:r>
    </w:p>
    <w:p w14:paraId="5C4220CD">
      <w:pPr>
        <w:ind w:firstLine="480"/>
        <w:rPr>
          <w:rFonts w:hint="eastAsia"/>
          <w:color w:val="000000"/>
        </w:rPr>
      </w:pPr>
      <w:r>
        <w:rPr>
          <w:rFonts w:hint="eastAsia" w:ascii="Songti SC" w:hAnsi="Songti SC" w:eastAsia="Songti SC" w:cs="Songti SC"/>
          <w:color w:val="000000"/>
        </w:rPr>
        <w:t>内外网交互部分</w:t>
      </w:r>
    </w:p>
    <w:p w14:paraId="6FF1512E">
      <w:pPr>
        <w:ind w:firstLine="480"/>
        <w:rPr>
          <w:rFonts w:hint="eastAsia"/>
          <w:color w:val="000000"/>
        </w:rPr>
      </w:pPr>
      <w:r>
        <w:rPr>
          <w:rFonts w:hint="eastAsia" w:ascii="Songti SC" w:hAnsi="Songti SC" w:eastAsia="Songti SC" w:cs="Songti SC"/>
          <w:color w:val="000000"/>
        </w:rPr>
        <w:t>在网络边界处即内网与外网边界部署I</w:t>
      </w:r>
      <w:r>
        <w:rPr>
          <w:rFonts w:ascii="Songti SC" w:hAnsi="Songti SC" w:eastAsia="Songti SC" w:cs="Songti SC"/>
          <w:color w:val="000000"/>
        </w:rPr>
        <w:t>PSecVPN</w:t>
      </w:r>
      <w:r>
        <w:rPr>
          <w:rFonts w:hint="eastAsia" w:ascii="Songti SC" w:hAnsi="Songti SC" w:eastAsia="Songti SC" w:cs="Songti SC"/>
          <w:color w:val="000000"/>
        </w:rPr>
        <w:t>展开跨网隧道加密，在通信前基于密码技术对通信双方进行身份认证，通过信息加密传输防止通信数据被非法截获、假冒和重用，保证传输过程中鉴别信息的机密性和网络设备实体身份的真实性。</w:t>
      </w:r>
    </w:p>
    <w:p w14:paraId="17C44374">
      <w:pPr>
        <w:pStyle w:val="4"/>
        <w:rPr>
          <w:rFonts w:hint="eastAsia"/>
          <w:color w:val="000000"/>
        </w:rPr>
      </w:pPr>
      <w:bookmarkStart w:id="641" w:name="_Toc1274397508"/>
      <w:bookmarkStart w:id="642" w:name="_Toc109942635"/>
      <w:bookmarkStart w:id="643" w:name="_Toc1995372760"/>
      <w:bookmarkStart w:id="644" w:name="_Toc111127812"/>
      <w:bookmarkStart w:id="645" w:name="_Toc194326860"/>
      <w:bookmarkStart w:id="646" w:name="_Toc319438445"/>
      <w:r>
        <w:rPr>
          <w:rFonts w:hint="eastAsia" w:ascii="Songti SC" w:hAnsi="Songti SC" w:eastAsia="Songti SC" w:cs="Songti SC"/>
          <w:color w:val="000000"/>
        </w:rPr>
        <w:t>设备和计算安全</w:t>
      </w:r>
      <w:bookmarkEnd w:id="641"/>
      <w:bookmarkEnd w:id="642"/>
      <w:bookmarkEnd w:id="643"/>
      <w:bookmarkEnd w:id="644"/>
      <w:bookmarkEnd w:id="645"/>
      <w:bookmarkEnd w:id="646"/>
    </w:p>
    <w:p w14:paraId="5F5C88CA">
      <w:pPr>
        <w:ind w:firstLine="480"/>
        <w:rPr>
          <w:rFonts w:hint="eastAsia"/>
          <w:color w:val="000000"/>
        </w:rPr>
      </w:pPr>
      <w:r>
        <w:rPr>
          <w:rFonts w:hint="eastAsia" w:ascii="Songti SC" w:hAnsi="Songti SC" w:eastAsia="Songti SC" w:cs="Songti SC"/>
          <w:color w:val="000000"/>
        </w:rPr>
        <w:t>为系统管理员配发</w:t>
      </w:r>
      <w:r>
        <w:rPr>
          <w:rFonts w:ascii="Songti SC" w:hAnsi="Songti SC" w:eastAsia="Songti SC" w:cs="Songti SC"/>
          <w:color w:val="000000"/>
        </w:rPr>
        <w:t>智能密码钥匙，对登录堡垒机</w:t>
      </w:r>
      <w:r>
        <w:rPr>
          <w:rFonts w:hint="eastAsia" w:ascii="Songti SC" w:hAnsi="Songti SC" w:eastAsia="Songti SC" w:cs="Songti SC"/>
          <w:color w:val="000000"/>
        </w:rPr>
        <w:t>（安全运维管理系统）</w:t>
      </w:r>
      <w:r>
        <w:rPr>
          <w:rFonts w:ascii="Songti SC" w:hAnsi="Songti SC" w:eastAsia="Songti SC" w:cs="Songti SC"/>
          <w:color w:val="000000"/>
        </w:rPr>
        <w:t>用户进行身份鉴别和远程管理身份鉴别信息传输机密性保护，防止非授权人员登录、管理员远程登录身份鉴别信息被非授权窃取。</w:t>
      </w:r>
      <w:r>
        <w:rPr>
          <w:rFonts w:hint="eastAsia" w:ascii="Songti SC" w:hAnsi="Songti SC" w:eastAsia="Songti SC" w:cs="Songti SC"/>
          <w:color w:val="000000"/>
        </w:rPr>
        <w:t>由于安全运维管理系统部署在内网区域，当展开外网设备运维的时候需要通过S</w:t>
      </w:r>
      <w:r>
        <w:rPr>
          <w:rFonts w:ascii="Songti SC" w:hAnsi="Songti SC" w:eastAsia="Songti SC" w:cs="Songti SC"/>
          <w:color w:val="000000"/>
        </w:rPr>
        <w:t>SLVPN</w:t>
      </w:r>
      <w:r>
        <w:rPr>
          <w:rFonts w:hint="eastAsia" w:ascii="Songti SC" w:hAnsi="Songti SC" w:eastAsia="Songti SC" w:cs="Songti SC"/>
          <w:color w:val="000000"/>
        </w:rPr>
        <w:t>结合智能密码钥匙的方式展开身份认证。</w:t>
      </w:r>
    </w:p>
    <w:p w14:paraId="7BF88A71">
      <w:pPr>
        <w:ind w:firstLine="480"/>
        <w:rPr>
          <w:rFonts w:hint="eastAsia"/>
          <w:color w:val="000000"/>
        </w:rPr>
      </w:pPr>
      <w:r>
        <w:rPr>
          <w:rFonts w:hint="eastAsia" w:ascii="Songti SC" w:hAnsi="Songti SC" w:eastAsia="Songti SC" w:cs="Songti SC"/>
          <w:color w:val="000000"/>
        </w:rPr>
        <w:t>在内网密码服务区部署符合</w:t>
      </w:r>
      <w:r>
        <w:rPr>
          <w:rFonts w:ascii="Songti SC" w:hAnsi="Songti SC" w:eastAsia="Songti SC" w:cs="Songti SC"/>
          <w:color w:val="000000"/>
        </w:rPr>
        <w:t>GM/T0030-2014《服务器密码机技术规范》的服务器密码机，使用HMAC-SM3对应用服务器、数据库服务器等设备日志进行完整性保护。</w:t>
      </w:r>
    </w:p>
    <w:p w14:paraId="08E401D2">
      <w:pPr>
        <w:ind w:firstLine="480"/>
        <w:rPr>
          <w:rFonts w:hint="eastAsia"/>
          <w:color w:val="000000"/>
        </w:rPr>
      </w:pPr>
      <w:r>
        <w:rPr>
          <w:rFonts w:hint="eastAsia" w:ascii="Songti SC" w:hAnsi="Songti SC" w:eastAsia="Songti SC" w:cs="Songti SC"/>
          <w:color w:val="000000"/>
        </w:rPr>
        <w:t>在内网部署带签名验签服务器，为每台设备计算设备、安全设备以及密码设备生成</w:t>
      </w:r>
      <w:r>
        <w:rPr>
          <w:rFonts w:ascii="Songti SC" w:hAnsi="Songti SC" w:eastAsia="Songti SC" w:cs="Songti SC"/>
          <w:color w:val="000000"/>
        </w:rPr>
        <w:t>SM2根密钥。对系统镜像、应用镜像等重要程序施加SM2数字签名，保证重要程序和文件的完整性。</w:t>
      </w:r>
    </w:p>
    <w:p w14:paraId="2E269701">
      <w:pPr>
        <w:ind w:firstLine="480"/>
        <w:rPr>
          <w:rFonts w:hint="eastAsia"/>
          <w:color w:val="000000"/>
        </w:rPr>
      </w:pPr>
      <w:r>
        <w:rPr>
          <w:rFonts w:hint="eastAsia" w:ascii="Songti SC" w:hAnsi="Songti SC" w:eastAsia="Songti SC" w:cs="Songti SC"/>
          <w:color w:val="000000"/>
        </w:rPr>
        <w:t>系统通过调用签名验签服务器S</w:t>
      </w:r>
      <w:r>
        <w:rPr>
          <w:rFonts w:ascii="Songti SC" w:hAnsi="Songti SC" w:eastAsia="Songti SC" w:cs="Songti SC"/>
          <w:color w:val="000000"/>
        </w:rPr>
        <w:t>M3</w:t>
      </w:r>
      <w:r>
        <w:rPr>
          <w:rFonts w:hint="eastAsia" w:ascii="Songti SC" w:hAnsi="Songti SC" w:eastAsia="Songti SC" w:cs="Songti SC"/>
          <w:color w:val="000000"/>
        </w:rPr>
        <w:t>完整性算法针对系统日志L</w:t>
      </w:r>
      <w:r>
        <w:rPr>
          <w:rFonts w:ascii="Songti SC" w:hAnsi="Songti SC" w:eastAsia="Songti SC" w:cs="Songti SC"/>
          <w:color w:val="000000"/>
        </w:rPr>
        <w:t>OG</w:t>
      </w:r>
      <w:r>
        <w:rPr>
          <w:rFonts w:hint="eastAsia" w:ascii="Songti SC" w:hAnsi="Songti SC" w:eastAsia="Songti SC" w:cs="Songti SC"/>
          <w:color w:val="000000"/>
        </w:rPr>
        <w:t>信息进行完整性保护。</w:t>
      </w:r>
    </w:p>
    <w:p w14:paraId="197BC04E">
      <w:pPr>
        <w:ind w:firstLine="480"/>
        <w:rPr>
          <w:rFonts w:hint="eastAsia"/>
          <w:color w:val="000000"/>
        </w:rPr>
      </w:pPr>
      <w:r>
        <w:rPr>
          <w:rFonts w:hint="eastAsia" w:ascii="Songti SC" w:hAnsi="Songti SC" w:eastAsia="Songti SC" w:cs="Songti SC"/>
          <w:color w:val="000000"/>
        </w:rPr>
        <w:t>设备和计算安全层面所使用的密码算法、密码技术、密码服务、密钥管理由安全浏览器、符合</w:t>
      </w:r>
      <w:r>
        <w:rPr>
          <w:rFonts w:ascii="Songti SC" w:hAnsi="Songti SC" w:eastAsia="Songti SC" w:cs="Songti SC"/>
          <w:color w:val="000000"/>
        </w:rPr>
        <w:t>GM/T0030-2014《服务器密码机技术规范》、GM/T0027-2014《智能密码钥匙技术规范》、GM/T0028-2014《密码模块安全技术要求》的智能密码钥匙、服务器密码机</w:t>
      </w:r>
      <w:r>
        <w:rPr>
          <w:rFonts w:hint="eastAsia" w:ascii="Songti SC" w:hAnsi="Songti SC" w:eastAsia="Songti SC" w:cs="Songti SC"/>
          <w:color w:val="000000"/>
        </w:rPr>
        <w:t>等</w:t>
      </w:r>
      <w:r>
        <w:rPr>
          <w:rFonts w:ascii="Songti SC" w:hAnsi="Songti SC" w:eastAsia="Songti SC" w:cs="Songti SC"/>
          <w:color w:val="000000"/>
        </w:rPr>
        <w:t>实现</w:t>
      </w:r>
      <w:r>
        <w:rPr>
          <w:rFonts w:hint="eastAsia" w:ascii="Songti SC" w:hAnsi="Songti SC" w:eastAsia="Songti SC" w:cs="Songti SC"/>
          <w:color w:val="000000"/>
        </w:rPr>
        <w:t>。</w:t>
      </w:r>
    </w:p>
    <w:p w14:paraId="3B8D39FE">
      <w:pPr>
        <w:pStyle w:val="4"/>
        <w:rPr>
          <w:rFonts w:hint="eastAsia"/>
          <w:color w:val="000000"/>
        </w:rPr>
      </w:pPr>
      <w:bookmarkStart w:id="647" w:name="_Toc111127813"/>
      <w:bookmarkStart w:id="648" w:name="_Toc1125345768"/>
      <w:bookmarkStart w:id="649" w:name="_Toc194326861"/>
      <w:bookmarkStart w:id="650" w:name="_Toc1944505425"/>
      <w:bookmarkStart w:id="651" w:name="_Toc109942636"/>
      <w:bookmarkStart w:id="652" w:name="_Toc92827615"/>
      <w:r>
        <w:rPr>
          <w:rFonts w:hint="eastAsia" w:ascii="Songti SC" w:hAnsi="Songti SC" w:eastAsia="Songti SC" w:cs="Songti SC"/>
          <w:color w:val="000000"/>
        </w:rPr>
        <w:t>应用和数据安全</w:t>
      </w:r>
      <w:bookmarkEnd w:id="647"/>
      <w:bookmarkEnd w:id="648"/>
      <w:bookmarkEnd w:id="649"/>
      <w:bookmarkEnd w:id="650"/>
      <w:bookmarkEnd w:id="651"/>
      <w:bookmarkEnd w:id="652"/>
    </w:p>
    <w:p w14:paraId="33F68DF4">
      <w:pPr>
        <w:ind w:firstLine="480"/>
        <w:rPr>
          <w:rFonts w:hint="eastAsia"/>
          <w:color w:val="000000"/>
        </w:rPr>
      </w:pPr>
      <w:r>
        <w:rPr>
          <w:rFonts w:hint="eastAsia" w:ascii="Songti SC" w:hAnsi="Songti SC" w:eastAsia="Songti SC" w:cs="Songti SC"/>
          <w:color w:val="000000"/>
        </w:rPr>
        <w:t>在内网密码服务区部署签名验签服务器、身份认证系统提供数据传输过程加解密服务以及证书服务。</w:t>
      </w:r>
    </w:p>
    <w:p w14:paraId="14B0AAD3">
      <w:pPr>
        <w:ind w:firstLine="480"/>
        <w:rPr>
          <w:rFonts w:hint="eastAsia"/>
          <w:color w:val="000000"/>
        </w:rPr>
      </w:pPr>
      <w:r>
        <w:rPr>
          <w:rFonts w:hint="eastAsia" w:ascii="Songti SC" w:hAnsi="Songti SC" w:eastAsia="Songti SC" w:cs="Songti SC"/>
          <w:color w:val="000000"/>
        </w:rPr>
        <w:t>1、充值系统管理端操作员身份认证</w:t>
      </w:r>
    </w:p>
    <w:p w14:paraId="58962AAE">
      <w:pPr>
        <w:ind w:firstLine="480"/>
        <w:rPr>
          <w:rFonts w:hint="eastAsia"/>
          <w:color w:val="000000"/>
        </w:rPr>
      </w:pPr>
      <w:r>
        <w:rPr>
          <w:rFonts w:hint="eastAsia" w:ascii="Songti SC" w:hAnsi="Songti SC" w:eastAsia="Songti SC" w:cs="Songti SC"/>
          <w:color w:val="000000"/>
        </w:rPr>
        <w:t>充值系统管理端操作员登录采用</w:t>
      </w:r>
      <w:r>
        <w:rPr>
          <w:rFonts w:ascii="Songti SC" w:hAnsi="Songti SC" w:eastAsia="Songti SC" w:cs="Songti SC"/>
          <w:color w:val="000000"/>
        </w:rPr>
        <w:t>SM2数字证书+口令的“双因子”认证方式，</w:t>
      </w:r>
      <w:r>
        <w:rPr>
          <w:rFonts w:hint="eastAsia" w:ascii="Songti SC" w:hAnsi="Songti SC" w:eastAsia="Songti SC" w:cs="Songti SC"/>
          <w:color w:val="000000"/>
        </w:rPr>
        <w:t>密码服务区</w:t>
      </w:r>
      <w:r>
        <w:rPr>
          <w:rFonts w:ascii="Songti SC" w:hAnsi="Songti SC" w:eastAsia="Songti SC" w:cs="Songti SC"/>
          <w:color w:val="000000"/>
        </w:rPr>
        <w:t>部署</w:t>
      </w:r>
      <w:r>
        <w:rPr>
          <w:rFonts w:hint="eastAsia" w:ascii="Songti SC" w:hAnsi="Songti SC" w:eastAsia="Songti SC" w:cs="Songti SC"/>
          <w:color w:val="000000"/>
        </w:rPr>
        <w:t>带</w:t>
      </w:r>
      <w:r>
        <w:rPr>
          <w:rFonts w:ascii="Songti SC" w:hAnsi="Songti SC" w:eastAsia="Songti SC" w:cs="Songti SC"/>
          <w:color w:val="000000"/>
        </w:rPr>
        <w:t>签名验签服务器，应用系统调用签名验签服务验证对</w:t>
      </w:r>
      <w:r>
        <w:rPr>
          <w:rFonts w:hint="eastAsia" w:ascii="Songti SC" w:hAnsi="Songti SC" w:eastAsia="Songti SC" w:cs="Songti SC"/>
          <w:color w:val="000000"/>
        </w:rPr>
        <w:t>登录</w:t>
      </w:r>
      <w:r>
        <w:rPr>
          <w:rFonts w:ascii="Songti SC" w:hAnsi="Songti SC" w:eastAsia="Songti SC" w:cs="Songti SC"/>
          <w:color w:val="000000"/>
        </w:rPr>
        <w:t>用户证书进行验签。用户侧对登录用户配发智能密码钥匙，</w:t>
      </w:r>
      <w:r>
        <w:rPr>
          <w:rFonts w:hint="eastAsia" w:ascii="Songti SC" w:hAnsi="Songti SC" w:eastAsia="Songti SC" w:cs="Songti SC"/>
          <w:color w:val="000000"/>
        </w:rPr>
        <w:t>预制</w:t>
      </w:r>
      <w:r>
        <w:rPr>
          <w:rFonts w:ascii="Songti SC" w:hAnsi="Songti SC" w:eastAsia="Songti SC" w:cs="Songti SC"/>
          <w:color w:val="000000"/>
        </w:rPr>
        <w:t>存储个人数字证书及SM2公私钥对</w:t>
      </w:r>
      <w:r>
        <w:rPr>
          <w:rFonts w:hint="eastAsia" w:ascii="Songti SC" w:hAnsi="Songti SC" w:eastAsia="Songti SC" w:cs="Songti SC"/>
          <w:color w:val="000000"/>
        </w:rPr>
        <w:t>，完成充值操作员身份认证。</w:t>
      </w:r>
    </w:p>
    <w:p w14:paraId="13F040BC">
      <w:pPr>
        <w:ind w:firstLine="480"/>
        <w:rPr>
          <w:rFonts w:hint="eastAsia"/>
          <w:color w:val="000000"/>
        </w:rPr>
      </w:pPr>
      <w:r>
        <w:rPr>
          <w:rFonts w:hint="eastAsia" w:ascii="Songti SC" w:hAnsi="Songti SC" w:eastAsia="Songti SC" w:cs="Songti SC"/>
          <w:color w:val="000000"/>
        </w:rPr>
        <w:t>2、数据传输加解密</w:t>
      </w:r>
    </w:p>
    <w:p w14:paraId="02F038E1">
      <w:pPr>
        <w:ind w:firstLine="480"/>
        <w:rPr>
          <w:rFonts w:hint="eastAsia"/>
          <w:color w:val="000000"/>
        </w:rPr>
      </w:pPr>
      <w:r>
        <w:rPr>
          <w:rFonts w:hint="eastAsia" w:ascii="Songti SC" w:hAnsi="Songti SC" w:eastAsia="Songti SC" w:cs="Songti SC"/>
          <w:color w:val="000000"/>
        </w:rPr>
        <w:t>（1）当充值人员通过公众号或小程序打开在充值系统服务时候，程序自动调取S</w:t>
      </w:r>
      <w:r>
        <w:rPr>
          <w:rFonts w:ascii="Songti SC" w:hAnsi="Songti SC" w:eastAsia="Songti SC" w:cs="Songti SC"/>
          <w:color w:val="000000"/>
        </w:rPr>
        <w:t>SLVPN</w:t>
      </w:r>
      <w:r>
        <w:rPr>
          <w:rFonts w:hint="eastAsia" w:ascii="Songti SC" w:hAnsi="Songti SC" w:eastAsia="Songti SC" w:cs="Songti SC"/>
          <w:color w:val="000000"/>
        </w:rPr>
        <w:t>嵌入服务与远程V</w:t>
      </w:r>
      <w:r>
        <w:rPr>
          <w:rFonts w:ascii="Songti SC" w:hAnsi="Songti SC" w:eastAsia="Songti SC" w:cs="Songti SC"/>
          <w:color w:val="000000"/>
        </w:rPr>
        <w:t>PN</w:t>
      </w:r>
      <w:r>
        <w:rPr>
          <w:rFonts w:hint="eastAsia" w:ascii="Songti SC" w:hAnsi="Songti SC" w:eastAsia="Songti SC" w:cs="Songti SC"/>
          <w:color w:val="000000"/>
        </w:rPr>
        <w:t>服务器通信建立安全通信隧道。</w:t>
      </w:r>
    </w:p>
    <w:p w14:paraId="54C2B547">
      <w:pPr>
        <w:ind w:firstLine="480"/>
        <w:rPr>
          <w:rFonts w:hint="eastAsia"/>
          <w:color w:val="000000"/>
        </w:rPr>
      </w:pPr>
      <w:r>
        <w:rPr>
          <w:rFonts w:hint="eastAsia" w:ascii="Songti SC" w:hAnsi="Songti SC" w:eastAsia="Songti SC" w:cs="Songti SC"/>
          <w:color w:val="000000"/>
        </w:rPr>
        <w:t>（3）展开充值服务时，生成SM4算法和密钥对传输的数据进行对称加密，使用SM2算法和服务端证书管理系统加密证书形成数字信封；</w:t>
      </w:r>
    </w:p>
    <w:p w14:paraId="4CB13EB5">
      <w:pPr>
        <w:ind w:firstLine="480"/>
        <w:rPr>
          <w:rFonts w:hint="eastAsia"/>
          <w:color w:val="000000"/>
        </w:rPr>
      </w:pPr>
      <w:r>
        <w:rPr>
          <w:rFonts w:hint="eastAsia" w:ascii="Songti SC" w:hAnsi="Songti SC" w:eastAsia="Songti SC" w:cs="Songti SC"/>
          <w:color w:val="000000"/>
        </w:rPr>
        <w:t>（</w:t>
      </w:r>
      <w:r>
        <w:rPr>
          <w:rFonts w:ascii="Songti SC" w:hAnsi="Songti SC" w:eastAsia="Songti SC" w:cs="Songti SC"/>
          <w:color w:val="000000"/>
        </w:rPr>
        <w:t>4</w:t>
      </w:r>
      <w:r>
        <w:rPr>
          <w:rFonts w:hint="eastAsia" w:ascii="Songti SC" w:hAnsi="Songti SC" w:eastAsia="Songti SC" w:cs="Songti SC"/>
          <w:color w:val="000000"/>
        </w:rPr>
        <w:t>）将密文和数字信封通过网络传输发送给后台业务服务器；</w:t>
      </w:r>
    </w:p>
    <w:p w14:paraId="46BF9566">
      <w:pPr>
        <w:ind w:firstLine="480"/>
        <w:rPr>
          <w:rFonts w:hint="eastAsia"/>
          <w:color w:val="000000"/>
        </w:rPr>
      </w:pPr>
      <w:r>
        <w:rPr>
          <w:rFonts w:hint="eastAsia" w:ascii="Songti SC" w:hAnsi="Songti SC" w:eastAsia="Songti SC" w:cs="Songti SC"/>
          <w:color w:val="000000"/>
        </w:rPr>
        <w:t>（</w:t>
      </w:r>
      <w:r>
        <w:rPr>
          <w:rFonts w:ascii="Songti SC" w:hAnsi="Songti SC" w:eastAsia="Songti SC" w:cs="Songti SC"/>
          <w:color w:val="000000"/>
        </w:rPr>
        <w:t>5</w:t>
      </w:r>
      <w:r>
        <w:rPr>
          <w:rFonts w:hint="eastAsia" w:ascii="Songti SC" w:hAnsi="Songti SC" w:eastAsia="Songti SC" w:cs="Songti SC"/>
          <w:color w:val="000000"/>
        </w:rPr>
        <w:t>）后台业务服务器调用带签名验签服务器，使用SM2算法和SM4算法对数字信封和密文进行解密，得到传输数据原文。</w:t>
      </w:r>
    </w:p>
    <w:p w14:paraId="3ED33642">
      <w:pPr>
        <w:ind w:firstLine="480"/>
        <w:rPr>
          <w:rFonts w:hint="eastAsia"/>
          <w:color w:val="000000"/>
        </w:rPr>
      </w:pPr>
      <w:r>
        <w:rPr>
          <w:rFonts w:hint="eastAsia" w:ascii="Songti SC" w:hAnsi="Songti SC" w:eastAsia="Songti SC" w:cs="Songti SC"/>
          <w:color w:val="000000"/>
        </w:rPr>
        <w:t>3、日志数据加密逻辑</w:t>
      </w:r>
    </w:p>
    <w:p w14:paraId="47D55167">
      <w:pPr>
        <w:ind w:firstLine="480"/>
        <w:rPr>
          <w:rFonts w:hint="eastAsia"/>
          <w:color w:val="000000"/>
        </w:rPr>
      </w:pPr>
      <w:r>
        <w:rPr>
          <w:rFonts w:hint="eastAsia" w:ascii="Songti SC" w:hAnsi="Songti SC" w:eastAsia="Songti SC" w:cs="Songti SC"/>
          <w:color w:val="000000"/>
        </w:rPr>
        <w:t>通过在密钥管理系统控制台上创建主密钥CMK，并授权日志服务相应的权限。日志服务调用KMS接口时，使用该CMK创建用于数据加密的密钥。完成数据加解密服务。</w:t>
      </w:r>
    </w:p>
    <w:p w14:paraId="5DA0A493">
      <w:pPr>
        <w:ind w:firstLine="480"/>
        <w:rPr>
          <w:rFonts w:hint="eastAsia"/>
          <w:color w:val="000000"/>
        </w:rPr>
      </w:pPr>
      <w:r>
        <w:rPr>
          <w:rFonts w:hint="eastAsia" w:ascii="Songti SC" w:hAnsi="Songti SC" w:eastAsia="Songti SC" w:cs="Songti SC"/>
          <w:color w:val="000000"/>
        </w:rPr>
        <w:t>4、重要数据的加密保护</w:t>
      </w:r>
    </w:p>
    <w:p w14:paraId="76D6722B">
      <w:pPr>
        <w:ind w:firstLine="480"/>
        <w:rPr>
          <w:rFonts w:hint="eastAsia"/>
          <w:color w:val="000000"/>
        </w:rPr>
      </w:pPr>
      <w:r>
        <w:rPr>
          <w:rFonts w:hint="eastAsia" w:ascii="Songti SC" w:hAnsi="Songti SC" w:eastAsia="Songti SC" w:cs="Songti SC"/>
          <w:color w:val="000000"/>
        </w:rPr>
        <w:t>充值系统通过调用服务器密码机生成加密密钥SM4以SM3完整性校验密钥，调用加密密钥展开充值数据、用户数据以及其他重要数据的传输过程以及存储过程中的加密保护，保障机密性；调用S</w:t>
      </w:r>
      <w:r>
        <w:rPr>
          <w:rFonts w:ascii="Songti SC" w:hAnsi="Songti SC" w:eastAsia="Songti SC" w:cs="Songti SC"/>
          <w:color w:val="000000"/>
        </w:rPr>
        <w:t>M3</w:t>
      </w:r>
      <w:r>
        <w:rPr>
          <w:rFonts w:hint="eastAsia" w:ascii="Songti SC" w:hAnsi="Songti SC" w:eastAsia="Songti SC" w:cs="Songti SC"/>
          <w:color w:val="000000"/>
        </w:rPr>
        <w:t>完整性校验密钥计算hash值，确认唯一性属性。保障充值数据、用户数据以及其他重要数据的传输过程以及存储过程中的完整性。</w:t>
      </w:r>
    </w:p>
    <w:p w14:paraId="1BE6C280">
      <w:pPr>
        <w:pStyle w:val="4"/>
        <w:rPr>
          <w:rFonts w:hint="eastAsia"/>
          <w:color w:val="000000"/>
        </w:rPr>
      </w:pPr>
      <w:bookmarkStart w:id="653" w:name="_Toc896537929"/>
      <w:bookmarkStart w:id="654" w:name="_Toc1080597583"/>
      <w:bookmarkStart w:id="655" w:name="_Toc111127814"/>
      <w:bookmarkStart w:id="656" w:name="_Toc109942637"/>
      <w:bookmarkStart w:id="657" w:name="_Toc194326862"/>
      <w:bookmarkStart w:id="658" w:name="_Toc797843647"/>
      <w:r>
        <w:rPr>
          <w:rFonts w:hint="eastAsia" w:ascii="Songti SC" w:hAnsi="Songti SC" w:eastAsia="Songti SC" w:cs="Songti SC"/>
          <w:color w:val="000000"/>
        </w:rPr>
        <w:t>密钥管理安全</w:t>
      </w:r>
      <w:bookmarkEnd w:id="653"/>
      <w:bookmarkEnd w:id="654"/>
      <w:bookmarkEnd w:id="655"/>
      <w:bookmarkEnd w:id="656"/>
      <w:bookmarkEnd w:id="657"/>
      <w:bookmarkEnd w:id="658"/>
    </w:p>
    <w:p w14:paraId="7EC06B1C">
      <w:pPr>
        <w:ind w:firstLine="480"/>
        <w:rPr>
          <w:rFonts w:hint="eastAsia"/>
          <w:color w:val="000000"/>
        </w:rPr>
      </w:pPr>
      <w:r>
        <w:rPr>
          <w:rFonts w:hint="eastAsia" w:ascii="Songti SC" w:hAnsi="Songti SC" w:eastAsia="Songti SC" w:cs="Songti SC"/>
          <w:color w:val="000000"/>
        </w:rPr>
        <w:t>在密码服务区部署两套密钥管理系统KMS，互为主备，包括密钥的生成、存储、分发、导入、导出、使用、备份、恢复、归档与销毁等环节通过统一的密钥管理系统实现。</w:t>
      </w:r>
    </w:p>
    <w:p w14:paraId="36D9FD5F">
      <w:pPr>
        <w:pStyle w:val="5"/>
        <w:rPr>
          <w:rFonts w:hint="eastAsia"/>
          <w:color w:val="000000"/>
        </w:rPr>
      </w:pPr>
      <w:r>
        <w:rPr>
          <w:rFonts w:hint="eastAsia" w:ascii="Songti SC" w:hAnsi="Songti SC" w:eastAsia="Songti SC" w:cs="Songti SC"/>
          <w:color w:val="000000"/>
        </w:rPr>
        <w:t>密钥安全设计背景</w:t>
      </w:r>
    </w:p>
    <w:p w14:paraId="63D9E413">
      <w:pPr>
        <w:ind w:firstLine="480"/>
        <w:rPr>
          <w:rFonts w:hint="eastAsia"/>
          <w:color w:val="000000"/>
        </w:rPr>
      </w:pPr>
      <w:r>
        <w:rPr>
          <w:rFonts w:hint="eastAsia" w:ascii="Songti SC" w:hAnsi="Songti SC" w:eastAsia="Songti SC" w:cs="Songti SC"/>
          <w:color w:val="000000"/>
        </w:rPr>
        <w:t>密钥管理是设计安全的密码系统所必须考虑的重要问题，数据加密、验证和签名等需要管理大量的密钥，这些密钥经加密后以密文形式发送给合法用户。本办法参考国内组织有关密钥管理的知识、经验和相关标准编写。</w:t>
      </w:r>
    </w:p>
    <w:p w14:paraId="390FA071">
      <w:pPr>
        <w:pStyle w:val="5"/>
        <w:rPr>
          <w:rFonts w:hint="eastAsia"/>
          <w:color w:val="000000"/>
        </w:rPr>
      </w:pPr>
      <w:r>
        <w:rPr>
          <w:rFonts w:hint="eastAsia" w:ascii="Songti SC" w:hAnsi="Songti SC" w:eastAsia="Songti SC" w:cs="Songti SC"/>
          <w:color w:val="000000"/>
        </w:rPr>
        <w:t>密钥体系管理</w:t>
      </w:r>
    </w:p>
    <w:p w14:paraId="278AEC57">
      <w:pPr>
        <w:ind w:firstLine="480"/>
        <w:rPr>
          <w:rFonts w:hint="eastAsia"/>
          <w:color w:val="000000"/>
        </w:rPr>
      </w:pPr>
      <w:r>
        <w:rPr>
          <w:rFonts w:hint="eastAsia" w:ascii="Songti SC" w:hAnsi="Songti SC" w:eastAsia="Songti SC" w:cs="Songti SC"/>
          <w:color w:val="000000"/>
        </w:rPr>
        <w:t>密钥根据实际使用情况划分成三层，三层密钥体系根据密钥的使用对象而形成，上层对下层提供保护和一定的维护功能，不同层的密钥不相同，且不能相互共享。加密机主密钥（</w:t>
      </w:r>
      <w:r>
        <w:rPr>
          <w:rFonts w:ascii="Songti SC" w:hAnsi="Songti SC" w:eastAsia="Songti SC" w:cs="Songti SC"/>
          <w:color w:val="000000"/>
        </w:rPr>
        <w:t>MK</w:t>
      </w:r>
      <w:r>
        <w:rPr>
          <w:rFonts w:hint="eastAsia" w:ascii="Songti SC" w:hAnsi="Songti SC" w:eastAsia="Songti SC" w:cs="Songti SC"/>
          <w:color w:val="000000"/>
        </w:rPr>
        <w:t>），即本地主密钥是最重要的密钥，施行最高级别或最严格的管理。成员机构主密钥（</w:t>
      </w:r>
      <w:r>
        <w:rPr>
          <w:rFonts w:ascii="Songti SC" w:hAnsi="Songti SC" w:eastAsia="Songti SC" w:cs="Songti SC"/>
          <w:color w:val="000000"/>
        </w:rPr>
        <w:t>MMK</w:t>
      </w:r>
      <w:r>
        <w:rPr>
          <w:rFonts w:hint="eastAsia" w:ascii="Songti SC" w:hAnsi="Songti SC" w:eastAsia="Songti SC" w:cs="Songti SC"/>
          <w:color w:val="000000"/>
        </w:rPr>
        <w:t>）[或终端主密钥（TMK）]在硬件加密机以外的系统中存放和使用，处于本地MK的保护之下。由于成员机构主密钥是参与交易双方机构共同生成且各自保存（或因地域原因交易机构完整持有成员主密钥组件），因此安全性存在互动、相互影响，同时更新频率较低，因此是最有可能被泄漏和攻击的密钥，需要相关方的共同维护与重视。工作密钥为最底层的密钥，因其数量庞大，需要用一定的管理设备（如终端密钥注入设备）加以辅助来确保安全，以下是</w:t>
      </w:r>
      <w:r>
        <w:rPr>
          <w:rFonts w:ascii="Songti SC" w:hAnsi="Songti SC" w:eastAsia="Songti SC" w:cs="Songti SC"/>
          <w:color w:val="000000"/>
        </w:rPr>
        <w:t>三级密钥体制</w:t>
      </w:r>
      <w:r>
        <w:rPr>
          <w:rFonts w:hint="eastAsia" w:ascii="Songti SC" w:hAnsi="Songti SC" w:eastAsia="Songti SC" w:cs="Songti SC"/>
          <w:color w:val="000000"/>
        </w:rPr>
        <w:t>示意图。</w:t>
      </w:r>
    </w:p>
    <w:p w14:paraId="17997E8E">
      <w:pPr>
        <w:pStyle w:val="115"/>
        <w:rPr>
          <w:rFonts w:hint="eastAsia"/>
          <w:color w:val="000000"/>
        </w:rPr>
      </w:pPr>
      <w:r>
        <w:rPr>
          <w:rFonts w:ascii="Songti SC" w:hAnsi="Songti SC" w:eastAsia="Songti SC" w:cs="Songti SC"/>
          <w:color w:val="000000"/>
        </w:rPr>
        <w:drawing>
          <wp:inline distT="0" distB="0" distL="0" distR="0">
            <wp:extent cx="1920240" cy="2413000"/>
            <wp:effectExtent l="0" t="0" r="3810" b="6350"/>
            <wp:docPr id="2" name="图片 2" descr="这里写图片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这里写图片描述"/>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a:xfrm>
                      <a:off x="0" y="0"/>
                      <a:ext cx="1928812" cy="2423984"/>
                    </a:xfrm>
                    <a:prstGeom prst="rect">
                      <a:avLst/>
                    </a:prstGeom>
                    <a:noFill/>
                    <a:ln>
                      <a:noFill/>
                    </a:ln>
                  </pic:spPr>
                </pic:pic>
              </a:graphicData>
            </a:graphic>
          </wp:inline>
        </w:drawing>
      </w:r>
    </w:p>
    <w:p w14:paraId="7698C2DB">
      <w:pPr>
        <w:pStyle w:val="14"/>
        <w:rPr>
          <w:rFonts w:hint="eastAsia"/>
          <w:color w:val="000000"/>
        </w:rPr>
      </w:pPr>
      <w:bookmarkStart w:id="659" w:name="_Toc194255043"/>
      <w:r>
        <w:rPr>
          <w:rFonts w:hint="eastAsia" w:ascii="Songti SC" w:hAnsi="Songti SC" w:eastAsia="Songti SC" w:cs="Songti SC"/>
          <w:color w:val="000000"/>
        </w:rPr>
        <w:t>图</w:t>
      </w:r>
      <w:r>
        <w:rPr>
          <w:rFonts w:ascii="Songti SC" w:hAnsi="Songti SC" w:eastAsia="Songti SC" w:cs="Songti SC"/>
          <w:color w:val="000000"/>
        </w:rPr>
        <w:fldChar w:fldCharType="begin"/>
      </w:r>
      <w:r>
        <w:rPr>
          <w:rFonts w:ascii="Songti SC" w:hAnsi="Songti SC" w:eastAsia="Songti SC" w:cs="Songti SC"/>
          <w:color w:val="000000"/>
        </w:rPr>
        <w:instrText xml:space="preserve"> </w:instrText>
      </w:r>
      <w:r>
        <w:rPr>
          <w:rFonts w:hint="eastAsia" w:ascii="Songti SC" w:hAnsi="Songti SC" w:eastAsia="Songti SC" w:cs="Songti SC"/>
          <w:color w:val="000000"/>
        </w:rPr>
        <w:instrText xml:space="preserve">STYLEREF 1 \s</w:instrText>
      </w:r>
      <w:r>
        <w:rPr>
          <w:rFonts w:ascii="Songti SC" w:hAnsi="Songti SC" w:eastAsia="Songti SC" w:cs="Songti SC"/>
          <w:color w:val="000000"/>
        </w:rPr>
        <w:instrText xml:space="preserve"> </w:instrText>
      </w:r>
      <w:r>
        <w:rPr>
          <w:rFonts w:ascii="Songti SC" w:hAnsi="Songti SC" w:eastAsia="Songti SC" w:cs="Songti SC"/>
          <w:color w:val="000000"/>
        </w:rPr>
        <w:fldChar w:fldCharType="separate"/>
      </w:r>
      <w:r>
        <w:rPr>
          <w:rFonts w:hint="eastAsia" w:ascii="Songti SC" w:hAnsi="Songti SC" w:eastAsia="Songti SC" w:cs="Songti SC"/>
          <w:color w:val="000000"/>
        </w:rPr>
        <w:t>6</w:t>
      </w:r>
      <w:r>
        <w:rPr>
          <w:rFonts w:ascii="Songti SC" w:hAnsi="Songti SC" w:eastAsia="Songti SC" w:cs="Songti SC"/>
          <w:color w:val="000000"/>
        </w:rPr>
        <w:fldChar w:fldCharType="end"/>
      </w:r>
      <w:r>
        <w:rPr>
          <w:rFonts w:ascii="Songti SC" w:hAnsi="Songti SC" w:eastAsia="Songti SC" w:cs="Songti SC"/>
          <w:color w:val="000000"/>
        </w:rPr>
        <w:t>.</w:t>
      </w:r>
      <w:r>
        <w:rPr>
          <w:rFonts w:hint="eastAsia" w:ascii="Songti SC" w:hAnsi="Songti SC" w:eastAsia="Songti SC" w:cs="Songti SC"/>
          <w:color w:val="000000"/>
        </w:rPr>
        <w:t>6三级密钥管理体系</w:t>
      </w:r>
      <w:bookmarkEnd w:id="659"/>
    </w:p>
    <w:p w14:paraId="5D785161">
      <w:pPr>
        <w:ind w:firstLine="480"/>
        <w:rPr>
          <w:rFonts w:hint="eastAsia"/>
          <w:color w:val="000000"/>
        </w:rPr>
      </w:pPr>
      <w:r>
        <w:rPr>
          <w:rFonts w:hint="eastAsia" w:ascii="Songti SC" w:hAnsi="Songti SC" w:eastAsia="Songti SC" w:cs="Songti SC"/>
          <w:color w:val="000000"/>
        </w:rPr>
        <w:t>1）</w:t>
      </w:r>
      <w:r>
        <w:rPr>
          <w:rFonts w:ascii="Songti SC" w:hAnsi="Songti SC" w:eastAsia="Songti SC" w:cs="Songti SC"/>
          <w:color w:val="000000"/>
        </w:rPr>
        <w:t>主密钥用于加密密钥交换密钥和数据密钥作本地存储；</w:t>
      </w:r>
    </w:p>
    <w:p w14:paraId="6BD6DFF6">
      <w:pPr>
        <w:ind w:firstLine="480"/>
        <w:rPr>
          <w:rFonts w:hint="eastAsia"/>
          <w:color w:val="000000"/>
        </w:rPr>
      </w:pPr>
      <w:r>
        <w:rPr>
          <w:rFonts w:hint="eastAsia" w:ascii="Songti SC" w:hAnsi="Songti SC" w:eastAsia="Songti SC" w:cs="Songti SC"/>
          <w:color w:val="000000"/>
        </w:rPr>
        <w:t>2）</w:t>
      </w:r>
      <w:r>
        <w:rPr>
          <w:rFonts w:ascii="Songti SC" w:hAnsi="Songti SC" w:eastAsia="Songti SC" w:cs="Songti SC"/>
          <w:color w:val="000000"/>
        </w:rPr>
        <w:t>密钥交换密钥用于加密数据密钥作网络传输；</w:t>
      </w:r>
    </w:p>
    <w:p w14:paraId="2D5AC586">
      <w:pPr>
        <w:ind w:firstLine="480"/>
        <w:rPr>
          <w:rFonts w:hint="eastAsia"/>
          <w:color w:val="000000"/>
        </w:rPr>
      </w:pPr>
      <w:r>
        <w:rPr>
          <w:rFonts w:hint="eastAsia" w:ascii="Songti SC" w:hAnsi="Songti SC" w:eastAsia="Songti SC" w:cs="Songti SC"/>
          <w:color w:val="000000"/>
        </w:rPr>
        <w:t>3）</w:t>
      </w:r>
      <w:r>
        <w:rPr>
          <w:rFonts w:ascii="Songti SC" w:hAnsi="Songti SC" w:eastAsia="Songti SC" w:cs="Songti SC"/>
          <w:color w:val="000000"/>
        </w:rPr>
        <w:t>数据密钥用于对数据进行加解密。</w:t>
      </w:r>
    </w:p>
    <w:p w14:paraId="0E58618D">
      <w:pPr>
        <w:pStyle w:val="5"/>
        <w:rPr>
          <w:rFonts w:hint="eastAsia"/>
          <w:color w:val="000000"/>
        </w:rPr>
      </w:pPr>
      <w:r>
        <w:rPr>
          <w:rFonts w:hint="eastAsia" w:ascii="Songti SC" w:hAnsi="Songti SC" w:eastAsia="Songti SC" w:cs="Songti SC"/>
          <w:color w:val="000000"/>
        </w:rPr>
        <w:t>密钥生命周期管理</w:t>
      </w:r>
    </w:p>
    <w:p w14:paraId="6FA316B7">
      <w:pPr>
        <w:pStyle w:val="14"/>
        <w:rPr>
          <w:rFonts w:hint="eastAsia" w:cs="宋体"/>
          <w:color w:val="000000"/>
        </w:rPr>
      </w:pPr>
      <w:bookmarkStart w:id="660" w:name="_Toc194255055"/>
      <w:r>
        <w:rPr>
          <w:rFonts w:hint="eastAsia" w:ascii="Songti SC" w:hAnsi="Songti SC" w:eastAsia="Songti SC" w:cs="Songti SC"/>
          <w:color w:val="000000"/>
        </w:rPr>
        <w:t>表</w:t>
      </w:r>
      <w:r>
        <w:rPr>
          <w:rFonts w:ascii="Songti SC" w:hAnsi="Songti SC" w:eastAsia="Songti SC" w:cs="Songti SC"/>
          <w:color w:val="000000"/>
        </w:rPr>
        <w:fldChar w:fldCharType="begin"/>
      </w:r>
      <w:r>
        <w:rPr>
          <w:rFonts w:ascii="Songti SC" w:hAnsi="Songti SC" w:eastAsia="Songti SC" w:cs="Songti SC"/>
          <w:color w:val="000000"/>
        </w:rPr>
        <w:instrText xml:space="preserve"> </w:instrText>
      </w:r>
      <w:r>
        <w:rPr>
          <w:rFonts w:hint="eastAsia" w:ascii="Songti SC" w:hAnsi="Songti SC" w:eastAsia="Songti SC" w:cs="Songti SC"/>
          <w:color w:val="000000"/>
        </w:rPr>
        <w:instrText xml:space="preserve">STYLEREF 1 \s</w:instrText>
      </w:r>
      <w:r>
        <w:rPr>
          <w:rFonts w:ascii="Songti SC" w:hAnsi="Songti SC" w:eastAsia="Songti SC" w:cs="Songti SC"/>
          <w:color w:val="000000"/>
        </w:rPr>
        <w:instrText xml:space="preserve"> </w:instrText>
      </w:r>
      <w:r>
        <w:rPr>
          <w:rFonts w:ascii="Songti SC" w:hAnsi="Songti SC" w:eastAsia="Songti SC" w:cs="Songti SC"/>
          <w:color w:val="000000"/>
        </w:rPr>
        <w:fldChar w:fldCharType="separate"/>
      </w:r>
      <w:r>
        <w:rPr>
          <w:rFonts w:hint="eastAsia" w:ascii="Songti SC" w:hAnsi="Songti SC" w:eastAsia="Songti SC" w:cs="Songti SC"/>
          <w:color w:val="000000"/>
        </w:rPr>
        <w:t>6</w:t>
      </w:r>
      <w:r>
        <w:rPr>
          <w:rFonts w:ascii="Songti SC" w:hAnsi="Songti SC" w:eastAsia="Songti SC" w:cs="Songti SC"/>
          <w:color w:val="000000"/>
        </w:rPr>
        <w:fldChar w:fldCharType="end"/>
      </w:r>
      <w:r>
        <w:rPr>
          <w:rFonts w:ascii="Songti SC" w:hAnsi="Songti SC" w:eastAsia="Songti SC" w:cs="Songti SC"/>
          <w:color w:val="000000"/>
        </w:rPr>
        <w:t>.</w:t>
      </w:r>
      <w:r>
        <w:rPr>
          <w:rFonts w:ascii="Songti SC" w:hAnsi="Songti SC" w:eastAsia="Songti SC" w:cs="Songti SC"/>
          <w:color w:val="000000"/>
        </w:rPr>
        <w:fldChar w:fldCharType="begin"/>
      </w:r>
      <w:r>
        <w:rPr>
          <w:rFonts w:ascii="Songti SC" w:hAnsi="Songti SC" w:eastAsia="Songti SC" w:cs="Songti SC"/>
          <w:color w:val="000000"/>
        </w:rPr>
        <w:instrText xml:space="preserve"> </w:instrText>
      </w:r>
      <w:r>
        <w:rPr>
          <w:rFonts w:hint="eastAsia" w:ascii="Songti SC" w:hAnsi="Songti SC" w:eastAsia="Songti SC" w:cs="Songti SC"/>
          <w:color w:val="000000"/>
        </w:rPr>
        <w:instrText xml:space="preserve">SEQ 表 \* ARABIC \s 1</w:instrText>
      </w:r>
      <w:r>
        <w:rPr>
          <w:rFonts w:ascii="Songti SC" w:hAnsi="Songti SC" w:eastAsia="Songti SC" w:cs="Songti SC"/>
          <w:color w:val="000000"/>
        </w:rPr>
        <w:instrText xml:space="preserve"> </w:instrText>
      </w:r>
      <w:r>
        <w:rPr>
          <w:rFonts w:ascii="Songti SC" w:hAnsi="Songti SC" w:eastAsia="Songti SC" w:cs="Songti SC"/>
          <w:color w:val="000000"/>
        </w:rPr>
        <w:fldChar w:fldCharType="separate"/>
      </w:r>
      <w:r>
        <w:rPr>
          <w:rFonts w:hint="eastAsia" w:ascii="Songti SC" w:hAnsi="Songti SC" w:eastAsia="Songti SC" w:cs="Songti SC"/>
          <w:color w:val="000000"/>
        </w:rPr>
        <w:t>1</w:t>
      </w:r>
      <w:r>
        <w:rPr>
          <w:rFonts w:ascii="Songti SC" w:hAnsi="Songti SC" w:eastAsia="Songti SC" w:cs="Songti SC"/>
          <w:color w:val="000000"/>
        </w:rPr>
        <w:fldChar w:fldCharType="end"/>
      </w:r>
      <w:r>
        <w:rPr>
          <w:rFonts w:hint="eastAsia" w:ascii="Songti SC" w:hAnsi="Songti SC" w:eastAsia="Songti SC" w:cs="Songti SC"/>
          <w:color w:val="000000"/>
        </w:rPr>
        <w:t>密钥生命周期管理</w:t>
      </w:r>
      <w:bookmarkEnd w:id="660"/>
    </w:p>
    <w:tbl>
      <w:tblPr>
        <w:tblStyle w:val="60"/>
        <w:tblW w:w="5000" w:type="pct"/>
        <w:tblInd w:w="0" w:type="dxa"/>
        <w:tblLayout w:type="autofit"/>
        <w:tblCellMar>
          <w:top w:w="0" w:type="dxa"/>
          <w:left w:w="108" w:type="dxa"/>
          <w:bottom w:w="0" w:type="dxa"/>
          <w:right w:w="108" w:type="dxa"/>
        </w:tblCellMar>
      </w:tblPr>
      <w:tblGrid>
        <w:gridCol w:w="723"/>
        <w:gridCol w:w="2074"/>
        <w:gridCol w:w="5725"/>
      </w:tblGrid>
      <w:tr w14:paraId="41B5498D">
        <w:trPr>
          <w:trHeight w:val="290" w:hRule="atLeast"/>
        </w:trPr>
        <w:tc>
          <w:tcPr>
            <w:tcW w:w="1641" w:type="pct"/>
            <w:gridSpan w:val="2"/>
            <w:tcBorders>
              <w:top w:val="single" w:color="auto" w:sz="4" w:space="0"/>
              <w:left w:val="single" w:color="auto" w:sz="4" w:space="0"/>
              <w:bottom w:val="single" w:color="auto" w:sz="4" w:space="0"/>
              <w:right w:val="single" w:color="auto" w:sz="4" w:space="0"/>
            </w:tcBorders>
            <w:shd w:val="clear" w:color="000000" w:fill="D9D9D9"/>
            <w:vAlign w:val="center"/>
          </w:tcPr>
          <w:p w14:paraId="5EAB6908">
            <w:pPr>
              <w:pStyle w:val="129"/>
              <w:rPr>
                <w:rFonts w:hint="eastAsia"/>
                <w:color w:val="000000"/>
              </w:rPr>
            </w:pPr>
            <w:r>
              <w:rPr>
                <w:rFonts w:hint="eastAsia" w:ascii="Songti SC" w:hAnsi="Songti SC" w:eastAsia="Songti SC" w:cs="Songti SC"/>
                <w:color w:val="000000"/>
              </w:rPr>
              <w:t>密码技术应用点</w:t>
            </w:r>
          </w:p>
        </w:tc>
        <w:tc>
          <w:tcPr>
            <w:tcW w:w="3359" w:type="pct"/>
            <w:tcBorders>
              <w:top w:val="single" w:color="auto" w:sz="4" w:space="0"/>
              <w:left w:val="nil"/>
              <w:bottom w:val="single" w:color="auto" w:sz="4" w:space="0"/>
              <w:right w:val="single" w:color="auto" w:sz="4" w:space="0"/>
            </w:tcBorders>
            <w:shd w:val="clear" w:color="000000" w:fill="D9D9D9"/>
            <w:vAlign w:val="center"/>
          </w:tcPr>
          <w:p w14:paraId="70E9502A">
            <w:pPr>
              <w:pStyle w:val="129"/>
              <w:rPr>
                <w:rFonts w:hint="eastAsia"/>
                <w:color w:val="000000"/>
              </w:rPr>
            </w:pPr>
            <w:r>
              <w:rPr>
                <w:rFonts w:hint="eastAsia" w:ascii="Songti SC" w:hAnsi="Songti SC" w:eastAsia="Songti SC" w:cs="Songti SC"/>
                <w:color w:val="000000"/>
              </w:rPr>
              <w:t>密码应用方式</w:t>
            </w:r>
          </w:p>
        </w:tc>
      </w:tr>
      <w:tr w14:paraId="46C762D8">
        <w:trPr>
          <w:trHeight w:val="540" w:hRule="atLeast"/>
        </w:trPr>
        <w:tc>
          <w:tcPr>
            <w:tcW w:w="424" w:type="pct"/>
            <w:vMerge w:val="restart"/>
            <w:tcBorders>
              <w:top w:val="nil"/>
              <w:left w:val="single" w:color="auto" w:sz="4" w:space="0"/>
              <w:bottom w:val="single" w:color="auto" w:sz="4" w:space="0"/>
              <w:right w:val="single" w:color="auto" w:sz="4" w:space="0"/>
            </w:tcBorders>
            <w:vAlign w:val="center"/>
          </w:tcPr>
          <w:p w14:paraId="62D38E72">
            <w:pPr>
              <w:pStyle w:val="129"/>
              <w:rPr>
                <w:rFonts w:hint="eastAsia"/>
                <w:color w:val="000000"/>
              </w:rPr>
            </w:pPr>
            <w:r>
              <w:rPr>
                <w:rFonts w:hint="eastAsia" w:ascii="Songti SC" w:hAnsi="Songti SC" w:eastAsia="Songti SC" w:cs="Songti SC"/>
                <w:color w:val="000000"/>
              </w:rPr>
              <w:t>密钥管理</w:t>
            </w:r>
          </w:p>
        </w:tc>
        <w:tc>
          <w:tcPr>
            <w:tcW w:w="1217" w:type="pct"/>
            <w:tcBorders>
              <w:top w:val="nil"/>
              <w:left w:val="nil"/>
              <w:bottom w:val="single" w:color="auto" w:sz="4" w:space="0"/>
              <w:right w:val="single" w:color="auto" w:sz="4" w:space="0"/>
            </w:tcBorders>
            <w:vAlign w:val="center"/>
          </w:tcPr>
          <w:p w14:paraId="690C9EA7">
            <w:pPr>
              <w:pStyle w:val="129"/>
              <w:rPr>
                <w:rFonts w:hint="eastAsia"/>
                <w:color w:val="000000"/>
              </w:rPr>
            </w:pPr>
            <w:r>
              <w:rPr>
                <w:rFonts w:hint="eastAsia" w:ascii="Songti SC" w:hAnsi="Songti SC" w:eastAsia="Songti SC" w:cs="Songti SC"/>
                <w:color w:val="000000"/>
              </w:rPr>
              <w:t>密钥生成</w:t>
            </w:r>
          </w:p>
        </w:tc>
        <w:tc>
          <w:tcPr>
            <w:tcW w:w="3359" w:type="pct"/>
            <w:tcBorders>
              <w:top w:val="nil"/>
              <w:left w:val="nil"/>
              <w:bottom w:val="single" w:color="auto" w:sz="4" w:space="0"/>
              <w:right w:val="single" w:color="auto" w:sz="4" w:space="0"/>
            </w:tcBorders>
            <w:vAlign w:val="center"/>
          </w:tcPr>
          <w:p w14:paraId="242F5472">
            <w:pPr>
              <w:pStyle w:val="129"/>
              <w:rPr>
                <w:rFonts w:hint="eastAsia"/>
                <w:color w:val="000000"/>
              </w:rPr>
            </w:pPr>
            <w:r>
              <w:rPr>
                <w:rFonts w:hint="eastAsia" w:ascii="Songti SC" w:hAnsi="Songti SC" w:eastAsia="Songti SC" w:cs="Songti SC"/>
                <w:color w:val="000000"/>
              </w:rPr>
              <w:t>使用国家密码管理机构批准的硬件物理噪声源产生随机数；密钥应在密码设备内部产生，不得以明文方式出现在密码设备之外；应具备检查和剔除弱密钥的能力；</w:t>
            </w:r>
          </w:p>
        </w:tc>
      </w:tr>
      <w:tr w14:paraId="1D904FF5">
        <w:trPr>
          <w:trHeight w:val="540" w:hRule="atLeast"/>
        </w:trPr>
        <w:tc>
          <w:tcPr>
            <w:tcW w:w="424" w:type="pct"/>
            <w:vMerge w:val="continue"/>
            <w:tcBorders>
              <w:top w:val="nil"/>
              <w:left w:val="single" w:color="auto" w:sz="4" w:space="0"/>
              <w:bottom w:val="single" w:color="auto" w:sz="4" w:space="0"/>
              <w:right w:val="single" w:color="auto" w:sz="4" w:space="0"/>
            </w:tcBorders>
            <w:vAlign w:val="center"/>
          </w:tcPr>
          <w:p w14:paraId="6A27D29B">
            <w:pPr>
              <w:pStyle w:val="129"/>
              <w:rPr>
                <w:rFonts w:hint="eastAsia"/>
                <w:color w:val="000000"/>
              </w:rPr>
            </w:pPr>
          </w:p>
        </w:tc>
        <w:tc>
          <w:tcPr>
            <w:tcW w:w="1217" w:type="pct"/>
            <w:tcBorders>
              <w:top w:val="nil"/>
              <w:left w:val="nil"/>
              <w:bottom w:val="single" w:color="auto" w:sz="4" w:space="0"/>
              <w:right w:val="single" w:color="auto" w:sz="4" w:space="0"/>
            </w:tcBorders>
            <w:vAlign w:val="center"/>
          </w:tcPr>
          <w:p w14:paraId="14C771DB">
            <w:pPr>
              <w:pStyle w:val="129"/>
              <w:rPr>
                <w:rFonts w:hint="eastAsia"/>
                <w:color w:val="000000"/>
              </w:rPr>
            </w:pPr>
            <w:r>
              <w:rPr>
                <w:rFonts w:hint="eastAsia" w:ascii="Songti SC" w:hAnsi="Songti SC" w:eastAsia="Songti SC" w:cs="Songti SC"/>
                <w:color w:val="000000"/>
              </w:rPr>
              <w:t>密钥存储</w:t>
            </w:r>
          </w:p>
        </w:tc>
        <w:tc>
          <w:tcPr>
            <w:tcW w:w="3359" w:type="pct"/>
            <w:tcBorders>
              <w:top w:val="nil"/>
              <w:left w:val="nil"/>
              <w:bottom w:val="single" w:color="auto" w:sz="4" w:space="0"/>
              <w:right w:val="single" w:color="auto" w:sz="4" w:space="0"/>
            </w:tcBorders>
            <w:vAlign w:val="center"/>
          </w:tcPr>
          <w:p w14:paraId="4267A777">
            <w:pPr>
              <w:pStyle w:val="129"/>
              <w:rPr>
                <w:rFonts w:hint="eastAsia"/>
                <w:color w:val="000000"/>
              </w:rPr>
            </w:pPr>
            <w:r>
              <w:rPr>
                <w:rFonts w:hint="eastAsia" w:ascii="Songti SC" w:hAnsi="Songti SC" w:eastAsia="Songti SC" w:cs="Songti SC"/>
                <w:color w:val="000000"/>
              </w:rPr>
              <w:t>密钥加密存储，并采取严格的安全防护措施，防止密钥被非法获取；密钥加密密钥应存储在符合GM/T0028的二级及以上密码模块中。</w:t>
            </w:r>
          </w:p>
        </w:tc>
      </w:tr>
      <w:tr w14:paraId="53D98294">
        <w:trPr>
          <w:trHeight w:val="540" w:hRule="atLeast"/>
        </w:trPr>
        <w:tc>
          <w:tcPr>
            <w:tcW w:w="424" w:type="pct"/>
            <w:vMerge w:val="continue"/>
            <w:tcBorders>
              <w:top w:val="nil"/>
              <w:left w:val="single" w:color="auto" w:sz="4" w:space="0"/>
              <w:bottom w:val="single" w:color="auto" w:sz="4" w:space="0"/>
              <w:right w:val="single" w:color="auto" w:sz="4" w:space="0"/>
            </w:tcBorders>
            <w:vAlign w:val="center"/>
          </w:tcPr>
          <w:p w14:paraId="445827AC">
            <w:pPr>
              <w:pStyle w:val="129"/>
              <w:rPr>
                <w:rFonts w:hint="eastAsia"/>
                <w:color w:val="000000"/>
              </w:rPr>
            </w:pPr>
          </w:p>
        </w:tc>
        <w:tc>
          <w:tcPr>
            <w:tcW w:w="1217" w:type="pct"/>
            <w:tcBorders>
              <w:top w:val="nil"/>
              <w:left w:val="nil"/>
              <w:bottom w:val="single" w:color="auto" w:sz="4" w:space="0"/>
              <w:right w:val="single" w:color="auto" w:sz="4" w:space="0"/>
            </w:tcBorders>
            <w:vAlign w:val="center"/>
          </w:tcPr>
          <w:p w14:paraId="04F6B7C5">
            <w:pPr>
              <w:pStyle w:val="129"/>
              <w:rPr>
                <w:rFonts w:hint="eastAsia"/>
                <w:color w:val="000000"/>
              </w:rPr>
            </w:pPr>
            <w:r>
              <w:rPr>
                <w:rFonts w:hint="eastAsia" w:ascii="Songti SC" w:hAnsi="Songti SC" w:eastAsia="Songti SC" w:cs="Songti SC"/>
                <w:color w:val="000000"/>
              </w:rPr>
              <w:t>密钥分发</w:t>
            </w:r>
          </w:p>
        </w:tc>
        <w:tc>
          <w:tcPr>
            <w:tcW w:w="3359" w:type="pct"/>
            <w:tcBorders>
              <w:top w:val="nil"/>
              <w:left w:val="nil"/>
              <w:bottom w:val="single" w:color="auto" w:sz="4" w:space="0"/>
              <w:right w:val="single" w:color="auto" w:sz="4" w:space="0"/>
            </w:tcBorders>
            <w:vAlign w:val="center"/>
          </w:tcPr>
          <w:p w14:paraId="07F4C295">
            <w:pPr>
              <w:pStyle w:val="129"/>
              <w:rPr>
                <w:rFonts w:hint="eastAsia"/>
                <w:color w:val="000000"/>
              </w:rPr>
            </w:pPr>
            <w:r>
              <w:rPr>
                <w:rFonts w:hint="eastAsia" w:ascii="Songti SC" w:hAnsi="Songti SC" w:eastAsia="Songti SC" w:cs="Songti SC"/>
                <w:color w:val="000000"/>
              </w:rPr>
              <w:t>密钥分发采用身份鉴别、数据完整性、数据机密性等安全措施，应能够抗截取、假冒、篡改、重放等攻击，保证密钥的安全性。</w:t>
            </w:r>
          </w:p>
        </w:tc>
      </w:tr>
      <w:tr w14:paraId="77176B09">
        <w:trPr>
          <w:trHeight w:val="280" w:hRule="atLeast"/>
        </w:trPr>
        <w:tc>
          <w:tcPr>
            <w:tcW w:w="424" w:type="pct"/>
            <w:vMerge w:val="continue"/>
            <w:tcBorders>
              <w:top w:val="nil"/>
              <w:left w:val="single" w:color="auto" w:sz="4" w:space="0"/>
              <w:bottom w:val="single" w:color="auto" w:sz="4" w:space="0"/>
              <w:right w:val="single" w:color="auto" w:sz="4" w:space="0"/>
            </w:tcBorders>
            <w:vAlign w:val="center"/>
          </w:tcPr>
          <w:p w14:paraId="5A73474C">
            <w:pPr>
              <w:pStyle w:val="129"/>
              <w:rPr>
                <w:rFonts w:hint="eastAsia"/>
                <w:color w:val="000000"/>
              </w:rPr>
            </w:pPr>
          </w:p>
        </w:tc>
        <w:tc>
          <w:tcPr>
            <w:tcW w:w="1217" w:type="pct"/>
            <w:tcBorders>
              <w:top w:val="nil"/>
              <w:left w:val="nil"/>
              <w:bottom w:val="single" w:color="auto" w:sz="4" w:space="0"/>
              <w:right w:val="single" w:color="auto" w:sz="4" w:space="0"/>
            </w:tcBorders>
            <w:vAlign w:val="center"/>
          </w:tcPr>
          <w:p w14:paraId="13831F28">
            <w:pPr>
              <w:pStyle w:val="129"/>
              <w:rPr>
                <w:rFonts w:hint="eastAsia"/>
                <w:color w:val="000000"/>
              </w:rPr>
            </w:pPr>
            <w:r>
              <w:rPr>
                <w:rFonts w:hint="eastAsia" w:ascii="Songti SC" w:hAnsi="Songti SC" w:eastAsia="Songti SC" w:cs="Songti SC"/>
                <w:color w:val="000000"/>
              </w:rPr>
              <w:t>密钥导入与导出</w:t>
            </w:r>
          </w:p>
        </w:tc>
        <w:tc>
          <w:tcPr>
            <w:tcW w:w="3359" w:type="pct"/>
            <w:tcBorders>
              <w:top w:val="nil"/>
              <w:left w:val="nil"/>
              <w:bottom w:val="single" w:color="auto" w:sz="4" w:space="0"/>
              <w:right w:val="single" w:color="auto" w:sz="4" w:space="0"/>
            </w:tcBorders>
            <w:vAlign w:val="center"/>
          </w:tcPr>
          <w:p w14:paraId="284EEE44">
            <w:pPr>
              <w:pStyle w:val="129"/>
              <w:rPr>
                <w:rFonts w:hint="eastAsia"/>
                <w:color w:val="000000"/>
              </w:rPr>
            </w:pPr>
            <w:r>
              <w:rPr>
                <w:rFonts w:hint="eastAsia" w:ascii="Songti SC" w:hAnsi="Songti SC" w:eastAsia="Songti SC" w:cs="Songti SC"/>
                <w:color w:val="000000"/>
              </w:rPr>
              <w:t>采取安全措施，防止密钥导入导出时被非法获取或篡改，并保证密钥的正确性。</w:t>
            </w:r>
          </w:p>
        </w:tc>
      </w:tr>
      <w:tr w14:paraId="2E11242B">
        <w:trPr>
          <w:trHeight w:val="1080" w:hRule="atLeast"/>
        </w:trPr>
        <w:tc>
          <w:tcPr>
            <w:tcW w:w="424" w:type="pct"/>
            <w:vMerge w:val="continue"/>
            <w:tcBorders>
              <w:top w:val="nil"/>
              <w:left w:val="single" w:color="auto" w:sz="4" w:space="0"/>
              <w:bottom w:val="single" w:color="auto" w:sz="4" w:space="0"/>
              <w:right w:val="single" w:color="auto" w:sz="4" w:space="0"/>
            </w:tcBorders>
            <w:vAlign w:val="center"/>
          </w:tcPr>
          <w:p w14:paraId="58722B49">
            <w:pPr>
              <w:pStyle w:val="129"/>
              <w:rPr>
                <w:rFonts w:hint="eastAsia"/>
                <w:color w:val="000000"/>
              </w:rPr>
            </w:pPr>
          </w:p>
        </w:tc>
        <w:tc>
          <w:tcPr>
            <w:tcW w:w="1217" w:type="pct"/>
            <w:tcBorders>
              <w:top w:val="nil"/>
              <w:left w:val="nil"/>
              <w:bottom w:val="single" w:color="auto" w:sz="4" w:space="0"/>
              <w:right w:val="single" w:color="auto" w:sz="4" w:space="0"/>
            </w:tcBorders>
            <w:vAlign w:val="center"/>
          </w:tcPr>
          <w:p w14:paraId="2EF36277">
            <w:pPr>
              <w:pStyle w:val="129"/>
              <w:rPr>
                <w:rFonts w:hint="eastAsia"/>
                <w:color w:val="000000"/>
              </w:rPr>
            </w:pPr>
            <w:r>
              <w:rPr>
                <w:rFonts w:hint="eastAsia" w:ascii="Songti SC" w:hAnsi="Songti SC" w:eastAsia="Songti SC" w:cs="Songti SC"/>
                <w:color w:val="000000"/>
              </w:rPr>
              <w:t>密钥使用</w:t>
            </w:r>
          </w:p>
        </w:tc>
        <w:tc>
          <w:tcPr>
            <w:tcW w:w="3359" w:type="pct"/>
            <w:tcBorders>
              <w:top w:val="nil"/>
              <w:left w:val="nil"/>
              <w:bottom w:val="single" w:color="auto" w:sz="4" w:space="0"/>
              <w:right w:val="single" w:color="auto" w:sz="4" w:space="0"/>
            </w:tcBorders>
            <w:vAlign w:val="center"/>
          </w:tcPr>
          <w:p w14:paraId="4A154BFE">
            <w:pPr>
              <w:pStyle w:val="129"/>
              <w:rPr>
                <w:rFonts w:hint="eastAsia"/>
                <w:color w:val="000000"/>
              </w:rPr>
            </w:pPr>
            <w:r>
              <w:rPr>
                <w:rFonts w:hint="eastAsia" w:ascii="Songti SC" w:hAnsi="Songti SC" w:eastAsia="Songti SC" w:cs="Songti SC"/>
                <w:color w:val="000000"/>
              </w:rPr>
              <w:t>密钥应用明确用途，并按用途正确使用；对于公钥密码体制，在使用公钥之前应用对其进行验证；应有安全措施防止密钥泄露和替换；密钥泄露时，应停止使用，并启动相应的应急处理的响应措施。应按照密钥更换周期要求更换密钥；应采取有效的安全措施，保证密钥更换时的安全性。</w:t>
            </w:r>
          </w:p>
        </w:tc>
      </w:tr>
      <w:tr w14:paraId="588A042B">
        <w:trPr>
          <w:trHeight w:val="810" w:hRule="atLeast"/>
        </w:trPr>
        <w:tc>
          <w:tcPr>
            <w:tcW w:w="424" w:type="pct"/>
            <w:vMerge w:val="continue"/>
            <w:tcBorders>
              <w:top w:val="nil"/>
              <w:left w:val="single" w:color="auto" w:sz="4" w:space="0"/>
              <w:bottom w:val="single" w:color="auto" w:sz="4" w:space="0"/>
              <w:right w:val="single" w:color="auto" w:sz="4" w:space="0"/>
            </w:tcBorders>
            <w:vAlign w:val="center"/>
          </w:tcPr>
          <w:p w14:paraId="62A557BE">
            <w:pPr>
              <w:pStyle w:val="129"/>
              <w:rPr>
                <w:rFonts w:hint="eastAsia"/>
                <w:color w:val="000000"/>
              </w:rPr>
            </w:pPr>
          </w:p>
        </w:tc>
        <w:tc>
          <w:tcPr>
            <w:tcW w:w="1217" w:type="pct"/>
            <w:tcBorders>
              <w:top w:val="nil"/>
              <w:left w:val="nil"/>
              <w:bottom w:val="single" w:color="auto" w:sz="4" w:space="0"/>
              <w:right w:val="single" w:color="auto" w:sz="4" w:space="0"/>
            </w:tcBorders>
            <w:vAlign w:val="center"/>
          </w:tcPr>
          <w:p w14:paraId="7C23F0DB">
            <w:pPr>
              <w:pStyle w:val="129"/>
              <w:rPr>
                <w:rFonts w:hint="eastAsia"/>
                <w:color w:val="000000"/>
              </w:rPr>
            </w:pPr>
            <w:r>
              <w:rPr>
                <w:rFonts w:hint="eastAsia" w:ascii="Songti SC" w:hAnsi="Songti SC" w:eastAsia="Songti SC" w:cs="Songti SC"/>
                <w:color w:val="000000"/>
              </w:rPr>
              <w:t>密钥备份与恢复</w:t>
            </w:r>
          </w:p>
        </w:tc>
        <w:tc>
          <w:tcPr>
            <w:tcW w:w="3359" w:type="pct"/>
            <w:tcBorders>
              <w:top w:val="nil"/>
              <w:left w:val="nil"/>
              <w:bottom w:val="single" w:color="auto" w:sz="4" w:space="0"/>
              <w:right w:val="single" w:color="auto" w:sz="4" w:space="0"/>
            </w:tcBorders>
            <w:vAlign w:val="center"/>
          </w:tcPr>
          <w:p w14:paraId="09DC03CA">
            <w:pPr>
              <w:pStyle w:val="129"/>
              <w:rPr>
                <w:rFonts w:hint="eastAsia"/>
                <w:color w:val="000000"/>
              </w:rPr>
            </w:pPr>
            <w:r>
              <w:rPr>
                <w:rFonts w:hint="eastAsia" w:ascii="Songti SC" w:hAnsi="Songti SC" w:eastAsia="Songti SC" w:cs="Songti SC"/>
                <w:color w:val="000000"/>
              </w:rPr>
              <w:t>制定明确的密钥备份策略，采用安全可靠的密钥备份恢复机制，对密钥进行备份或恢复；密钥备份或恢复应进行记录，并生成审计信息；审计信息包括备份或恢复的主体、备份或恢复的时间等。</w:t>
            </w:r>
          </w:p>
        </w:tc>
      </w:tr>
      <w:tr w14:paraId="74E987BE">
        <w:trPr>
          <w:trHeight w:val="810" w:hRule="atLeast"/>
        </w:trPr>
        <w:tc>
          <w:tcPr>
            <w:tcW w:w="424" w:type="pct"/>
            <w:vMerge w:val="continue"/>
            <w:tcBorders>
              <w:top w:val="nil"/>
              <w:left w:val="single" w:color="auto" w:sz="4" w:space="0"/>
              <w:bottom w:val="single" w:color="auto" w:sz="4" w:space="0"/>
              <w:right w:val="single" w:color="auto" w:sz="4" w:space="0"/>
            </w:tcBorders>
            <w:vAlign w:val="center"/>
          </w:tcPr>
          <w:p w14:paraId="41CED0C5">
            <w:pPr>
              <w:pStyle w:val="129"/>
              <w:rPr>
                <w:rFonts w:hint="eastAsia"/>
                <w:color w:val="000000"/>
              </w:rPr>
            </w:pPr>
          </w:p>
        </w:tc>
        <w:tc>
          <w:tcPr>
            <w:tcW w:w="1217" w:type="pct"/>
            <w:tcBorders>
              <w:top w:val="nil"/>
              <w:left w:val="nil"/>
              <w:bottom w:val="single" w:color="auto" w:sz="4" w:space="0"/>
              <w:right w:val="single" w:color="auto" w:sz="4" w:space="0"/>
            </w:tcBorders>
            <w:vAlign w:val="center"/>
          </w:tcPr>
          <w:p w14:paraId="362BE5AA">
            <w:pPr>
              <w:pStyle w:val="129"/>
              <w:rPr>
                <w:rFonts w:hint="eastAsia"/>
                <w:color w:val="000000"/>
              </w:rPr>
            </w:pPr>
            <w:r>
              <w:rPr>
                <w:rFonts w:hint="eastAsia" w:ascii="Songti SC" w:hAnsi="Songti SC" w:eastAsia="Songti SC" w:cs="Songti SC"/>
                <w:color w:val="000000"/>
              </w:rPr>
              <w:t>密钥归档</w:t>
            </w:r>
          </w:p>
        </w:tc>
        <w:tc>
          <w:tcPr>
            <w:tcW w:w="3359" w:type="pct"/>
            <w:tcBorders>
              <w:top w:val="nil"/>
              <w:left w:val="nil"/>
              <w:bottom w:val="single" w:color="auto" w:sz="4" w:space="0"/>
              <w:right w:val="single" w:color="auto" w:sz="4" w:space="0"/>
            </w:tcBorders>
            <w:vAlign w:val="center"/>
          </w:tcPr>
          <w:p w14:paraId="4D168B44">
            <w:pPr>
              <w:pStyle w:val="129"/>
              <w:rPr>
                <w:rFonts w:hint="eastAsia"/>
                <w:color w:val="000000"/>
              </w:rPr>
            </w:pPr>
            <w:r>
              <w:rPr>
                <w:rFonts w:hint="eastAsia" w:ascii="Songti SC" w:hAnsi="Songti SC" w:eastAsia="Songti SC" w:cs="Songti SC"/>
                <w:color w:val="000000"/>
              </w:rPr>
              <w:t>采取有效的安全措施，保证归档密钥的安全性和正确性；归档密钥只能用于解密该密钥加密的历史信息或验证该密钥签名的历史信息；密钥归档应进行记录，并生成审计信息；审计信息包括归档的密钥、归档的时间等；归档密钥应进行数据备份，并采用有效的安全保护措施。</w:t>
            </w:r>
          </w:p>
        </w:tc>
      </w:tr>
      <w:tr w14:paraId="45AD291B">
        <w:trPr>
          <w:trHeight w:val="280" w:hRule="atLeast"/>
        </w:trPr>
        <w:tc>
          <w:tcPr>
            <w:tcW w:w="424" w:type="pct"/>
            <w:vMerge w:val="continue"/>
            <w:tcBorders>
              <w:top w:val="nil"/>
              <w:left w:val="single" w:color="auto" w:sz="4" w:space="0"/>
              <w:bottom w:val="single" w:color="auto" w:sz="4" w:space="0"/>
              <w:right w:val="single" w:color="auto" w:sz="4" w:space="0"/>
            </w:tcBorders>
            <w:vAlign w:val="center"/>
          </w:tcPr>
          <w:p w14:paraId="3E096E46">
            <w:pPr>
              <w:pStyle w:val="129"/>
              <w:rPr>
                <w:rFonts w:hint="eastAsia"/>
                <w:color w:val="000000"/>
              </w:rPr>
            </w:pPr>
          </w:p>
        </w:tc>
        <w:tc>
          <w:tcPr>
            <w:tcW w:w="1217" w:type="pct"/>
            <w:tcBorders>
              <w:top w:val="nil"/>
              <w:left w:val="nil"/>
              <w:bottom w:val="single" w:color="auto" w:sz="4" w:space="0"/>
              <w:right w:val="single" w:color="auto" w:sz="4" w:space="0"/>
            </w:tcBorders>
            <w:vAlign w:val="center"/>
          </w:tcPr>
          <w:p w14:paraId="0AD83CCA">
            <w:pPr>
              <w:pStyle w:val="129"/>
              <w:rPr>
                <w:rFonts w:hint="eastAsia"/>
                <w:color w:val="000000"/>
              </w:rPr>
            </w:pPr>
            <w:r>
              <w:rPr>
                <w:rFonts w:hint="eastAsia" w:ascii="Songti SC" w:hAnsi="Songti SC" w:eastAsia="Songti SC" w:cs="Songti SC"/>
                <w:color w:val="000000"/>
              </w:rPr>
              <w:t>密钥销毁</w:t>
            </w:r>
          </w:p>
        </w:tc>
        <w:tc>
          <w:tcPr>
            <w:tcW w:w="3359" w:type="pct"/>
            <w:tcBorders>
              <w:top w:val="nil"/>
              <w:left w:val="nil"/>
              <w:bottom w:val="single" w:color="auto" w:sz="4" w:space="0"/>
              <w:right w:val="single" w:color="auto" w:sz="4" w:space="0"/>
            </w:tcBorders>
            <w:vAlign w:val="center"/>
          </w:tcPr>
          <w:p w14:paraId="24A0BE31">
            <w:pPr>
              <w:pStyle w:val="129"/>
              <w:rPr>
                <w:rFonts w:hint="eastAsia"/>
                <w:color w:val="000000"/>
              </w:rPr>
            </w:pPr>
            <w:r>
              <w:rPr>
                <w:rFonts w:hint="eastAsia" w:ascii="Songti SC" w:hAnsi="Songti SC" w:eastAsia="Songti SC" w:cs="Songti SC"/>
                <w:color w:val="000000"/>
              </w:rPr>
              <w:t>具有在紧急情况下销毁密钥的措施。</w:t>
            </w:r>
          </w:p>
        </w:tc>
      </w:tr>
    </w:tbl>
    <w:p w14:paraId="1F0EB957">
      <w:pPr>
        <w:pStyle w:val="4"/>
        <w:rPr>
          <w:rFonts w:hint="eastAsia"/>
          <w:color w:val="000000"/>
        </w:rPr>
      </w:pPr>
      <w:bookmarkStart w:id="661" w:name="_Toc109942638"/>
      <w:bookmarkStart w:id="662" w:name="_Toc111127815"/>
      <w:bookmarkStart w:id="663" w:name="_Toc1367705351"/>
      <w:bookmarkStart w:id="664" w:name="_Toc334374802"/>
      <w:bookmarkStart w:id="665" w:name="_Toc194326863"/>
      <w:bookmarkStart w:id="666" w:name="_Toc470283261"/>
      <w:r>
        <w:rPr>
          <w:rFonts w:hint="eastAsia" w:ascii="Songti SC" w:hAnsi="Songti SC" w:eastAsia="Songti SC" w:cs="Songti SC"/>
          <w:color w:val="000000"/>
        </w:rPr>
        <w:t>密码服务清单</w:t>
      </w:r>
      <w:bookmarkEnd w:id="661"/>
      <w:bookmarkEnd w:id="662"/>
      <w:bookmarkEnd w:id="663"/>
      <w:bookmarkEnd w:id="664"/>
      <w:bookmarkEnd w:id="665"/>
      <w:bookmarkEnd w:id="666"/>
    </w:p>
    <w:p w14:paraId="12E911DB">
      <w:pPr>
        <w:pStyle w:val="14"/>
        <w:keepNext/>
        <w:rPr>
          <w:rFonts w:hint="eastAsia"/>
          <w:color w:val="000000"/>
        </w:rPr>
      </w:pPr>
      <w:r>
        <w:rPr>
          <w:rFonts w:hint="eastAsia" w:ascii="Songti SC" w:hAnsi="Songti SC" w:eastAsia="Songti SC" w:cs="Songti SC"/>
          <w:color w:val="000000"/>
        </w:rPr>
        <w:t>表</w:t>
      </w:r>
      <w:r>
        <w:rPr>
          <w:rFonts w:ascii="Songti SC" w:hAnsi="Songti SC" w:eastAsia="Songti SC" w:cs="Songti SC"/>
          <w:color w:val="000000"/>
        </w:rPr>
        <w:fldChar w:fldCharType="begin"/>
      </w:r>
      <w:r>
        <w:rPr>
          <w:rFonts w:ascii="Songti SC" w:hAnsi="Songti SC" w:eastAsia="Songti SC" w:cs="Songti SC"/>
          <w:color w:val="000000"/>
        </w:rPr>
        <w:instrText xml:space="preserve"> </w:instrText>
      </w:r>
      <w:r>
        <w:rPr>
          <w:rFonts w:hint="eastAsia" w:ascii="Songti SC" w:hAnsi="Songti SC" w:eastAsia="Songti SC" w:cs="Songti SC"/>
          <w:color w:val="000000"/>
        </w:rPr>
        <w:instrText xml:space="preserve">STYLEREF 1 \s</w:instrText>
      </w:r>
      <w:r>
        <w:rPr>
          <w:rFonts w:ascii="Songti SC" w:hAnsi="Songti SC" w:eastAsia="Songti SC" w:cs="Songti SC"/>
          <w:color w:val="000000"/>
        </w:rPr>
        <w:instrText xml:space="preserve"> </w:instrText>
      </w:r>
      <w:r>
        <w:rPr>
          <w:rFonts w:hint="eastAsia" w:ascii="Songti SC" w:hAnsi="Songti SC" w:eastAsia="Songti SC" w:cs="Songti SC"/>
          <w:color w:val="000000"/>
        </w:rPr>
        <w:fldChar w:fldCharType="separate"/>
      </w:r>
      <w:r>
        <w:rPr>
          <w:rFonts w:hint="eastAsia" w:ascii="Songti SC" w:hAnsi="Songti SC" w:eastAsia="Songti SC" w:cs="Songti SC"/>
          <w:color w:val="000000"/>
        </w:rPr>
        <w:t>6</w:t>
      </w:r>
      <w:r>
        <w:rPr>
          <w:rFonts w:ascii="Songti SC" w:hAnsi="Songti SC" w:eastAsia="Songti SC" w:cs="Songti SC"/>
          <w:color w:val="000000"/>
        </w:rPr>
        <w:fldChar w:fldCharType="end"/>
      </w:r>
      <w:r>
        <w:rPr>
          <w:rFonts w:hint="eastAsia" w:ascii="Songti SC" w:hAnsi="Songti SC" w:eastAsia="Songti SC" w:cs="Songti SC"/>
          <w:color w:val="000000"/>
        </w:rPr>
        <w:t>.</w:t>
      </w:r>
      <w:r>
        <w:rPr>
          <w:rFonts w:ascii="Songti SC" w:hAnsi="Songti SC" w:eastAsia="Songti SC" w:cs="Songti SC"/>
          <w:color w:val="000000"/>
        </w:rPr>
        <w:fldChar w:fldCharType="begin"/>
      </w:r>
      <w:r>
        <w:rPr>
          <w:rFonts w:ascii="Songti SC" w:hAnsi="Songti SC" w:eastAsia="Songti SC" w:cs="Songti SC"/>
          <w:color w:val="000000"/>
        </w:rPr>
        <w:instrText xml:space="preserve"> </w:instrText>
      </w:r>
      <w:r>
        <w:rPr>
          <w:rFonts w:hint="eastAsia" w:ascii="Songti SC" w:hAnsi="Songti SC" w:eastAsia="Songti SC" w:cs="Songti SC"/>
          <w:color w:val="000000"/>
        </w:rPr>
        <w:instrText xml:space="preserve">SEQ 表 \* ARABIC \s 1</w:instrText>
      </w:r>
      <w:r>
        <w:rPr>
          <w:rFonts w:ascii="Songti SC" w:hAnsi="Songti SC" w:eastAsia="Songti SC" w:cs="Songti SC"/>
          <w:color w:val="000000"/>
        </w:rPr>
        <w:instrText xml:space="preserve"> </w:instrText>
      </w:r>
      <w:r>
        <w:rPr>
          <w:rFonts w:hint="eastAsia" w:ascii="Songti SC" w:hAnsi="Songti SC" w:eastAsia="Songti SC" w:cs="Songti SC"/>
          <w:color w:val="000000"/>
        </w:rPr>
        <w:fldChar w:fldCharType="separate"/>
      </w:r>
      <w:r>
        <w:rPr>
          <w:rFonts w:hint="eastAsia" w:ascii="Songti SC" w:hAnsi="Songti SC" w:eastAsia="Songti SC" w:cs="Songti SC"/>
          <w:color w:val="000000"/>
        </w:rPr>
        <w:t>2</w:t>
      </w:r>
      <w:r>
        <w:rPr>
          <w:rFonts w:ascii="Songti SC" w:hAnsi="Songti SC" w:eastAsia="Songti SC" w:cs="Songti SC"/>
          <w:color w:val="000000"/>
        </w:rPr>
        <w:fldChar w:fldCharType="end"/>
      </w:r>
      <w:r>
        <w:rPr>
          <w:rFonts w:hint="eastAsia" w:ascii="Songti SC" w:hAnsi="Songti SC" w:eastAsia="Songti SC" w:cs="Songti SC"/>
          <w:color w:val="000000"/>
        </w:rPr>
        <w:t xml:space="preserve"> 密码服务清单</w:t>
      </w:r>
    </w:p>
    <w:tbl>
      <w:tblPr>
        <w:tblStyle w:val="61"/>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58"/>
        <w:gridCol w:w="1457"/>
        <w:gridCol w:w="2248"/>
        <w:gridCol w:w="2562"/>
        <w:gridCol w:w="830"/>
        <w:gridCol w:w="767"/>
      </w:tblGrid>
      <w:tr w14:paraId="0336EB87">
        <w:tc>
          <w:tcPr>
            <w:tcW w:w="386" w:type="pct"/>
            <w:vAlign w:val="center"/>
          </w:tcPr>
          <w:p w14:paraId="125EAA78">
            <w:pPr>
              <w:pStyle w:val="128"/>
              <w:rPr>
                <w:rFonts w:hint="eastAsia"/>
                <w:color w:val="000000"/>
              </w:rPr>
            </w:pPr>
            <w:r>
              <w:rPr>
                <w:rFonts w:hint="eastAsia" w:ascii="Songti SC" w:hAnsi="Songti SC" w:eastAsia="Songti SC" w:cs="Songti SC"/>
                <w:color w:val="000000"/>
              </w:rPr>
              <w:t>序号</w:t>
            </w:r>
          </w:p>
        </w:tc>
        <w:tc>
          <w:tcPr>
            <w:tcW w:w="855" w:type="pct"/>
            <w:vAlign w:val="center"/>
          </w:tcPr>
          <w:p w14:paraId="54BE8201">
            <w:pPr>
              <w:pStyle w:val="128"/>
              <w:rPr>
                <w:rFonts w:hint="eastAsia"/>
                <w:color w:val="000000"/>
              </w:rPr>
            </w:pPr>
            <w:r>
              <w:rPr>
                <w:rFonts w:hint="eastAsia" w:ascii="Songti SC" w:hAnsi="Songti SC" w:eastAsia="Songti SC" w:cs="Songti SC"/>
                <w:color w:val="000000"/>
              </w:rPr>
              <w:t>产品名称</w:t>
            </w:r>
          </w:p>
        </w:tc>
        <w:tc>
          <w:tcPr>
            <w:tcW w:w="1319" w:type="pct"/>
            <w:vAlign w:val="center"/>
          </w:tcPr>
          <w:p w14:paraId="2B8E33FC">
            <w:pPr>
              <w:pStyle w:val="128"/>
              <w:rPr>
                <w:rFonts w:hint="eastAsia"/>
                <w:color w:val="000000"/>
              </w:rPr>
            </w:pPr>
            <w:r>
              <w:rPr>
                <w:rFonts w:hint="eastAsia" w:ascii="Songti SC" w:hAnsi="Songti SC" w:eastAsia="Songti SC" w:cs="Songti SC"/>
                <w:color w:val="000000"/>
              </w:rPr>
              <w:t>描述</w:t>
            </w:r>
          </w:p>
        </w:tc>
        <w:tc>
          <w:tcPr>
            <w:tcW w:w="1503" w:type="pct"/>
            <w:vAlign w:val="center"/>
          </w:tcPr>
          <w:p w14:paraId="096D194D">
            <w:pPr>
              <w:pStyle w:val="128"/>
              <w:rPr>
                <w:rFonts w:hint="eastAsia"/>
                <w:color w:val="000000"/>
              </w:rPr>
            </w:pPr>
            <w:r>
              <w:rPr>
                <w:rFonts w:hint="eastAsia" w:ascii="Songti SC" w:hAnsi="Songti SC" w:eastAsia="Songti SC" w:cs="Songti SC"/>
                <w:color w:val="000000"/>
              </w:rPr>
              <w:t>参数</w:t>
            </w:r>
          </w:p>
        </w:tc>
        <w:tc>
          <w:tcPr>
            <w:tcW w:w="487" w:type="pct"/>
            <w:vAlign w:val="center"/>
          </w:tcPr>
          <w:p w14:paraId="39704EC7">
            <w:pPr>
              <w:pStyle w:val="128"/>
              <w:rPr>
                <w:rFonts w:hint="eastAsia"/>
                <w:color w:val="000000"/>
              </w:rPr>
            </w:pPr>
            <w:r>
              <w:rPr>
                <w:rFonts w:hint="eastAsia" w:ascii="Songti SC" w:hAnsi="Songti SC" w:eastAsia="Songti SC" w:cs="Songti SC"/>
                <w:color w:val="000000"/>
              </w:rPr>
              <w:t>数量</w:t>
            </w:r>
          </w:p>
        </w:tc>
        <w:tc>
          <w:tcPr>
            <w:tcW w:w="450" w:type="pct"/>
            <w:vAlign w:val="center"/>
          </w:tcPr>
          <w:p w14:paraId="248AFDCA">
            <w:pPr>
              <w:pStyle w:val="128"/>
              <w:rPr>
                <w:rFonts w:hint="eastAsia"/>
                <w:color w:val="000000"/>
              </w:rPr>
            </w:pPr>
            <w:r>
              <w:rPr>
                <w:rFonts w:hint="eastAsia" w:ascii="Songti SC" w:hAnsi="Songti SC" w:eastAsia="Songti SC" w:cs="Songti SC"/>
                <w:color w:val="000000"/>
              </w:rPr>
              <w:t>单位</w:t>
            </w:r>
          </w:p>
        </w:tc>
      </w:tr>
      <w:tr w14:paraId="038FB90F">
        <w:tc>
          <w:tcPr>
            <w:tcW w:w="386" w:type="pct"/>
          </w:tcPr>
          <w:p w14:paraId="6CF655E9">
            <w:pPr>
              <w:pStyle w:val="129"/>
              <w:rPr>
                <w:rFonts w:hint="eastAsia"/>
                <w:color w:val="000000"/>
              </w:rPr>
            </w:pPr>
            <w:r>
              <w:rPr>
                <w:rFonts w:hint="eastAsia" w:ascii="Songti SC" w:hAnsi="Songti SC" w:eastAsia="Songti SC" w:cs="Songti SC"/>
                <w:color w:val="000000"/>
              </w:rPr>
              <w:t>1</w:t>
            </w:r>
          </w:p>
        </w:tc>
        <w:tc>
          <w:tcPr>
            <w:tcW w:w="855" w:type="pct"/>
          </w:tcPr>
          <w:p w14:paraId="414AAA82">
            <w:pPr>
              <w:pStyle w:val="129"/>
              <w:rPr>
                <w:rFonts w:hint="eastAsia"/>
                <w:color w:val="000000"/>
              </w:rPr>
            </w:pPr>
            <w:r>
              <w:rPr>
                <w:rFonts w:hint="eastAsia" w:ascii="Songti SC" w:hAnsi="Songti SC" w:eastAsia="Songti SC" w:cs="Songti SC"/>
                <w:color w:val="000000"/>
              </w:rPr>
              <w:t>签名验签服务</w:t>
            </w:r>
          </w:p>
        </w:tc>
        <w:tc>
          <w:tcPr>
            <w:tcW w:w="1319" w:type="pct"/>
          </w:tcPr>
          <w:p w14:paraId="687C0621">
            <w:pPr>
              <w:pStyle w:val="129"/>
              <w:rPr>
                <w:rFonts w:hint="eastAsia"/>
                <w:color w:val="000000"/>
              </w:rPr>
            </w:pPr>
            <w:r>
              <w:rPr>
                <w:rFonts w:hint="eastAsia" w:ascii="Songti SC" w:hAnsi="Songti SC" w:eastAsia="Songti SC" w:cs="Songti SC"/>
                <w:color w:val="000000"/>
              </w:rPr>
              <w:t>提供数据传输、存储过程的加解密算法服务以及签名验签服务</w:t>
            </w:r>
          </w:p>
        </w:tc>
        <w:tc>
          <w:tcPr>
            <w:tcW w:w="1503" w:type="pct"/>
          </w:tcPr>
          <w:p w14:paraId="79041612">
            <w:pPr>
              <w:pStyle w:val="129"/>
              <w:rPr>
                <w:rFonts w:hint="eastAsia"/>
                <w:color w:val="000000"/>
              </w:rPr>
            </w:pPr>
            <w:r>
              <w:rPr>
                <w:rFonts w:hint="eastAsia" w:ascii="Songti SC" w:hAnsi="Songti SC" w:eastAsia="Songti SC" w:cs="Songti SC"/>
                <w:color w:val="000000"/>
              </w:rPr>
              <w:t>提供基于数字证书的身份认证、数据签名、验证签名、数字信封等密码服务；支持国密SM2、SM3、SM4算法。SM2签名7000次/秒，SM2验签2700次/秒。</w:t>
            </w:r>
          </w:p>
        </w:tc>
        <w:tc>
          <w:tcPr>
            <w:tcW w:w="487" w:type="pct"/>
          </w:tcPr>
          <w:p w14:paraId="2CCFBAEF">
            <w:pPr>
              <w:pStyle w:val="129"/>
              <w:rPr>
                <w:rFonts w:hint="eastAsia"/>
                <w:color w:val="000000"/>
              </w:rPr>
            </w:pPr>
            <w:r>
              <w:rPr>
                <w:rFonts w:hint="eastAsia" w:ascii="Songti SC" w:hAnsi="Songti SC" w:eastAsia="Songti SC" w:cs="Songti SC"/>
                <w:color w:val="000000"/>
              </w:rPr>
              <w:t>1</w:t>
            </w:r>
          </w:p>
        </w:tc>
        <w:tc>
          <w:tcPr>
            <w:tcW w:w="450" w:type="pct"/>
          </w:tcPr>
          <w:p w14:paraId="3843292F">
            <w:pPr>
              <w:pStyle w:val="129"/>
              <w:rPr>
                <w:rFonts w:hint="eastAsia"/>
                <w:color w:val="000000"/>
              </w:rPr>
            </w:pPr>
            <w:r>
              <w:rPr>
                <w:rFonts w:hint="eastAsia" w:ascii="Songti SC" w:hAnsi="Songti SC" w:eastAsia="Songti SC" w:cs="Songti SC"/>
                <w:color w:val="000000"/>
              </w:rPr>
              <w:t>项</w:t>
            </w:r>
          </w:p>
        </w:tc>
      </w:tr>
      <w:tr w14:paraId="7A43F7E6">
        <w:tc>
          <w:tcPr>
            <w:tcW w:w="386" w:type="pct"/>
          </w:tcPr>
          <w:p w14:paraId="3BBB24C7">
            <w:pPr>
              <w:pStyle w:val="129"/>
              <w:rPr>
                <w:rFonts w:hint="eastAsia"/>
                <w:color w:val="000000"/>
              </w:rPr>
            </w:pPr>
            <w:r>
              <w:rPr>
                <w:rFonts w:hint="eastAsia" w:ascii="Songti SC" w:hAnsi="Songti SC" w:eastAsia="Songti SC" w:cs="Songti SC"/>
                <w:color w:val="000000"/>
              </w:rPr>
              <w:t>2</w:t>
            </w:r>
          </w:p>
        </w:tc>
        <w:tc>
          <w:tcPr>
            <w:tcW w:w="855" w:type="pct"/>
          </w:tcPr>
          <w:p w14:paraId="157EC634">
            <w:pPr>
              <w:pStyle w:val="129"/>
              <w:rPr>
                <w:rFonts w:hint="eastAsia"/>
                <w:color w:val="000000"/>
              </w:rPr>
            </w:pPr>
            <w:r>
              <w:rPr>
                <w:rFonts w:hint="eastAsia" w:ascii="Songti SC" w:hAnsi="Songti SC" w:eastAsia="Songti SC" w:cs="Songti SC"/>
                <w:color w:val="000000"/>
              </w:rPr>
              <w:t>密钥管理服务</w:t>
            </w:r>
          </w:p>
        </w:tc>
        <w:tc>
          <w:tcPr>
            <w:tcW w:w="1319" w:type="pct"/>
          </w:tcPr>
          <w:p w14:paraId="3B867F8C">
            <w:pPr>
              <w:pStyle w:val="129"/>
              <w:rPr>
                <w:rFonts w:hint="eastAsia"/>
                <w:color w:val="000000"/>
              </w:rPr>
            </w:pPr>
            <w:r>
              <w:rPr>
                <w:rFonts w:hint="eastAsia" w:ascii="Songti SC" w:hAnsi="Songti SC" w:eastAsia="Songti SC" w:cs="Songti SC"/>
                <w:color w:val="000000"/>
              </w:rPr>
              <w:t>提供加解密密钥的管理、公钥管理等，包括密钥的生成、更新、销毁以及管理策略等</w:t>
            </w:r>
          </w:p>
        </w:tc>
        <w:tc>
          <w:tcPr>
            <w:tcW w:w="1503" w:type="pct"/>
          </w:tcPr>
          <w:p w14:paraId="31D802B7">
            <w:pPr>
              <w:pStyle w:val="129"/>
              <w:rPr>
                <w:rFonts w:hint="eastAsia"/>
                <w:color w:val="000000"/>
              </w:rPr>
            </w:pPr>
            <w:r>
              <w:rPr>
                <w:rFonts w:hint="eastAsia" w:ascii="Songti SC" w:hAnsi="Songti SC" w:eastAsia="Songti SC" w:cs="Songti SC"/>
                <w:color w:val="000000"/>
              </w:rPr>
              <w:t>全面的密钥管理服务，涵盖对称与非对称密钥，包括密钥的生成、存储、归档与恢复等密钥生命周期的完整服务和管理；支持国密SM2、RSA等密钥算法，支持对不同数据类型的保留格式加解密；产品遵循三权分立原则划分角色及权限管理确保了操作的安全性和透明度。</w:t>
            </w:r>
          </w:p>
        </w:tc>
        <w:tc>
          <w:tcPr>
            <w:tcW w:w="487" w:type="pct"/>
          </w:tcPr>
          <w:p w14:paraId="46ECECB0">
            <w:pPr>
              <w:pStyle w:val="129"/>
              <w:rPr>
                <w:rFonts w:hint="eastAsia"/>
                <w:color w:val="000000"/>
              </w:rPr>
            </w:pPr>
            <w:r>
              <w:rPr>
                <w:rFonts w:hint="eastAsia" w:ascii="Songti SC" w:hAnsi="Songti SC" w:eastAsia="Songti SC" w:cs="Songti SC"/>
                <w:color w:val="000000"/>
              </w:rPr>
              <w:t>1</w:t>
            </w:r>
          </w:p>
        </w:tc>
        <w:tc>
          <w:tcPr>
            <w:tcW w:w="450" w:type="pct"/>
          </w:tcPr>
          <w:p w14:paraId="0A40FD59">
            <w:pPr>
              <w:pStyle w:val="129"/>
              <w:rPr>
                <w:rFonts w:hint="eastAsia"/>
                <w:color w:val="000000"/>
              </w:rPr>
            </w:pPr>
            <w:r>
              <w:rPr>
                <w:rFonts w:hint="eastAsia" w:ascii="Songti SC" w:hAnsi="Songti SC" w:eastAsia="Songti SC" w:cs="Songti SC"/>
                <w:color w:val="000000"/>
              </w:rPr>
              <w:t>项</w:t>
            </w:r>
          </w:p>
        </w:tc>
      </w:tr>
      <w:tr w14:paraId="6F800E60">
        <w:tc>
          <w:tcPr>
            <w:tcW w:w="386" w:type="pct"/>
          </w:tcPr>
          <w:p w14:paraId="1C8A3814">
            <w:pPr>
              <w:pStyle w:val="129"/>
              <w:rPr>
                <w:rFonts w:hint="eastAsia"/>
                <w:color w:val="000000"/>
              </w:rPr>
            </w:pPr>
            <w:r>
              <w:rPr>
                <w:rFonts w:hint="eastAsia" w:ascii="Songti SC" w:hAnsi="Songti SC" w:eastAsia="Songti SC" w:cs="Songti SC"/>
                <w:color w:val="000000"/>
              </w:rPr>
              <w:t>3</w:t>
            </w:r>
          </w:p>
        </w:tc>
        <w:tc>
          <w:tcPr>
            <w:tcW w:w="855" w:type="pct"/>
          </w:tcPr>
          <w:p w14:paraId="7D96251D">
            <w:pPr>
              <w:pStyle w:val="129"/>
              <w:rPr>
                <w:rFonts w:hint="eastAsia"/>
                <w:color w:val="000000"/>
              </w:rPr>
            </w:pPr>
            <w:r>
              <w:rPr>
                <w:rFonts w:hint="eastAsia" w:ascii="Songti SC" w:hAnsi="Songti SC" w:eastAsia="Songti SC" w:cs="Songti SC"/>
                <w:color w:val="000000"/>
              </w:rPr>
              <w:t>个人数字证书</w:t>
            </w:r>
          </w:p>
        </w:tc>
        <w:tc>
          <w:tcPr>
            <w:tcW w:w="1319" w:type="pct"/>
          </w:tcPr>
          <w:p w14:paraId="041ABF2D">
            <w:pPr>
              <w:pStyle w:val="129"/>
              <w:rPr>
                <w:rFonts w:hint="eastAsia"/>
                <w:color w:val="000000"/>
              </w:rPr>
            </w:pPr>
            <w:r>
              <w:rPr>
                <w:rFonts w:hint="eastAsia" w:ascii="Songti SC" w:hAnsi="Songti SC" w:eastAsia="Songti SC" w:cs="Songti SC"/>
                <w:color w:val="000000"/>
              </w:rPr>
              <w:t>针对运维人员、管理人员提供身份认证服务</w:t>
            </w:r>
          </w:p>
        </w:tc>
        <w:tc>
          <w:tcPr>
            <w:tcW w:w="1503" w:type="pct"/>
          </w:tcPr>
          <w:p w14:paraId="1124DBB8">
            <w:pPr>
              <w:pStyle w:val="129"/>
              <w:rPr>
                <w:rFonts w:hint="eastAsia"/>
                <w:color w:val="000000"/>
              </w:rPr>
            </w:pPr>
            <w:r>
              <w:rPr>
                <w:rFonts w:hint="eastAsia" w:ascii="Songti SC" w:hAnsi="Songti SC" w:eastAsia="Songti SC" w:cs="Songti SC"/>
                <w:color w:val="000000"/>
              </w:rPr>
              <w:t>标识运维人员、管理人员的网上身份，证书有效期1年</w:t>
            </w:r>
          </w:p>
        </w:tc>
        <w:tc>
          <w:tcPr>
            <w:tcW w:w="487" w:type="pct"/>
          </w:tcPr>
          <w:p w14:paraId="4E0DE86D">
            <w:pPr>
              <w:pStyle w:val="129"/>
              <w:rPr>
                <w:rFonts w:hint="eastAsia"/>
                <w:color w:val="000000"/>
              </w:rPr>
            </w:pPr>
            <w:r>
              <w:rPr>
                <w:rFonts w:hint="eastAsia" w:ascii="Songti SC" w:hAnsi="Songti SC" w:eastAsia="Songti SC" w:cs="Songti SC"/>
                <w:color w:val="000000"/>
              </w:rPr>
              <w:t>30</w:t>
            </w:r>
          </w:p>
        </w:tc>
        <w:tc>
          <w:tcPr>
            <w:tcW w:w="450" w:type="pct"/>
          </w:tcPr>
          <w:p w14:paraId="069A7B7D">
            <w:pPr>
              <w:pStyle w:val="129"/>
              <w:rPr>
                <w:rFonts w:hint="eastAsia"/>
                <w:color w:val="000000"/>
              </w:rPr>
            </w:pPr>
            <w:r>
              <w:rPr>
                <w:rFonts w:hint="eastAsia" w:ascii="Songti SC" w:hAnsi="Songti SC" w:eastAsia="Songti SC" w:cs="Songti SC"/>
                <w:color w:val="000000"/>
              </w:rPr>
              <w:t>个</w:t>
            </w:r>
          </w:p>
        </w:tc>
      </w:tr>
      <w:tr w14:paraId="1E30D357">
        <w:tc>
          <w:tcPr>
            <w:tcW w:w="386" w:type="pct"/>
          </w:tcPr>
          <w:p w14:paraId="1EB459E9">
            <w:pPr>
              <w:pStyle w:val="129"/>
              <w:rPr>
                <w:rFonts w:hint="eastAsia"/>
                <w:color w:val="000000"/>
              </w:rPr>
            </w:pPr>
            <w:r>
              <w:rPr>
                <w:rFonts w:hint="eastAsia" w:ascii="Songti SC" w:hAnsi="Songti SC" w:eastAsia="Songti SC" w:cs="Songti SC"/>
                <w:color w:val="000000"/>
              </w:rPr>
              <w:t>4</w:t>
            </w:r>
          </w:p>
        </w:tc>
        <w:tc>
          <w:tcPr>
            <w:tcW w:w="855" w:type="pct"/>
          </w:tcPr>
          <w:p w14:paraId="07E9FBD1">
            <w:pPr>
              <w:pStyle w:val="129"/>
              <w:rPr>
                <w:rFonts w:hint="eastAsia"/>
                <w:color w:val="000000"/>
              </w:rPr>
            </w:pPr>
            <w:r>
              <w:rPr>
                <w:rFonts w:hint="eastAsia" w:ascii="Songti SC" w:hAnsi="Songti SC" w:eastAsia="Songti SC" w:cs="Songti SC"/>
                <w:color w:val="000000"/>
              </w:rPr>
              <w:t>域名数字证书</w:t>
            </w:r>
          </w:p>
        </w:tc>
        <w:tc>
          <w:tcPr>
            <w:tcW w:w="1319" w:type="pct"/>
          </w:tcPr>
          <w:p w14:paraId="366E2EEF">
            <w:pPr>
              <w:pStyle w:val="129"/>
              <w:rPr>
                <w:rFonts w:hint="eastAsia"/>
                <w:color w:val="000000"/>
              </w:rPr>
            </w:pPr>
            <w:r>
              <w:rPr>
                <w:rFonts w:hint="eastAsia" w:ascii="Songti SC" w:hAnsi="Songti SC" w:eastAsia="Songti SC" w:cs="Songti SC"/>
                <w:color w:val="000000"/>
              </w:rPr>
              <w:t>提供HTTPS域名安全服务</w:t>
            </w:r>
          </w:p>
        </w:tc>
        <w:tc>
          <w:tcPr>
            <w:tcW w:w="1503" w:type="pct"/>
          </w:tcPr>
          <w:p w14:paraId="3C0B4E88">
            <w:pPr>
              <w:pStyle w:val="129"/>
              <w:rPr>
                <w:rFonts w:hint="eastAsia"/>
                <w:color w:val="000000"/>
              </w:rPr>
            </w:pPr>
            <w:r>
              <w:rPr>
                <w:rFonts w:hint="eastAsia" w:ascii="Songti SC" w:hAnsi="Songti SC" w:eastAsia="Songti SC" w:cs="Songti SC"/>
                <w:color w:val="000000"/>
              </w:rPr>
              <w:t>DV通配符SSL证书是指只验证网站域名使用权的简易型通配符SSL证书，证书用于验证一个域名以及该域名所有二级子域名的使用权。</w:t>
            </w:r>
          </w:p>
          <w:p w14:paraId="18D08ABB">
            <w:pPr>
              <w:pStyle w:val="129"/>
              <w:rPr>
                <w:rFonts w:hint="eastAsia"/>
                <w:color w:val="000000"/>
              </w:rPr>
            </w:pPr>
            <w:r>
              <w:rPr>
                <w:rFonts w:hint="eastAsia" w:ascii="Songti SC" w:hAnsi="Songti SC" w:eastAsia="Songti SC" w:cs="Songti SC"/>
                <w:color w:val="000000"/>
              </w:rPr>
              <w:t>该产品含SM2/RSA双证书：</w:t>
            </w:r>
          </w:p>
          <w:p w14:paraId="1366DAD0">
            <w:pPr>
              <w:pStyle w:val="129"/>
              <w:rPr>
                <w:rFonts w:hint="eastAsia"/>
                <w:color w:val="000000"/>
              </w:rPr>
            </w:pPr>
            <w:r>
              <w:rPr>
                <w:rFonts w:hint="eastAsia" w:ascii="Songti SC" w:hAnsi="Songti SC" w:eastAsia="Songti SC" w:cs="Songti SC"/>
                <w:color w:val="000000"/>
              </w:rPr>
              <w:t>1、SM2SSL证书支持360、奇安信等国密浏览器；</w:t>
            </w:r>
          </w:p>
          <w:p w14:paraId="6BE51DD9">
            <w:pPr>
              <w:pStyle w:val="129"/>
              <w:rPr>
                <w:rFonts w:hint="eastAsia"/>
                <w:color w:val="000000"/>
              </w:rPr>
            </w:pPr>
            <w:r>
              <w:rPr>
                <w:rFonts w:hint="eastAsia" w:ascii="Songti SC" w:hAnsi="Songti SC" w:eastAsia="Songti SC" w:cs="Songti SC"/>
                <w:color w:val="000000"/>
              </w:rPr>
              <w:t>2、RSASSL证书支持谷歌、火狐、IE等全球主流浏览器。</w:t>
            </w:r>
          </w:p>
        </w:tc>
        <w:tc>
          <w:tcPr>
            <w:tcW w:w="487" w:type="pct"/>
          </w:tcPr>
          <w:p w14:paraId="4FB70830">
            <w:pPr>
              <w:pStyle w:val="129"/>
              <w:rPr>
                <w:rFonts w:hint="eastAsia"/>
                <w:color w:val="000000"/>
              </w:rPr>
            </w:pPr>
            <w:r>
              <w:rPr>
                <w:rFonts w:hint="eastAsia" w:ascii="Songti SC" w:hAnsi="Songti SC" w:eastAsia="Songti SC" w:cs="Songti SC"/>
                <w:color w:val="000000"/>
              </w:rPr>
              <w:t>2</w:t>
            </w:r>
          </w:p>
        </w:tc>
        <w:tc>
          <w:tcPr>
            <w:tcW w:w="450" w:type="pct"/>
          </w:tcPr>
          <w:p w14:paraId="3BC20B1B">
            <w:pPr>
              <w:pStyle w:val="129"/>
              <w:rPr>
                <w:rFonts w:hint="eastAsia"/>
                <w:color w:val="000000"/>
              </w:rPr>
            </w:pPr>
            <w:r>
              <w:rPr>
                <w:rFonts w:hint="eastAsia" w:ascii="Songti SC" w:hAnsi="Songti SC" w:eastAsia="Songti SC" w:cs="Songti SC"/>
                <w:color w:val="000000"/>
              </w:rPr>
              <w:t>个</w:t>
            </w:r>
          </w:p>
        </w:tc>
      </w:tr>
      <w:tr w14:paraId="4E3CFCC3">
        <w:tc>
          <w:tcPr>
            <w:tcW w:w="386" w:type="pct"/>
          </w:tcPr>
          <w:p w14:paraId="522883DA">
            <w:pPr>
              <w:pStyle w:val="129"/>
              <w:rPr>
                <w:rFonts w:hint="eastAsia"/>
                <w:color w:val="000000"/>
              </w:rPr>
            </w:pPr>
            <w:r>
              <w:rPr>
                <w:rFonts w:hint="eastAsia" w:ascii="Songti SC" w:hAnsi="Songti SC" w:eastAsia="Songti SC" w:cs="Songti SC"/>
                <w:color w:val="000000"/>
              </w:rPr>
              <w:t>5</w:t>
            </w:r>
          </w:p>
        </w:tc>
        <w:tc>
          <w:tcPr>
            <w:tcW w:w="855" w:type="pct"/>
          </w:tcPr>
          <w:p w14:paraId="77571477">
            <w:pPr>
              <w:pStyle w:val="129"/>
              <w:rPr>
                <w:rFonts w:hint="eastAsia"/>
                <w:color w:val="000000"/>
              </w:rPr>
            </w:pPr>
            <w:r>
              <w:rPr>
                <w:rFonts w:hint="eastAsia" w:ascii="Songti SC" w:hAnsi="Songti SC" w:eastAsia="Songti SC" w:cs="Songti SC"/>
                <w:color w:val="000000"/>
              </w:rPr>
              <w:t>SSLVPN</w:t>
            </w:r>
          </w:p>
        </w:tc>
        <w:tc>
          <w:tcPr>
            <w:tcW w:w="1319" w:type="pct"/>
          </w:tcPr>
          <w:p w14:paraId="62B90400">
            <w:pPr>
              <w:pStyle w:val="129"/>
              <w:rPr>
                <w:rFonts w:hint="eastAsia"/>
                <w:color w:val="000000"/>
              </w:rPr>
            </w:pPr>
            <w:r>
              <w:rPr>
                <w:rFonts w:hint="eastAsia" w:ascii="Songti SC" w:hAnsi="Songti SC" w:eastAsia="Songti SC" w:cs="Songti SC"/>
                <w:color w:val="000000"/>
              </w:rPr>
              <w:t>包括V</w:t>
            </w:r>
            <w:r>
              <w:rPr>
                <w:rFonts w:ascii="Songti SC" w:hAnsi="Songti SC" w:eastAsia="Songti SC" w:cs="Songti SC"/>
                <w:color w:val="000000"/>
              </w:rPr>
              <w:t>PN</w:t>
            </w:r>
            <w:r>
              <w:rPr>
                <w:rFonts w:hint="eastAsia" w:ascii="Songti SC" w:hAnsi="Songti SC" w:eastAsia="Songti SC" w:cs="Songti SC"/>
                <w:color w:val="000000"/>
              </w:rPr>
              <w:t>服务端以及V</w:t>
            </w:r>
            <w:r>
              <w:rPr>
                <w:rFonts w:ascii="Songti SC" w:hAnsi="Songti SC" w:eastAsia="Songti SC" w:cs="Songti SC"/>
                <w:color w:val="000000"/>
              </w:rPr>
              <w:t>PN</w:t>
            </w:r>
            <w:r>
              <w:rPr>
                <w:rFonts w:hint="eastAsia" w:ascii="Songti SC" w:hAnsi="Songti SC" w:eastAsia="Songti SC" w:cs="Songti SC"/>
                <w:color w:val="000000"/>
              </w:rPr>
              <w:t>客户端，支持公众号/小程序嵌入集成、拨号入网以及结合智能密码钥匙身份认证拨号入网方式</w:t>
            </w:r>
          </w:p>
        </w:tc>
        <w:tc>
          <w:tcPr>
            <w:tcW w:w="1503" w:type="pct"/>
          </w:tcPr>
          <w:p w14:paraId="6EDB6E0E">
            <w:pPr>
              <w:pStyle w:val="129"/>
              <w:rPr>
                <w:rFonts w:hint="eastAsia"/>
                <w:color w:val="000000"/>
              </w:rPr>
            </w:pPr>
            <w:r>
              <w:rPr>
                <w:rFonts w:hint="eastAsia" w:ascii="Songti SC" w:hAnsi="Songti SC" w:eastAsia="Songti SC" w:cs="Songti SC"/>
                <w:color w:val="000000"/>
              </w:rPr>
              <w:t>提供传输加密、身份认证、访问控制等功能，适配PC、移动设备；支持UKEY、移动协同签名等多因子认证方式；支持硬件特征码和基于角色授权访问控制。</w:t>
            </w:r>
          </w:p>
          <w:p w14:paraId="731A0B2A">
            <w:pPr>
              <w:pStyle w:val="129"/>
              <w:rPr>
                <w:rFonts w:hint="eastAsia"/>
                <w:color w:val="000000"/>
              </w:rPr>
            </w:pPr>
            <w:r>
              <w:rPr>
                <w:rFonts w:hint="eastAsia" w:ascii="Songti SC" w:hAnsi="Songti SC" w:eastAsia="Songti SC" w:cs="Songti SC"/>
                <w:color w:val="000000"/>
              </w:rPr>
              <w:t>支持国密SSL卸载，每秒新建连接数36,000，最大并发连接数1,100,000，吞吐率9Gbps；</w:t>
            </w:r>
          </w:p>
        </w:tc>
        <w:tc>
          <w:tcPr>
            <w:tcW w:w="487" w:type="pct"/>
          </w:tcPr>
          <w:p w14:paraId="492B42AB">
            <w:pPr>
              <w:pStyle w:val="129"/>
              <w:rPr>
                <w:rFonts w:hint="eastAsia"/>
                <w:color w:val="000000"/>
              </w:rPr>
            </w:pPr>
            <w:r>
              <w:rPr>
                <w:rFonts w:hint="eastAsia" w:ascii="Songti SC" w:hAnsi="Songti SC" w:eastAsia="Songti SC" w:cs="Songti SC"/>
                <w:color w:val="000000"/>
              </w:rPr>
              <w:t>1</w:t>
            </w:r>
          </w:p>
        </w:tc>
        <w:tc>
          <w:tcPr>
            <w:tcW w:w="450" w:type="pct"/>
          </w:tcPr>
          <w:p w14:paraId="1BA97011">
            <w:pPr>
              <w:pStyle w:val="129"/>
              <w:rPr>
                <w:rFonts w:hint="eastAsia"/>
                <w:color w:val="000000"/>
              </w:rPr>
            </w:pPr>
            <w:r>
              <w:rPr>
                <w:rFonts w:hint="eastAsia" w:ascii="Songti SC" w:hAnsi="Songti SC" w:eastAsia="Songti SC" w:cs="Songti SC"/>
                <w:color w:val="000000"/>
              </w:rPr>
              <w:t>台</w:t>
            </w:r>
          </w:p>
        </w:tc>
      </w:tr>
      <w:tr w14:paraId="2C68E4F7">
        <w:tc>
          <w:tcPr>
            <w:tcW w:w="386" w:type="pct"/>
          </w:tcPr>
          <w:p w14:paraId="14B9B4B6">
            <w:pPr>
              <w:pStyle w:val="129"/>
              <w:rPr>
                <w:rFonts w:hint="eastAsia"/>
                <w:color w:val="000000"/>
              </w:rPr>
            </w:pPr>
            <w:r>
              <w:rPr>
                <w:rFonts w:hint="eastAsia" w:ascii="Songti SC" w:hAnsi="Songti SC" w:eastAsia="Songti SC" w:cs="Songti SC"/>
                <w:color w:val="000000"/>
              </w:rPr>
              <w:t>6</w:t>
            </w:r>
          </w:p>
        </w:tc>
        <w:tc>
          <w:tcPr>
            <w:tcW w:w="855" w:type="pct"/>
          </w:tcPr>
          <w:p w14:paraId="335664DD">
            <w:pPr>
              <w:pStyle w:val="129"/>
              <w:rPr>
                <w:rFonts w:hint="eastAsia"/>
                <w:color w:val="000000"/>
              </w:rPr>
            </w:pPr>
            <w:r>
              <w:rPr>
                <w:rFonts w:hint="eastAsia" w:ascii="Songti SC" w:hAnsi="Songti SC" w:eastAsia="Songti SC" w:cs="Songti SC"/>
                <w:color w:val="000000"/>
              </w:rPr>
              <w:t>智能密码钥匙KEY</w:t>
            </w:r>
          </w:p>
        </w:tc>
        <w:tc>
          <w:tcPr>
            <w:tcW w:w="1319" w:type="pct"/>
          </w:tcPr>
          <w:p w14:paraId="14683559">
            <w:pPr>
              <w:pStyle w:val="129"/>
              <w:rPr>
                <w:rFonts w:hint="eastAsia"/>
                <w:color w:val="000000"/>
              </w:rPr>
            </w:pPr>
            <w:r>
              <w:rPr>
                <w:rFonts w:hint="eastAsia" w:ascii="Songti SC" w:hAnsi="Songti SC" w:eastAsia="Songti SC" w:cs="Songti SC"/>
                <w:color w:val="000000"/>
              </w:rPr>
              <w:t>运维人员及充值人员通过智能密码钥匙（预制数字证书）访问远程服务器资源，身份认证系统提供服务端密码服务</w:t>
            </w:r>
          </w:p>
        </w:tc>
        <w:tc>
          <w:tcPr>
            <w:tcW w:w="1503" w:type="pct"/>
          </w:tcPr>
          <w:p w14:paraId="7CD3609C">
            <w:pPr>
              <w:pStyle w:val="129"/>
              <w:rPr>
                <w:rFonts w:hint="eastAsia"/>
                <w:color w:val="000000"/>
              </w:rPr>
            </w:pPr>
            <w:r>
              <w:rPr>
                <w:rFonts w:hint="eastAsia" w:ascii="Songti SC" w:hAnsi="Songti SC" w:eastAsia="Songti SC" w:cs="Songti SC"/>
                <w:color w:val="000000"/>
              </w:rPr>
              <w:t>智能密码钥匙（标准版）</w:t>
            </w:r>
          </w:p>
          <w:p w14:paraId="542E333D">
            <w:pPr>
              <w:pStyle w:val="129"/>
              <w:rPr>
                <w:rFonts w:hint="eastAsia"/>
                <w:color w:val="000000"/>
              </w:rPr>
            </w:pPr>
            <w:r>
              <w:rPr>
                <w:rFonts w:hint="eastAsia" w:ascii="Songti SC" w:hAnsi="Songti SC" w:eastAsia="Songti SC" w:cs="Songti SC"/>
                <w:color w:val="000000"/>
              </w:rPr>
              <w:t>支持PC端应用介质：32位CPU，大于72K字节证书(密钥存储)，支持SM2和RSA证书；</w:t>
            </w:r>
          </w:p>
        </w:tc>
        <w:tc>
          <w:tcPr>
            <w:tcW w:w="487" w:type="pct"/>
          </w:tcPr>
          <w:p w14:paraId="0B707AAA">
            <w:pPr>
              <w:pStyle w:val="129"/>
              <w:rPr>
                <w:rFonts w:hint="eastAsia"/>
                <w:color w:val="000000"/>
              </w:rPr>
            </w:pPr>
            <w:r>
              <w:rPr>
                <w:rFonts w:hint="eastAsia" w:ascii="Songti SC" w:hAnsi="Songti SC" w:eastAsia="Songti SC" w:cs="Songti SC"/>
                <w:color w:val="000000"/>
              </w:rPr>
              <w:t>30</w:t>
            </w:r>
          </w:p>
        </w:tc>
        <w:tc>
          <w:tcPr>
            <w:tcW w:w="450" w:type="pct"/>
          </w:tcPr>
          <w:p w14:paraId="751E7484">
            <w:pPr>
              <w:pStyle w:val="129"/>
              <w:rPr>
                <w:rFonts w:hint="eastAsia"/>
                <w:color w:val="000000"/>
              </w:rPr>
            </w:pPr>
            <w:r>
              <w:rPr>
                <w:rFonts w:hint="eastAsia" w:ascii="Songti SC" w:hAnsi="Songti SC" w:eastAsia="Songti SC" w:cs="Songti SC"/>
                <w:color w:val="000000"/>
              </w:rPr>
              <w:t>个</w:t>
            </w:r>
          </w:p>
        </w:tc>
      </w:tr>
      <w:tr w14:paraId="30A2AC18">
        <w:tc>
          <w:tcPr>
            <w:tcW w:w="386" w:type="pct"/>
          </w:tcPr>
          <w:p w14:paraId="4F2498B1">
            <w:pPr>
              <w:pStyle w:val="129"/>
              <w:rPr>
                <w:rFonts w:hint="eastAsia"/>
                <w:color w:val="000000"/>
              </w:rPr>
            </w:pPr>
            <w:r>
              <w:rPr>
                <w:rFonts w:hint="eastAsia" w:ascii="Songti SC" w:hAnsi="Songti SC" w:eastAsia="Songti SC" w:cs="Songti SC"/>
                <w:color w:val="000000"/>
              </w:rPr>
              <w:t>7</w:t>
            </w:r>
          </w:p>
        </w:tc>
        <w:tc>
          <w:tcPr>
            <w:tcW w:w="855" w:type="pct"/>
          </w:tcPr>
          <w:p w14:paraId="4A02AAA6">
            <w:pPr>
              <w:pStyle w:val="129"/>
              <w:rPr>
                <w:rFonts w:hint="eastAsia"/>
                <w:color w:val="000000"/>
              </w:rPr>
            </w:pPr>
            <w:r>
              <w:rPr>
                <w:rFonts w:hint="eastAsia" w:ascii="Songti SC" w:hAnsi="Songti SC" w:eastAsia="Songti SC" w:cs="Songti SC"/>
                <w:color w:val="000000"/>
              </w:rPr>
              <w:t>安全浏览器</w:t>
            </w:r>
          </w:p>
        </w:tc>
        <w:tc>
          <w:tcPr>
            <w:tcW w:w="1319" w:type="pct"/>
          </w:tcPr>
          <w:p w14:paraId="63596ECE">
            <w:pPr>
              <w:pStyle w:val="129"/>
              <w:rPr>
                <w:rFonts w:hint="eastAsia"/>
                <w:color w:val="000000"/>
              </w:rPr>
            </w:pPr>
            <w:r>
              <w:rPr>
                <w:rFonts w:hint="eastAsia" w:ascii="Songti SC" w:hAnsi="Songti SC" w:eastAsia="Songti SC" w:cs="Songti SC"/>
                <w:color w:val="000000"/>
              </w:rPr>
              <w:t>提供远程互联网访问的密码通信隧道安全，安全浏览器支持</w:t>
            </w:r>
            <w:r>
              <w:rPr>
                <w:rFonts w:ascii="Songti SC" w:hAnsi="Songti SC" w:eastAsia="Songti SC" w:cs="Songti SC"/>
                <w:color w:val="000000"/>
              </w:rPr>
              <w:t>SM2、SM3、SM4密码算法，支持基于国密算法的SSL协议</w:t>
            </w:r>
          </w:p>
        </w:tc>
        <w:tc>
          <w:tcPr>
            <w:tcW w:w="1503" w:type="pct"/>
          </w:tcPr>
          <w:p w14:paraId="78FCC021">
            <w:pPr>
              <w:pStyle w:val="129"/>
              <w:rPr>
                <w:rFonts w:hint="eastAsia"/>
                <w:color w:val="000000"/>
              </w:rPr>
            </w:pPr>
            <w:r>
              <w:rPr>
                <w:rFonts w:hint="eastAsia" w:ascii="Songti SC" w:hAnsi="Songti SC" w:eastAsia="Songti SC" w:cs="Songti SC"/>
                <w:color w:val="000000"/>
              </w:rPr>
              <w:t>国密安全浏览器授权</w:t>
            </w:r>
          </w:p>
        </w:tc>
        <w:tc>
          <w:tcPr>
            <w:tcW w:w="487" w:type="pct"/>
          </w:tcPr>
          <w:p w14:paraId="1363B664">
            <w:pPr>
              <w:pStyle w:val="129"/>
              <w:rPr>
                <w:rFonts w:hint="eastAsia"/>
                <w:color w:val="000000"/>
              </w:rPr>
            </w:pPr>
            <w:r>
              <w:rPr>
                <w:rFonts w:hint="eastAsia" w:ascii="Songti SC" w:hAnsi="Songti SC" w:eastAsia="Songti SC" w:cs="Songti SC"/>
                <w:color w:val="000000"/>
              </w:rPr>
              <w:t>30</w:t>
            </w:r>
          </w:p>
        </w:tc>
        <w:tc>
          <w:tcPr>
            <w:tcW w:w="450" w:type="pct"/>
          </w:tcPr>
          <w:p w14:paraId="7358CC4D">
            <w:pPr>
              <w:pStyle w:val="129"/>
              <w:rPr>
                <w:rFonts w:hint="eastAsia"/>
                <w:color w:val="000000"/>
              </w:rPr>
            </w:pPr>
            <w:r>
              <w:rPr>
                <w:rFonts w:hint="eastAsia" w:ascii="Songti SC" w:hAnsi="Songti SC" w:eastAsia="Songti SC" w:cs="Songti SC"/>
                <w:color w:val="000000"/>
              </w:rPr>
              <w:t>个</w:t>
            </w:r>
          </w:p>
        </w:tc>
      </w:tr>
    </w:tbl>
    <w:p w14:paraId="6BB0F3F3">
      <w:pPr>
        <w:pStyle w:val="4"/>
        <w:rPr>
          <w:rFonts w:hint="eastAsia"/>
          <w:color w:val="000000"/>
        </w:rPr>
      </w:pPr>
      <w:bookmarkStart w:id="667" w:name="_Toc1310946667"/>
      <w:bookmarkStart w:id="668" w:name="_Toc194326864"/>
      <w:bookmarkStart w:id="669" w:name="_Toc358876769"/>
      <w:bookmarkStart w:id="670" w:name="_Toc111127816"/>
      <w:bookmarkStart w:id="671" w:name="_Toc109942639"/>
      <w:bookmarkStart w:id="672" w:name="_Toc2020076662"/>
      <w:r>
        <w:rPr>
          <w:rFonts w:hint="eastAsia" w:ascii="Songti SC" w:hAnsi="Songti SC" w:eastAsia="Songti SC" w:cs="Songti SC"/>
          <w:color w:val="000000"/>
        </w:rPr>
        <w:t>安全与合规性分析</w:t>
      </w:r>
      <w:bookmarkEnd w:id="667"/>
      <w:bookmarkEnd w:id="668"/>
      <w:bookmarkEnd w:id="669"/>
      <w:bookmarkEnd w:id="670"/>
      <w:bookmarkEnd w:id="671"/>
      <w:bookmarkEnd w:id="672"/>
    </w:p>
    <w:p w14:paraId="7E8BAC4E">
      <w:pPr>
        <w:ind w:firstLine="480"/>
        <w:rPr>
          <w:rFonts w:hint="eastAsia"/>
          <w:color w:val="000000"/>
        </w:rPr>
      </w:pPr>
      <w:r>
        <w:rPr>
          <w:rFonts w:hint="eastAsia" w:ascii="Songti SC" w:hAnsi="Songti SC" w:eastAsia="Songti SC" w:cs="Songti SC"/>
          <w:color w:val="000000"/>
        </w:rPr>
        <w:t>本期按目标政务云的承载边界落实物理和环境安全密码要求，相关措施由承载方提供并以其服务及评估材料说明。本项目不重复建设机房门禁和监控，但不能因此直接认定相关要求不适用，也不能用云平台结论替代本应用的密码测评。</w:t>
      </w:r>
    </w:p>
    <w:p w14:paraId="4F5E366E">
      <w:pPr>
        <w:pStyle w:val="14"/>
        <w:rPr>
          <w:rFonts w:hint="eastAsia" w:cs="宋体"/>
          <w:color w:val="000000"/>
        </w:rPr>
      </w:pPr>
      <w:bookmarkStart w:id="673" w:name="_Toc194255056"/>
      <w:r>
        <w:rPr>
          <w:rFonts w:ascii="Songti SC" w:hAnsi="Songti SC" w:eastAsia="Songti SC" w:cs="Songti SC"/>
          <w:color w:val="000000"/>
        </w:rPr>
        <w:t>表</w:t>
      </w:r>
      <w:r>
        <w:rPr>
          <w:rFonts w:ascii="Songti SC" w:hAnsi="Songti SC" w:eastAsia="Songti SC" w:cs="Songti SC"/>
          <w:color w:val="000000"/>
        </w:rPr>
        <w:fldChar w:fldCharType="begin"/>
      </w:r>
      <w:r>
        <w:rPr>
          <w:rFonts w:ascii="Songti SC" w:hAnsi="Songti SC" w:eastAsia="Songti SC" w:cs="Songti SC"/>
          <w:color w:val="000000"/>
        </w:rPr>
        <w:instrText xml:space="preserve"> STYLEREF 1 \s </w:instrText>
      </w:r>
      <w:r>
        <w:rPr>
          <w:rFonts w:ascii="Songti SC" w:hAnsi="Songti SC" w:eastAsia="Songti SC" w:cs="Songti SC"/>
          <w:color w:val="000000"/>
        </w:rPr>
        <w:fldChar w:fldCharType="separate"/>
      </w:r>
      <w:r>
        <w:rPr>
          <w:rFonts w:ascii="Songti SC" w:hAnsi="Songti SC" w:eastAsia="Songti SC" w:cs="Songti SC"/>
          <w:color w:val="000000"/>
        </w:rPr>
        <w:t>6</w:t>
      </w:r>
      <w:r>
        <w:rPr>
          <w:rFonts w:ascii="Songti SC" w:hAnsi="Songti SC" w:eastAsia="Songti SC" w:cs="Songti SC"/>
          <w:color w:val="000000"/>
        </w:rPr>
        <w:fldChar w:fldCharType="end"/>
      </w:r>
      <w:r>
        <w:rPr>
          <w:rFonts w:ascii="Songti SC" w:hAnsi="Songti SC" w:eastAsia="Songti SC" w:cs="Songti SC"/>
          <w:color w:val="000000"/>
        </w:rPr>
        <w:t>.</w:t>
      </w:r>
      <w:r>
        <w:rPr>
          <w:rFonts w:ascii="Songti SC" w:hAnsi="Songti SC" w:eastAsia="Songti SC" w:cs="Songti SC"/>
          <w:color w:val="000000"/>
        </w:rPr>
        <w:fldChar w:fldCharType="begin"/>
      </w:r>
      <w:r>
        <w:rPr>
          <w:rFonts w:ascii="Songti SC" w:hAnsi="Songti SC" w:eastAsia="Songti SC" w:cs="Songti SC"/>
          <w:color w:val="000000"/>
        </w:rPr>
        <w:instrText xml:space="preserve"> SEQ 表 \* ARABIC \s 1 </w:instrText>
      </w:r>
      <w:r>
        <w:rPr>
          <w:rFonts w:ascii="Songti SC" w:hAnsi="Songti SC" w:eastAsia="Songti SC" w:cs="Songti SC"/>
          <w:color w:val="000000"/>
        </w:rPr>
        <w:fldChar w:fldCharType="separate"/>
      </w:r>
      <w:r>
        <w:rPr>
          <w:rFonts w:ascii="Songti SC" w:hAnsi="Songti SC" w:eastAsia="Songti SC" w:cs="Songti SC"/>
          <w:color w:val="000000"/>
        </w:rPr>
        <w:t>3</w:t>
      </w:r>
      <w:r>
        <w:rPr>
          <w:rFonts w:ascii="Songti SC" w:hAnsi="Songti SC" w:eastAsia="Songti SC" w:cs="Songti SC"/>
          <w:color w:val="000000"/>
        </w:rPr>
        <w:fldChar w:fldCharType="end"/>
      </w:r>
      <w:r>
        <w:rPr>
          <w:rFonts w:ascii="Songti SC" w:hAnsi="Songti SC" w:eastAsia="Songti SC" w:cs="Songti SC"/>
          <w:color w:val="000000"/>
        </w:rPr>
        <w:t>密码应用合规性对照表</w:t>
      </w:r>
      <w:bookmarkEnd w:id="673"/>
    </w:p>
    <w:tbl>
      <w:tblPr>
        <w:tblStyle w:val="60"/>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63"/>
        <w:gridCol w:w="1362"/>
        <w:gridCol w:w="2591"/>
        <w:gridCol w:w="1701"/>
        <w:gridCol w:w="1905"/>
      </w:tblGrid>
      <w:tr w14:paraId="0B2053AD">
        <w:tc>
          <w:tcPr>
            <w:tcW w:w="565" w:type="pct"/>
            <w:vAlign w:val="center"/>
          </w:tcPr>
          <w:p w14:paraId="6C5AEACE">
            <w:pPr>
              <w:pStyle w:val="128"/>
              <w:jc w:val="both"/>
              <w:rPr>
                <w:rFonts w:hint="eastAsia"/>
                <w:color w:val="000000"/>
                <w:sz w:val="21"/>
              </w:rPr>
            </w:pPr>
            <w:r>
              <w:rPr>
                <w:rFonts w:hint="eastAsia" w:ascii="Songti SC" w:hAnsi="Songti SC" w:eastAsia="Songti SC" w:cs="Songti SC"/>
                <w:color w:val="000000"/>
                <w:sz w:val="21"/>
              </w:rPr>
              <w:t>指标要求</w:t>
            </w:r>
          </w:p>
        </w:tc>
        <w:tc>
          <w:tcPr>
            <w:tcW w:w="799" w:type="pct"/>
            <w:vAlign w:val="center"/>
          </w:tcPr>
          <w:p w14:paraId="76EEE0A9">
            <w:pPr>
              <w:pStyle w:val="128"/>
              <w:jc w:val="both"/>
              <w:rPr>
                <w:rFonts w:hint="eastAsia"/>
                <w:color w:val="000000"/>
                <w:sz w:val="21"/>
              </w:rPr>
            </w:pPr>
            <w:r>
              <w:rPr>
                <w:rFonts w:hint="eastAsia" w:ascii="Songti SC" w:hAnsi="Songti SC" w:eastAsia="Songti SC" w:cs="Songti SC"/>
                <w:color w:val="000000"/>
                <w:sz w:val="21"/>
              </w:rPr>
              <w:t>密码技术应用点</w:t>
            </w:r>
          </w:p>
        </w:tc>
        <w:tc>
          <w:tcPr>
            <w:tcW w:w="1520" w:type="pct"/>
            <w:vAlign w:val="center"/>
          </w:tcPr>
          <w:p w14:paraId="452DAF1A">
            <w:pPr>
              <w:pStyle w:val="128"/>
              <w:rPr>
                <w:rFonts w:hint="eastAsia"/>
                <w:color w:val="000000"/>
                <w:sz w:val="21"/>
              </w:rPr>
            </w:pPr>
            <w:r>
              <w:rPr>
                <w:rFonts w:hint="eastAsia" w:ascii="Songti SC" w:hAnsi="Songti SC" w:eastAsia="Songti SC" w:cs="Songti SC"/>
                <w:color w:val="000000"/>
                <w:sz w:val="21"/>
              </w:rPr>
              <w:t>采取措施</w:t>
            </w:r>
          </w:p>
        </w:tc>
        <w:tc>
          <w:tcPr>
            <w:tcW w:w="998" w:type="pct"/>
            <w:vAlign w:val="center"/>
          </w:tcPr>
          <w:p w14:paraId="04A34E18">
            <w:pPr>
              <w:pStyle w:val="128"/>
              <w:rPr>
                <w:rFonts w:hint="eastAsia"/>
                <w:color w:val="000000"/>
                <w:sz w:val="21"/>
              </w:rPr>
            </w:pPr>
            <w:r>
              <w:rPr>
                <w:rFonts w:hint="eastAsia" w:ascii="Songti SC" w:hAnsi="Songti SC" w:eastAsia="Songti SC" w:cs="Songti SC"/>
                <w:color w:val="000000"/>
                <w:sz w:val="21"/>
              </w:rPr>
              <w:t>本期设计安排</w:t>
            </w:r>
          </w:p>
          <w:p w14:paraId="07F79370">
            <w:pPr>
              <w:pStyle w:val="128"/>
              <w:rPr>
                <w:rFonts w:hint="eastAsia"/>
                <w:color w:val="000000"/>
                <w:sz w:val="21"/>
              </w:rPr>
            </w:pPr>
          </w:p>
        </w:tc>
        <w:tc>
          <w:tcPr>
            <w:tcW w:w="1117" w:type="pct"/>
            <w:vAlign w:val="center"/>
          </w:tcPr>
          <w:p w14:paraId="3FDFE350">
            <w:pPr>
              <w:pStyle w:val="128"/>
              <w:jc w:val="both"/>
              <w:rPr>
                <w:rFonts w:hint="eastAsia"/>
                <w:color w:val="000000"/>
                <w:sz w:val="21"/>
              </w:rPr>
            </w:pPr>
            <w:r>
              <w:rPr>
                <w:rFonts w:hint="eastAsia" w:ascii="Songti SC" w:hAnsi="Songti SC" w:eastAsia="Songti SC" w:cs="Songti SC"/>
                <w:color w:val="000000"/>
                <w:sz w:val="21"/>
              </w:rPr>
              <w:t>实施与评估边界</w:t>
            </w:r>
          </w:p>
        </w:tc>
      </w:tr>
      <w:tr w14:paraId="1A1FC01B">
        <w:trPr>
          <w:trHeight w:val="564" w:hRule="atLeast"/>
        </w:trPr>
        <w:tc>
          <w:tcPr>
            <w:tcW w:w="565" w:type="pct"/>
            <w:vMerge w:val="restart"/>
            <w:vAlign w:val="center"/>
          </w:tcPr>
          <w:p w14:paraId="7236BEA1">
            <w:pPr>
              <w:pStyle w:val="129"/>
              <w:jc w:val="both"/>
              <w:rPr>
                <w:rFonts w:hint="eastAsia"/>
                <w:color w:val="000000"/>
                <w:sz w:val="21"/>
              </w:rPr>
            </w:pPr>
            <w:r>
              <w:rPr>
                <w:rFonts w:hint="eastAsia" w:ascii="Songti SC" w:hAnsi="Songti SC" w:eastAsia="Songti SC" w:cs="Songti SC"/>
                <w:color w:val="000000"/>
                <w:sz w:val="21"/>
              </w:rPr>
              <w:t>网络和通信安全</w:t>
            </w:r>
          </w:p>
        </w:tc>
        <w:tc>
          <w:tcPr>
            <w:tcW w:w="799" w:type="pct"/>
          </w:tcPr>
          <w:p w14:paraId="393C1BD4">
            <w:pPr>
              <w:pStyle w:val="129"/>
              <w:jc w:val="both"/>
              <w:rPr>
                <w:rFonts w:hint="eastAsia"/>
                <w:color w:val="000000"/>
                <w:sz w:val="21"/>
              </w:rPr>
            </w:pPr>
            <w:r>
              <w:rPr>
                <w:rFonts w:hint="eastAsia" w:ascii="Songti SC" w:hAnsi="Songti SC" w:eastAsia="Songti SC" w:cs="Songti SC"/>
                <w:color w:val="000000"/>
                <w:sz w:val="21"/>
              </w:rPr>
              <w:t>身份鉴别</w:t>
            </w:r>
          </w:p>
        </w:tc>
        <w:tc>
          <w:tcPr>
            <w:tcW w:w="1520" w:type="pct"/>
          </w:tcPr>
          <w:p w14:paraId="520458E0">
            <w:pPr>
              <w:pStyle w:val="129"/>
              <w:jc w:val="both"/>
              <w:rPr>
                <w:rFonts w:hint="eastAsia"/>
                <w:color w:val="000000"/>
                <w:sz w:val="21"/>
              </w:rPr>
            </w:pPr>
            <w:r>
              <w:rPr>
                <w:rFonts w:hint="eastAsia" w:ascii="Songti SC" w:hAnsi="Songti SC" w:eastAsia="Songti SC" w:cs="Songti SC"/>
                <w:color w:val="000000"/>
                <w:sz w:val="21"/>
              </w:rPr>
              <w:t>签名验签服务对关键设备颁发根证书，并在通信过程验签确认实体身份的真实性</w:t>
            </w:r>
          </w:p>
        </w:tc>
        <w:tc>
          <w:tcPr>
            <w:tcW w:w="998" w:type="pct"/>
          </w:tcPr>
          <w:p w14:paraId="0BD26072">
            <w:pPr>
              <w:pStyle w:val="129"/>
              <w:rPr>
                <w:rFonts w:hint="eastAsia"/>
                <w:color w:val="000000"/>
                <w:sz w:val="21"/>
              </w:rPr>
            </w:pPr>
            <w:r>
              <w:rPr>
                <w:rFonts w:hint="eastAsia" w:ascii="Songti SC" w:hAnsi="Songti SC" w:eastAsia="Songti SC" w:cs="Songti SC"/>
                <w:color w:val="000000"/>
                <w:sz w:val="21"/>
              </w:rPr>
              <w:t>拟落实</w:t>
            </w:r>
          </w:p>
        </w:tc>
        <w:tc>
          <w:tcPr>
            <w:tcW w:w="1117" w:type="pct"/>
          </w:tcPr>
          <w:p w14:paraId="20CAAB71">
            <w:pPr>
              <w:pStyle w:val="129"/>
              <w:ind w:firstLine="480"/>
              <w:rPr>
                <w:rFonts w:hint="eastAsia"/>
                <w:color w:val="000000"/>
                <w:sz w:val="21"/>
              </w:rPr>
            </w:pPr>
          </w:p>
        </w:tc>
      </w:tr>
      <w:tr w14:paraId="02C35B80">
        <w:trPr>
          <w:trHeight w:val="400" w:hRule="atLeast"/>
        </w:trPr>
        <w:tc>
          <w:tcPr>
            <w:tcW w:w="565" w:type="pct"/>
            <w:vMerge w:val="continue"/>
          </w:tcPr>
          <w:p w14:paraId="4F198C2C">
            <w:pPr>
              <w:pStyle w:val="129"/>
              <w:ind w:firstLine="480"/>
              <w:rPr>
                <w:rFonts w:hint="eastAsia"/>
                <w:color w:val="000000"/>
                <w:sz w:val="21"/>
              </w:rPr>
            </w:pPr>
          </w:p>
        </w:tc>
        <w:tc>
          <w:tcPr>
            <w:tcW w:w="799" w:type="pct"/>
          </w:tcPr>
          <w:p w14:paraId="22234EF3">
            <w:pPr>
              <w:pStyle w:val="129"/>
              <w:jc w:val="both"/>
              <w:rPr>
                <w:rFonts w:hint="eastAsia"/>
                <w:color w:val="000000"/>
                <w:sz w:val="21"/>
              </w:rPr>
            </w:pPr>
            <w:r>
              <w:rPr>
                <w:rFonts w:hint="eastAsia" w:ascii="Songti SC" w:hAnsi="Songti SC" w:eastAsia="Songti SC" w:cs="Songti SC"/>
                <w:color w:val="000000"/>
                <w:sz w:val="21"/>
              </w:rPr>
              <w:t>安全接入认证</w:t>
            </w:r>
          </w:p>
        </w:tc>
        <w:tc>
          <w:tcPr>
            <w:tcW w:w="1520" w:type="pct"/>
          </w:tcPr>
          <w:p w14:paraId="3F988762">
            <w:pPr>
              <w:pStyle w:val="129"/>
              <w:jc w:val="both"/>
              <w:rPr>
                <w:rFonts w:hint="eastAsia"/>
                <w:color w:val="000000"/>
                <w:sz w:val="21"/>
              </w:rPr>
            </w:pPr>
            <w:r>
              <w:rPr>
                <w:rFonts w:hint="eastAsia" w:ascii="Songti SC" w:hAnsi="Songti SC" w:eastAsia="Songti SC" w:cs="Songti SC"/>
                <w:color w:val="000000"/>
                <w:sz w:val="21"/>
              </w:rPr>
              <w:t>通过SSLVPN口令以及集合智能密码钥匙展开安全接入认证</w:t>
            </w:r>
          </w:p>
        </w:tc>
        <w:tc>
          <w:tcPr>
            <w:tcW w:w="998" w:type="pct"/>
          </w:tcPr>
          <w:p w14:paraId="598EA2E7">
            <w:pPr>
              <w:pStyle w:val="129"/>
              <w:rPr>
                <w:rFonts w:hint="eastAsia"/>
                <w:color w:val="000000"/>
                <w:sz w:val="21"/>
              </w:rPr>
            </w:pPr>
            <w:r>
              <w:rPr>
                <w:rFonts w:hint="eastAsia" w:ascii="Songti SC" w:hAnsi="Songti SC" w:eastAsia="Songti SC" w:cs="Songti SC"/>
                <w:color w:val="000000"/>
                <w:sz w:val="21"/>
              </w:rPr>
              <w:t>拟落实</w:t>
            </w:r>
          </w:p>
        </w:tc>
        <w:tc>
          <w:tcPr>
            <w:tcW w:w="1117" w:type="pct"/>
          </w:tcPr>
          <w:p w14:paraId="500C4BC3">
            <w:pPr>
              <w:pStyle w:val="129"/>
              <w:ind w:firstLine="480"/>
              <w:rPr>
                <w:rFonts w:hint="eastAsia"/>
                <w:color w:val="000000"/>
                <w:sz w:val="21"/>
              </w:rPr>
            </w:pPr>
          </w:p>
        </w:tc>
      </w:tr>
      <w:tr w14:paraId="0758B882">
        <w:trPr>
          <w:trHeight w:val="338" w:hRule="atLeast"/>
        </w:trPr>
        <w:tc>
          <w:tcPr>
            <w:tcW w:w="565" w:type="pct"/>
            <w:vMerge w:val="continue"/>
          </w:tcPr>
          <w:p w14:paraId="1B99E0F2">
            <w:pPr>
              <w:pStyle w:val="129"/>
              <w:ind w:firstLine="480"/>
              <w:rPr>
                <w:rFonts w:hint="eastAsia"/>
                <w:color w:val="000000"/>
                <w:sz w:val="21"/>
              </w:rPr>
            </w:pPr>
          </w:p>
        </w:tc>
        <w:tc>
          <w:tcPr>
            <w:tcW w:w="799" w:type="pct"/>
          </w:tcPr>
          <w:p w14:paraId="7957542B">
            <w:pPr>
              <w:pStyle w:val="129"/>
              <w:jc w:val="both"/>
              <w:rPr>
                <w:rFonts w:hint="eastAsia"/>
                <w:color w:val="000000"/>
                <w:sz w:val="21"/>
              </w:rPr>
            </w:pPr>
            <w:r>
              <w:rPr>
                <w:rFonts w:hint="eastAsia" w:ascii="Songti SC" w:hAnsi="Songti SC" w:eastAsia="Songti SC" w:cs="Songti SC"/>
                <w:color w:val="000000"/>
                <w:sz w:val="21"/>
              </w:rPr>
              <w:t>访问控制信息完整性</w:t>
            </w:r>
          </w:p>
        </w:tc>
        <w:tc>
          <w:tcPr>
            <w:tcW w:w="1520" w:type="pct"/>
          </w:tcPr>
          <w:p w14:paraId="2644E591">
            <w:pPr>
              <w:pStyle w:val="129"/>
              <w:jc w:val="both"/>
              <w:rPr>
                <w:rFonts w:hint="eastAsia"/>
                <w:color w:val="000000"/>
                <w:sz w:val="21"/>
              </w:rPr>
            </w:pPr>
            <w:r>
              <w:rPr>
                <w:rFonts w:hint="eastAsia" w:ascii="Songti SC" w:hAnsi="Songti SC" w:eastAsia="Songti SC" w:cs="Songti SC"/>
                <w:color w:val="000000"/>
                <w:sz w:val="21"/>
              </w:rPr>
              <w:t>密码机</w:t>
            </w:r>
          </w:p>
        </w:tc>
        <w:tc>
          <w:tcPr>
            <w:tcW w:w="998" w:type="pct"/>
          </w:tcPr>
          <w:p w14:paraId="3C27AD8A">
            <w:pPr>
              <w:pStyle w:val="129"/>
              <w:rPr>
                <w:rFonts w:hint="eastAsia"/>
                <w:color w:val="000000"/>
                <w:sz w:val="21"/>
              </w:rPr>
            </w:pPr>
            <w:r>
              <w:rPr>
                <w:rFonts w:hint="eastAsia" w:ascii="Songti SC" w:hAnsi="Songti SC" w:eastAsia="Songti SC" w:cs="Songti SC"/>
                <w:color w:val="000000"/>
                <w:sz w:val="21"/>
              </w:rPr>
              <w:t>拟落实</w:t>
            </w:r>
          </w:p>
        </w:tc>
        <w:tc>
          <w:tcPr>
            <w:tcW w:w="1117" w:type="pct"/>
          </w:tcPr>
          <w:p w14:paraId="59395402">
            <w:pPr>
              <w:pStyle w:val="129"/>
              <w:ind w:firstLine="480"/>
              <w:rPr>
                <w:rFonts w:hint="eastAsia"/>
                <w:color w:val="000000"/>
                <w:sz w:val="21"/>
              </w:rPr>
            </w:pPr>
          </w:p>
        </w:tc>
      </w:tr>
      <w:tr w14:paraId="07C66D57">
        <w:trPr>
          <w:trHeight w:val="250" w:hRule="atLeast"/>
        </w:trPr>
        <w:tc>
          <w:tcPr>
            <w:tcW w:w="565" w:type="pct"/>
            <w:vMerge w:val="continue"/>
          </w:tcPr>
          <w:p w14:paraId="71AAF64A">
            <w:pPr>
              <w:pStyle w:val="129"/>
              <w:ind w:firstLine="480"/>
              <w:rPr>
                <w:rFonts w:hint="eastAsia"/>
                <w:color w:val="000000"/>
                <w:sz w:val="21"/>
              </w:rPr>
            </w:pPr>
          </w:p>
        </w:tc>
        <w:tc>
          <w:tcPr>
            <w:tcW w:w="799" w:type="pct"/>
          </w:tcPr>
          <w:p w14:paraId="46B77562">
            <w:pPr>
              <w:pStyle w:val="129"/>
              <w:jc w:val="both"/>
              <w:rPr>
                <w:rFonts w:hint="eastAsia"/>
                <w:color w:val="000000"/>
                <w:sz w:val="21"/>
              </w:rPr>
            </w:pPr>
            <w:r>
              <w:rPr>
                <w:rFonts w:hint="eastAsia" w:ascii="Songti SC" w:hAnsi="Songti SC" w:eastAsia="Songti SC" w:cs="Songti SC"/>
                <w:color w:val="000000"/>
                <w:sz w:val="21"/>
              </w:rPr>
              <w:t>通信数据完整性</w:t>
            </w:r>
          </w:p>
        </w:tc>
        <w:tc>
          <w:tcPr>
            <w:tcW w:w="1520" w:type="pct"/>
          </w:tcPr>
          <w:p w14:paraId="071F1E3A">
            <w:pPr>
              <w:pStyle w:val="129"/>
              <w:jc w:val="both"/>
              <w:rPr>
                <w:rFonts w:hint="eastAsia"/>
                <w:color w:val="000000"/>
                <w:sz w:val="21"/>
              </w:rPr>
            </w:pPr>
            <w:r>
              <w:rPr>
                <w:rFonts w:hint="eastAsia" w:ascii="Songti SC" w:hAnsi="Songti SC" w:eastAsia="Songti SC" w:cs="Songti SC"/>
                <w:color w:val="000000"/>
                <w:sz w:val="21"/>
              </w:rPr>
              <w:t>通过VPN建立加密隧道</w:t>
            </w:r>
          </w:p>
        </w:tc>
        <w:tc>
          <w:tcPr>
            <w:tcW w:w="998" w:type="pct"/>
          </w:tcPr>
          <w:p w14:paraId="4FD74094">
            <w:pPr>
              <w:pStyle w:val="129"/>
              <w:rPr>
                <w:rFonts w:hint="eastAsia"/>
                <w:color w:val="000000"/>
                <w:sz w:val="21"/>
              </w:rPr>
            </w:pPr>
            <w:r>
              <w:rPr>
                <w:rFonts w:hint="eastAsia" w:ascii="Songti SC" w:hAnsi="Songti SC" w:eastAsia="Songti SC" w:cs="Songti SC"/>
                <w:color w:val="000000"/>
                <w:sz w:val="21"/>
              </w:rPr>
              <w:t>拟落实</w:t>
            </w:r>
          </w:p>
        </w:tc>
        <w:tc>
          <w:tcPr>
            <w:tcW w:w="1117" w:type="pct"/>
          </w:tcPr>
          <w:p w14:paraId="0FD55FBC">
            <w:pPr>
              <w:pStyle w:val="129"/>
              <w:ind w:firstLine="480"/>
              <w:rPr>
                <w:rFonts w:hint="eastAsia"/>
                <w:color w:val="000000"/>
                <w:sz w:val="21"/>
              </w:rPr>
            </w:pPr>
          </w:p>
        </w:tc>
      </w:tr>
      <w:tr w14:paraId="01BF635D">
        <w:trPr>
          <w:trHeight w:val="363" w:hRule="atLeast"/>
        </w:trPr>
        <w:tc>
          <w:tcPr>
            <w:tcW w:w="565" w:type="pct"/>
            <w:vMerge w:val="continue"/>
          </w:tcPr>
          <w:p w14:paraId="625D655D">
            <w:pPr>
              <w:pStyle w:val="129"/>
              <w:ind w:firstLine="480"/>
              <w:rPr>
                <w:rFonts w:hint="eastAsia"/>
                <w:color w:val="000000"/>
                <w:sz w:val="21"/>
              </w:rPr>
            </w:pPr>
          </w:p>
        </w:tc>
        <w:tc>
          <w:tcPr>
            <w:tcW w:w="799" w:type="pct"/>
          </w:tcPr>
          <w:p w14:paraId="34069AEB">
            <w:pPr>
              <w:pStyle w:val="129"/>
              <w:jc w:val="both"/>
              <w:rPr>
                <w:rFonts w:hint="eastAsia"/>
                <w:color w:val="000000"/>
                <w:sz w:val="21"/>
              </w:rPr>
            </w:pPr>
            <w:r>
              <w:rPr>
                <w:rFonts w:hint="eastAsia" w:ascii="Songti SC" w:hAnsi="Songti SC" w:eastAsia="Songti SC" w:cs="Songti SC"/>
                <w:color w:val="000000"/>
                <w:sz w:val="21"/>
              </w:rPr>
              <w:t>通信数据机密性</w:t>
            </w:r>
          </w:p>
        </w:tc>
        <w:tc>
          <w:tcPr>
            <w:tcW w:w="1520" w:type="pct"/>
          </w:tcPr>
          <w:p w14:paraId="7C72060E">
            <w:pPr>
              <w:pStyle w:val="129"/>
              <w:jc w:val="both"/>
              <w:rPr>
                <w:rFonts w:hint="eastAsia"/>
                <w:color w:val="000000"/>
                <w:sz w:val="21"/>
              </w:rPr>
            </w:pPr>
            <w:r>
              <w:rPr>
                <w:rFonts w:hint="eastAsia" w:ascii="Songti SC" w:hAnsi="Songti SC" w:eastAsia="Songti SC" w:cs="Songti SC"/>
                <w:color w:val="000000"/>
                <w:sz w:val="21"/>
              </w:rPr>
              <w:t>通过VPN建立加密隧道</w:t>
            </w:r>
          </w:p>
        </w:tc>
        <w:tc>
          <w:tcPr>
            <w:tcW w:w="998" w:type="pct"/>
          </w:tcPr>
          <w:p w14:paraId="3D5F3B60">
            <w:pPr>
              <w:pStyle w:val="129"/>
              <w:rPr>
                <w:rFonts w:hint="eastAsia"/>
                <w:color w:val="000000"/>
                <w:sz w:val="21"/>
              </w:rPr>
            </w:pPr>
            <w:r>
              <w:rPr>
                <w:rFonts w:hint="eastAsia" w:ascii="Songti SC" w:hAnsi="Songti SC" w:eastAsia="Songti SC" w:cs="Songti SC"/>
                <w:color w:val="000000"/>
                <w:sz w:val="21"/>
              </w:rPr>
              <w:t>拟落实</w:t>
            </w:r>
          </w:p>
        </w:tc>
        <w:tc>
          <w:tcPr>
            <w:tcW w:w="1117" w:type="pct"/>
          </w:tcPr>
          <w:p w14:paraId="0975A81F">
            <w:pPr>
              <w:pStyle w:val="129"/>
              <w:ind w:firstLine="480"/>
              <w:rPr>
                <w:rFonts w:hint="eastAsia"/>
                <w:color w:val="000000"/>
                <w:sz w:val="21"/>
              </w:rPr>
            </w:pPr>
          </w:p>
        </w:tc>
      </w:tr>
      <w:tr w14:paraId="59383202">
        <w:trPr>
          <w:trHeight w:val="388" w:hRule="atLeast"/>
        </w:trPr>
        <w:tc>
          <w:tcPr>
            <w:tcW w:w="565" w:type="pct"/>
            <w:vMerge w:val="continue"/>
          </w:tcPr>
          <w:p w14:paraId="26539FCF">
            <w:pPr>
              <w:pStyle w:val="129"/>
              <w:ind w:firstLine="480"/>
              <w:rPr>
                <w:rFonts w:hint="eastAsia"/>
                <w:color w:val="000000"/>
                <w:sz w:val="21"/>
              </w:rPr>
            </w:pPr>
          </w:p>
        </w:tc>
        <w:tc>
          <w:tcPr>
            <w:tcW w:w="799" w:type="pct"/>
          </w:tcPr>
          <w:p w14:paraId="71268471">
            <w:pPr>
              <w:pStyle w:val="129"/>
              <w:jc w:val="both"/>
              <w:rPr>
                <w:rFonts w:hint="eastAsia"/>
                <w:color w:val="000000"/>
                <w:sz w:val="21"/>
              </w:rPr>
            </w:pPr>
            <w:r>
              <w:rPr>
                <w:rFonts w:hint="eastAsia" w:ascii="Songti SC" w:hAnsi="Songti SC" w:eastAsia="Songti SC" w:cs="Songti SC"/>
                <w:color w:val="000000"/>
                <w:sz w:val="21"/>
              </w:rPr>
              <w:t>集中管理通道安全</w:t>
            </w:r>
          </w:p>
        </w:tc>
        <w:tc>
          <w:tcPr>
            <w:tcW w:w="1520" w:type="pct"/>
          </w:tcPr>
          <w:p w14:paraId="6DB3D564">
            <w:pPr>
              <w:pStyle w:val="129"/>
              <w:jc w:val="both"/>
              <w:rPr>
                <w:rFonts w:hint="eastAsia"/>
                <w:color w:val="000000"/>
                <w:sz w:val="21"/>
              </w:rPr>
            </w:pPr>
            <w:r>
              <w:rPr>
                <w:rFonts w:hint="eastAsia" w:ascii="Songti SC" w:hAnsi="Songti SC" w:eastAsia="Songti SC" w:cs="Songti SC"/>
                <w:color w:val="000000"/>
                <w:sz w:val="21"/>
              </w:rPr>
              <w:t>采用S</w:t>
            </w:r>
            <w:r>
              <w:rPr>
                <w:rFonts w:ascii="Songti SC" w:hAnsi="Songti SC" w:eastAsia="Songti SC" w:cs="Songti SC"/>
                <w:color w:val="000000"/>
                <w:sz w:val="21"/>
              </w:rPr>
              <w:t>SLVPN</w:t>
            </w:r>
            <w:r>
              <w:rPr>
                <w:rFonts w:hint="eastAsia" w:ascii="Songti SC" w:hAnsi="Songti SC" w:eastAsia="Songti SC" w:cs="Songti SC"/>
                <w:color w:val="000000"/>
                <w:sz w:val="21"/>
              </w:rPr>
              <w:t>进行设备运维通道管理</w:t>
            </w:r>
          </w:p>
        </w:tc>
        <w:tc>
          <w:tcPr>
            <w:tcW w:w="998" w:type="pct"/>
          </w:tcPr>
          <w:p w14:paraId="270E3E5D">
            <w:pPr>
              <w:pStyle w:val="129"/>
              <w:rPr>
                <w:rFonts w:hint="eastAsia"/>
                <w:color w:val="000000"/>
                <w:sz w:val="21"/>
              </w:rPr>
            </w:pPr>
            <w:r>
              <w:rPr>
                <w:rFonts w:hint="eastAsia" w:ascii="Songti SC" w:hAnsi="Songti SC" w:eastAsia="Songti SC" w:cs="Songti SC"/>
                <w:color w:val="000000"/>
                <w:sz w:val="21"/>
              </w:rPr>
              <w:t>拟落实</w:t>
            </w:r>
          </w:p>
        </w:tc>
        <w:tc>
          <w:tcPr>
            <w:tcW w:w="1117" w:type="pct"/>
          </w:tcPr>
          <w:p w14:paraId="687B31F3">
            <w:pPr>
              <w:pStyle w:val="129"/>
              <w:ind w:firstLine="480"/>
              <w:rPr>
                <w:rFonts w:hint="eastAsia"/>
                <w:color w:val="000000"/>
                <w:sz w:val="21"/>
              </w:rPr>
            </w:pPr>
          </w:p>
        </w:tc>
      </w:tr>
      <w:tr w14:paraId="4D6097FB">
        <w:trPr>
          <w:trHeight w:val="645" w:hRule="atLeast"/>
        </w:trPr>
        <w:tc>
          <w:tcPr>
            <w:tcW w:w="565" w:type="pct"/>
            <w:vMerge w:val="continue"/>
          </w:tcPr>
          <w:p w14:paraId="5BE364CB">
            <w:pPr>
              <w:pStyle w:val="129"/>
              <w:ind w:firstLine="480"/>
              <w:rPr>
                <w:rFonts w:hint="eastAsia"/>
                <w:color w:val="000000"/>
                <w:sz w:val="21"/>
              </w:rPr>
            </w:pPr>
          </w:p>
        </w:tc>
        <w:tc>
          <w:tcPr>
            <w:tcW w:w="799" w:type="pct"/>
          </w:tcPr>
          <w:p w14:paraId="3D9EB96E">
            <w:pPr>
              <w:pStyle w:val="129"/>
              <w:jc w:val="both"/>
              <w:rPr>
                <w:rFonts w:hint="eastAsia"/>
                <w:color w:val="000000"/>
                <w:sz w:val="21"/>
              </w:rPr>
            </w:pPr>
            <w:r>
              <w:rPr>
                <w:rFonts w:hint="eastAsia" w:ascii="Songti SC" w:hAnsi="Songti SC" w:eastAsia="Songti SC" w:cs="Songti SC"/>
                <w:color w:val="000000"/>
                <w:sz w:val="21"/>
              </w:rPr>
              <w:t>密码模块实现</w:t>
            </w:r>
          </w:p>
        </w:tc>
        <w:tc>
          <w:tcPr>
            <w:tcW w:w="1520" w:type="pct"/>
          </w:tcPr>
          <w:p w14:paraId="0D3C8A34">
            <w:pPr>
              <w:pStyle w:val="129"/>
              <w:ind w:firstLine="480"/>
              <w:rPr>
                <w:rFonts w:hint="eastAsia"/>
                <w:color w:val="000000"/>
                <w:sz w:val="21"/>
              </w:rPr>
            </w:pPr>
          </w:p>
        </w:tc>
        <w:tc>
          <w:tcPr>
            <w:tcW w:w="998" w:type="pct"/>
          </w:tcPr>
          <w:p w14:paraId="668EAD2D">
            <w:pPr>
              <w:pStyle w:val="129"/>
              <w:rPr>
                <w:rFonts w:hint="eastAsia"/>
                <w:color w:val="000000"/>
                <w:sz w:val="21"/>
              </w:rPr>
            </w:pPr>
            <w:r>
              <w:rPr>
                <w:rFonts w:hint="eastAsia" w:ascii="Songti SC" w:hAnsi="Songti SC" w:eastAsia="Songti SC" w:cs="Songti SC"/>
                <w:color w:val="000000"/>
                <w:sz w:val="21"/>
              </w:rPr>
              <w:t>适用性需专项确认</w:t>
            </w:r>
          </w:p>
        </w:tc>
        <w:tc>
          <w:tcPr>
            <w:tcW w:w="1117" w:type="pct"/>
          </w:tcPr>
          <w:p w14:paraId="0A9691B6">
            <w:pPr>
              <w:pStyle w:val="129"/>
              <w:jc w:val="both"/>
              <w:rPr>
                <w:rFonts w:hint="eastAsia"/>
                <w:color w:val="000000"/>
                <w:sz w:val="21"/>
              </w:rPr>
            </w:pPr>
            <w:r>
              <w:rPr>
                <w:rFonts w:hint="eastAsia" w:ascii="Songti SC" w:hAnsi="Songti SC" w:eastAsia="Songti SC" w:cs="Songti SC"/>
                <w:color w:val="000000"/>
                <w:sz w:val="21"/>
              </w:rPr>
              <w:t>本项目为软件系统密码应用改造，不适用终端密码模块部分描述</w:t>
            </w:r>
          </w:p>
        </w:tc>
      </w:tr>
      <w:tr w14:paraId="2DC86EF9">
        <w:trPr>
          <w:trHeight w:val="427" w:hRule="atLeast"/>
        </w:trPr>
        <w:tc>
          <w:tcPr>
            <w:tcW w:w="565" w:type="pct"/>
            <w:vMerge w:val="restart"/>
            <w:vAlign w:val="center"/>
          </w:tcPr>
          <w:p w14:paraId="0DB3601D">
            <w:pPr>
              <w:pStyle w:val="129"/>
              <w:jc w:val="both"/>
              <w:rPr>
                <w:rFonts w:hint="eastAsia"/>
                <w:color w:val="000000"/>
                <w:sz w:val="21"/>
              </w:rPr>
            </w:pPr>
            <w:r>
              <w:rPr>
                <w:rFonts w:hint="eastAsia" w:ascii="Songti SC" w:hAnsi="Songti SC" w:eastAsia="Songti SC" w:cs="Songti SC"/>
                <w:color w:val="000000"/>
                <w:sz w:val="21"/>
              </w:rPr>
              <w:t>设备和计算安全</w:t>
            </w:r>
          </w:p>
        </w:tc>
        <w:tc>
          <w:tcPr>
            <w:tcW w:w="799" w:type="pct"/>
          </w:tcPr>
          <w:p w14:paraId="357AE98A">
            <w:pPr>
              <w:pStyle w:val="129"/>
              <w:jc w:val="both"/>
              <w:rPr>
                <w:rFonts w:hint="eastAsia"/>
                <w:color w:val="000000"/>
                <w:sz w:val="21"/>
              </w:rPr>
            </w:pPr>
            <w:r>
              <w:rPr>
                <w:rFonts w:hint="eastAsia" w:ascii="Songti SC" w:hAnsi="Songti SC" w:eastAsia="Songti SC" w:cs="Songti SC"/>
                <w:color w:val="000000"/>
                <w:sz w:val="21"/>
              </w:rPr>
              <w:t>身份鉴别</w:t>
            </w:r>
          </w:p>
        </w:tc>
        <w:tc>
          <w:tcPr>
            <w:tcW w:w="1520" w:type="pct"/>
          </w:tcPr>
          <w:p w14:paraId="475E2508">
            <w:pPr>
              <w:pStyle w:val="129"/>
              <w:jc w:val="both"/>
              <w:rPr>
                <w:rFonts w:hint="eastAsia"/>
                <w:color w:val="000000"/>
                <w:sz w:val="21"/>
              </w:rPr>
            </w:pPr>
            <w:r>
              <w:rPr>
                <w:rFonts w:hint="eastAsia" w:ascii="Songti SC" w:hAnsi="Songti SC" w:eastAsia="Songti SC" w:cs="Songti SC"/>
                <w:color w:val="000000"/>
                <w:sz w:val="21"/>
              </w:rPr>
              <w:t>通过身份认证系统S</w:t>
            </w:r>
            <w:r>
              <w:rPr>
                <w:rFonts w:ascii="Songti SC" w:hAnsi="Songti SC" w:eastAsia="Songti SC" w:cs="Songti SC"/>
                <w:color w:val="000000"/>
                <w:sz w:val="21"/>
              </w:rPr>
              <w:t>M2</w:t>
            </w:r>
            <w:r>
              <w:rPr>
                <w:rFonts w:hint="eastAsia" w:ascii="Songti SC" w:hAnsi="Songti SC" w:eastAsia="Songti SC" w:cs="Songti SC"/>
                <w:color w:val="000000"/>
                <w:sz w:val="21"/>
              </w:rPr>
              <w:t>算法集合智能密码钥匙数字证书展开身份鉴别</w:t>
            </w:r>
          </w:p>
        </w:tc>
        <w:tc>
          <w:tcPr>
            <w:tcW w:w="998" w:type="pct"/>
          </w:tcPr>
          <w:p w14:paraId="01BF6BD7">
            <w:pPr>
              <w:pStyle w:val="129"/>
              <w:rPr>
                <w:rFonts w:hint="eastAsia"/>
                <w:color w:val="000000"/>
                <w:sz w:val="21"/>
              </w:rPr>
            </w:pPr>
            <w:r>
              <w:rPr>
                <w:rFonts w:hint="eastAsia" w:ascii="Songti SC" w:hAnsi="Songti SC" w:eastAsia="Songti SC" w:cs="Songti SC"/>
                <w:color w:val="000000"/>
                <w:sz w:val="21"/>
              </w:rPr>
              <w:t>拟落实</w:t>
            </w:r>
          </w:p>
        </w:tc>
        <w:tc>
          <w:tcPr>
            <w:tcW w:w="1117" w:type="pct"/>
          </w:tcPr>
          <w:p w14:paraId="2798D8F8">
            <w:pPr>
              <w:pStyle w:val="129"/>
              <w:ind w:firstLine="480"/>
              <w:rPr>
                <w:rFonts w:hint="eastAsia"/>
                <w:color w:val="000000"/>
                <w:sz w:val="21"/>
              </w:rPr>
            </w:pPr>
          </w:p>
        </w:tc>
      </w:tr>
      <w:tr w14:paraId="77736E3C">
        <w:trPr>
          <w:trHeight w:val="488" w:hRule="atLeast"/>
        </w:trPr>
        <w:tc>
          <w:tcPr>
            <w:tcW w:w="565" w:type="pct"/>
            <w:vMerge w:val="continue"/>
            <w:vAlign w:val="center"/>
          </w:tcPr>
          <w:p w14:paraId="7D561EDE">
            <w:pPr>
              <w:pStyle w:val="129"/>
              <w:ind w:firstLine="480"/>
              <w:rPr>
                <w:rFonts w:hint="eastAsia"/>
                <w:color w:val="000000"/>
                <w:sz w:val="21"/>
              </w:rPr>
            </w:pPr>
          </w:p>
        </w:tc>
        <w:tc>
          <w:tcPr>
            <w:tcW w:w="799" w:type="pct"/>
          </w:tcPr>
          <w:p w14:paraId="6BEB37BC">
            <w:pPr>
              <w:pStyle w:val="129"/>
              <w:jc w:val="both"/>
              <w:rPr>
                <w:rFonts w:hint="eastAsia"/>
                <w:color w:val="000000"/>
                <w:sz w:val="21"/>
              </w:rPr>
            </w:pPr>
            <w:r>
              <w:rPr>
                <w:rFonts w:hint="eastAsia" w:ascii="Songti SC" w:hAnsi="Songti SC" w:eastAsia="Songti SC" w:cs="Songti SC"/>
                <w:color w:val="000000"/>
                <w:sz w:val="21"/>
              </w:rPr>
              <w:t>远程管理身份鉴别信息机密性</w:t>
            </w:r>
          </w:p>
        </w:tc>
        <w:tc>
          <w:tcPr>
            <w:tcW w:w="1520" w:type="pct"/>
          </w:tcPr>
          <w:p w14:paraId="39C628B3">
            <w:pPr>
              <w:pStyle w:val="129"/>
              <w:jc w:val="both"/>
              <w:rPr>
                <w:rFonts w:hint="eastAsia"/>
                <w:color w:val="000000"/>
                <w:sz w:val="21"/>
              </w:rPr>
            </w:pPr>
            <w:r>
              <w:rPr>
                <w:rFonts w:hint="eastAsia" w:ascii="Songti SC" w:hAnsi="Songti SC" w:eastAsia="Songti SC" w:cs="Songti SC"/>
                <w:color w:val="000000"/>
                <w:sz w:val="21"/>
              </w:rPr>
              <w:t>通过S</w:t>
            </w:r>
            <w:r>
              <w:rPr>
                <w:rFonts w:ascii="Songti SC" w:hAnsi="Songti SC" w:eastAsia="Songti SC" w:cs="Songti SC"/>
                <w:color w:val="000000"/>
                <w:sz w:val="21"/>
              </w:rPr>
              <w:t>SLVPN</w:t>
            </w:r>
            <w:r>
              <w:rPr>
                <w:rFonts w:hint="eastAsia" w:ascii="Songti SC" w:hAnsi="Songti SC" w:eastAsia="Songti SC" w:cs="Songti SC"/>
                <w:color w:val="000000"/>
                <w:sz w:val="21"/>
              </w:rPr>
              <w:t>构建加密隧道保障远程管理身份鉴别的机密性</w:t>
            </w:r>
          </w:p>
        </w:tc>
        <w:tc>
          <w:tcPr>
            <w:tcW w:w="998" w:type="pct"/>
          </w:tcPr>
          <w:p w14:paraId="0214292F">
            <w:pPr>
              <w:pStyle w:val="129"/>
              <w:rPr>
                <w:rFonts w:hint="eastAsia"/>
                <w:color w:val="000000"/>
                <w:sz w:val="21"/>
              </w:rPr>
            </w:pPr>
            <w:r>
              <w:rPr>
                <w:rFonts w:hint="eastAsia" w:ascii="Songti SC" w:hAnsi="Songti SC" w:eastAsia="Songti SC" w:cs="Songti SC"/>
                <w:color w:val="000000"/>
                <w:sz w:val="21"/>
              </w:rPr>
              <w:t>拟落实</w:t>
            </w:r>
          </w:p>
        </w:tc>
        <w:tc>
          <w:tcPr>
            <w:tcW w:w="1117" w:type="pct"/>
          </w:tcPr>
          <w:p w14:paraId="5A7C8E7E">
            <w:pPr>
              <w:pStyle w:val="129"/>
              <w:ind w:firstLine="480"/>
              <w:rPr>
                <w:rFonts w:hint="eastAsia"/>
                <w:color w:val="000000"/>
                <w:sz w:val="21"/>
              </w:rPr>
            </w:pPr>
          </w:p>
        </w:tc>
      </w:tr>
      <w:tr w14:paraId="0D305F3B">
        <w:trPr>
          <w:trHeight w:val="425" w:hRule="atLeast"/>
        </w:trPr>
        <w:tc>
          <w:tcPr>
            <w:tcW w:w="565" w:type="pct"/>
            <w:vMerge w:val="continue"/>
            <w:vAlign w:val="center"/>
          </w:tcPr>
          <w:p w14:paraId="2258EB4F">
            <w:pPr>
              <w:pStyle w:val="129"/>
              <w:ind w:firstLine="480"/>
              <w:rPr>
                <w:rFonts w:hint="eastAsia"/>
                <w:color w:val="000000"/>
                <w:sz w:val="21"/>
              </w:rPr>
            </w:pPr>
          </w:p>
        </w:tc>
        <w:tc>
          <w:tcPr>
            <w:tcW w:w="799" w:type="pct"/>
          </w:tcPr>
          <w:p w14:paraId="484804C0">
            <w:pPr>
              <w:pStyle w:val="129"/>
              <w:jc w:val="both"/>
              <w:rPr>
                <w:rFonts w:hint="eastAsia"/>
                <w:color w:val="000000"/>
                <w:sz w:val="21"/>
              </w:rPr>
            </w:pPr>
            <w:r>
              <w:rPr>
                <w:rFonts w:hint="eastAsia" w:ascii="Songti SC" w:hAnsi="Songti SC" w:eastAsia="Songti SC" w:cs="Songti SC"/>
                <w:color w:val="000000"/>
                <w:sz w:val="21"/>
              </w:rPr>
              <w:t>访问控制信息完整性</w:t>
            </w:r>
          </w:p>
        </w:tc>
        <w:tc>
          <w:tcPr>
            <w:tcW w:w="1520" w:type="pct"/>
          </w:tcPr>
          <w:p w14:paraId="0DEB056E">
            <w:pPr>
              <w:pStyle w:val="129"/>
              <w:jc w:val="both"/>
              <w:rPr>
                <w:rFonts w:hint="eastAsia"/>
                <w:color w:val="000000"/>
                <w:sz w:val="21"/>
              </w:rPr>
            </w:pPr>
            <w:r>
              <w:rPr>
                <w:rFonts w:hint="eastAsia" w:ascii="Songti SC" w:hAnsi="Songti SC" w:eastAsia="Songti SC" w:cs="Songti SC"/>
                <w:color w:val="000000"/>
                <w:sz w:val="21"/>
              </w:rPr>
              <w:t>密码机</w:t>
            </w:r>
          </w:p>
        </w:tc>
        <w:tc>
          <w:tcPr>
            <w:tcW w:w="998" w:type="pct"/>
          </w:tcPr>
          <w:p w14:paraId="0C3C11F9">
            <w:pPr>
              <w:pStyle w:val="129"/>
              <w:rPr>
                <w:rFonts w:hint="eastAsia"/>
                <w:color w:val="000000"/>
                <w:sz w:val="21"/>
              </w:rPr>
            </w:pPr>
            <w:r>
              <w:rPr>
                <w:rFonts w:hint="eastAsia" w:ascii="Songti SC" w:hAnsi="Songti SC" w:eastAsia="Songti SC" w:cs="Songti SC"/>
                <w:color w:val="000000"/>
                <w:sz w:val="21"/>
              </w:rPr>
              <w:t>拟落实</w:t>
            </w:r>
          </w:p>
        </w:tc>
        <w:tc>
          <w:tcPr>
            <w:tcW w:w="1117" w:type="pct"/>
          </w:tcPr>
          <w:p w14:paraId="778A3C18">
            <w:pPr>
              <w:pStyle w:val="129"/>
              <w:ind w:firstLine="480"/>
              <w:rPr>
                <w:rFonts w:hint="eastAsia"/>
                <w:color w:val="000000"/>
                <w:sz w:val="21"/>
              </w:rPr>
            </w:pPr>
          </w:p>
        </w:tc>
      </w:tr>
      <w:tr w14:paraId="0465DA77">
        <w:trPr>
          <w:trHeight w:val="350" w:hRule="atLeast"/>
        </w:trPr>
        <w:tc>
          <w:tcPr>
            <w:tcW w:w="565" w:type="pct"/>
            <w:vMerge w:val="continue"/>
            <w:vAlign w:val="center"/>
          </w:tcPr>
          <w:p w14:paraId="13C20D50">
            <w:pPr>
              <w:pStyle w:val="129"/>
              <w:ind w:firstLine="480"/>
              <w:rPr>
                <w:rFonts w:hint="eastAsia"/>
                <w:color w:val="000000"/>
                <w:sz w:val="21"/>
              </w:rPr>
            </w:pPr>
          </w:p>
        </w:tc>
        <w:tc>
          <w:tcPr>
            <w:tcW w:w="799" w:type="pct"/>
          </w:tcPr>
          <w:p w14:paraId="1685765B">
            <w:pPr>
              <w:pStyle w:val="129"/>
              <w:jc w:val="both"/>
              <w:rPr>
                <w:rFonts w:hint="eastAsia"/>
                <w:color w:val="000000"/>
                <w:sz w:val="21"/>
              </w:rPr>
            </w:pPr>
            <w:r>
              <w:rPr>
                <w:rFonts w:hint="eastAsia" w:ascii="Songti SC" w:hAnsi="Songti SC" w:eastAsia="Songti SC" w:cs="Songti SC"/>
                <w:color w:val="000000"/>
                <w:sz w:val="21"/>
              </w:rPr>
              <w:t>敏感标记的完整性</w:t>
            </w:r>
          </w:p>
        </w:tc>
        <w:tc>
          <w:tcPr>
            <w:tcW w:w="1520" w:type="pct"/>
          </w:tcPr>
          <w:p w14:paraId="191A2EB1">
            <w:pPr>
              <w:pStyle w:val="129"/>
              <w:jc w:val="both"/>
              <w:rPr>
                <w:rFonts w:hint="eastAsia"/>
                <w:color w:val="000000"/>
                <w:sz w:val="21"/>
              </w:rPr>
            </w:pPr>
            <w:r>
              <w:rPr>
                <w:rFonts w:hint="eastAsia" w:ascii="Songti SC" w:hAnsi="Songti SC" w:eastAsia="Songti SC" w:cs="Songti SC"/>
                <w:color w:val="000000"/>
                <w:sz w:val="21"/>
              </w:rPr>
              <w:t>密码机</w:t>
            </w:r>
          </w:p>
        </w:tc>
        <w:tc>
          <w:tcPr>
            <w:tcW w:w="998" w:type="pct"/>
          </w:tcPr>
          <w:p w14:paraId="1C7E0788">
            <w:pPr>
              <w:pStyle w:val="129"/>
              <w:rPr>
                <w:rFonts w:hint="eastAsia"/>
                <w:color w:val="000000"/>
                <w:sz w:val="21"/>
              </w:rPr>
            </w:pPr>
            <w:r>
              <w:rPr>
                <w:rFonts w:hint="eastAsia" w:ascii="Songti SC" w:hAnsi="Songti SC" w:eastAsia="Songti SC" w:cs="Songti SC"/>
                <w:color w:val="000000"/>
                <w:sz w:val="21"/>
              </w:rPr>
              <w:t>拟落实</w:t>
            </w:r>
          </w:p>
        </w:tc>
        <w:tc>
          <w:tcPr>
            <w:tcW w:w="1117" w:type="pct"/>
          </w:tcPr>
          <w:p w14:paraId="29F3ADF8">
            <w:pPr>
              <w:pStyle w:val="129"/>
              <w:ind w:firstLine="480"/>
              <w:rPr>
                <w:rFonts w:hint="eastAsia"/>
                <w:color w:val="000000"/>
                <w:sz w:val="21"/>
              </w:rPr>
            </w:pPr>
          </w:p>
        </w:tc>
      </w:tr>
      <w:tr w14:paraId="3BC6067D">
        <w:trPr>
          <w:trHeight w:val="400" w:hRule="atLeast"/>
        </w:trPr>
        <w:tc>
          <w:tcPr>
            <w:tcW w:w="565" w:type="pct"/>
            <w:vMerge w:val="continue"/>
            <w:vAlign w:val="center"/>
          </w:tcPr>
          <w:p w14:paraId="527AB2C3">
            <w:pPr>
              <w:pStyle w:val="129"/>
              <w:ind w:firstLine="480"/>
              <w:rPr>
                <w:rFonts w:hint="eastAsia"/>
                <w:color w:val="000000"/>
                <w:sz w:val="21"/>
              </w:rPr>
            </w:pPr>
          </w:p>
        </w:tc>
        <w:tc>
          <w:tcPr>
            <w:tcW w:w="799" w:type="pct"/>
          </w:tcPr>
          <w:p w14:paraId="4828D122">
            <w:pPr>
              <w:pStyle w:val="129"/>
              <w:jc w:val="both"/>
              <w:rPr>
                <w:rFonts w:hint="eastAsia"/>
                <w:color w:val="000000"/>
                <w:sz w:val="21"/>
              </w:rPr>
            </w:pPr>
            <w:r>
              <w:rPr>
                <w:rFonts w:hint="eastAsia" w:ascii="Songti SC" w:hAnsi="Songti SC" w:eastAsia="Songti SC" w:cs="Songti SC"/>
                <w:color w:val="000000"/>
                <w:sz w:val="21"/>
              </w:rPr>
              <w:t>日志记录完整性</w:t>
            </w:r>
          </w:p>
        </w:tc>
        <w:tc>
          <w:tcPr>
            <w:tcW w:w="1520" w:type="pct"/>
          </w:tcPr>
          <w:p w14:paraId="60EBED93">
            <w:pPr>
              <w:pStyle w:val="129"/>
              <w:jc w:val="both"/>
              <w:rPr>
                <w:rFonts w:hint="eastAsia"/>
                <w:color w:val="000000"/>
                <w:sz w:val="21"/>
              </w:rPr>
            </w:pPr>
            <w:r>
              <w:rPr>
                <w:rFonts w:hint="eastAsia" w:ascii="Songti SC" w:hAnsi="Songti SC" w:eastAsia="Songti SC" w:cs="Songti SC"/>
                <w:color w:val="000000"/>
                <w:sz w:val="21"/>
              </w:rPr>
              <w:t>密码机</w:t>
            </w:r>
          </w:p>
        </w:tc>
        <w:tc>
          <w:tcPr>
            <w:tcW w:w="998" w:type="pct"/>
          </w:tcPr>
          <w:p w14:paraId="560613A4">
            <w:pPr>
              <w:pStyle w:val="129"/>
              <w:rPr>
                <w:rFonts w:hint="eastAsia"/>
                <w:color w:val="000000"/>
                <w:sz w:val="21"/>
              </w:rPr>
            </w:pPr>
            <w:r>
              <w:rPr>
                <w:rFonts w:hint="eastAsia" w:ascii="Songti SC" w:hAnsi="Songti SC" w:eastAsia="Songti SC" w:cs="Songti SC"/>
                <w:color w:val="000000"/>
                <w:sz w:val="21"/>
              </w:rPr>
              <w:t>拟落实</w:t>
            </w:r>
          </w:p>
        </w:tc>
        <w:tc>
          <w:tcPr>
            <w:tcW w:w="1117" w:type="pct"/>
          </w:tcPr>
          <w:p w14:paraId="422C625B">
            <w:pPr>
              <w:pStyle w:val="129"/>
              <w:ind w:firstLine="480"/>
              <w:rPr>
                <w:rFonts w:hint="eastAsia"/>
                <w:color w:val="000000"/>
                <w:sz w:val="21"/>
              </w:rPr>
            </w:pPr>
          </w:p>
        </w:tc>
      </w:tr>
      <w:tr w14:paraId="5783C2E1">
        <w:trPr>
          <w:trHeight w:val="488" w:hRule="atLeast"/>
        </w:trPr>
        <w:tc>
          <w:tcPr>
            <w:tcW w:w="565" w:type="pct"/>
            <w:vMerge w:val="continue"/>
            <w:vAlign w:val="center"/>
          </w:tcPr>
          <w:p w14:paraId="36F3C38D">
            <w:pPr>
              <w:pStyle w:val="129"/>
              <w:ind w:firstLine="480"/>
              <w:rPr>
                <w:rFonts w:hint="eastAsia"/>
                <w:color w:val="000000"/>
                <w:sz w:val="21"/>
              </w:rPr>
            </w:pPr>
          </w:p>
        </w:tc>
        <w:tc>
          <w:tcPr>
            <w:tcW w:w="799" w:type="pct"/>
          </w:tcPr>
          <w:p w14:paraId="40A1BF68">
            <w:pPr>
              <w:pStyle w:val="129"/>
              <w:jc w:val="both"/>
              <w:rPr>
                <w:rFonts w:hint="eastAsia"/>
                <w:color w:val="000000"/>
                <w:sz w:val="21"/>
              </w:rPr>
            </w:pPr>
            <w:r>
              <w:rPr>
                <w:rFonts w:hint="eastAsia" w:ascii="Songti SC" w:hAnsi="Songti SC" w:eastAsia="Songti SC" w:cs="Songti SC"/>
                <w:color w:val="000000"/>
                <w:sz w:val="21"/>
              </w:rPr>
              <w:t>重要程序或文件完整性</w:t>
            </w:r>
          </w:p>
        </w:tc>
        <w:tc>
          <w:tcPr>
            <w:tcW w:w="1520" w:type="pct"/>
          </w:tcPr>
          <w:p w14:paraId="1838C1B0">
            <w:pPr>
              <w:pStyle w:val="129"/>
              <w:jc w:val="both"/>
              <w:rPr>
                <w:rFonts w:hint="eastAsia"/>
                <w:color w:val="000000"/>
                <w:sz w:val="21"/>
              </w:rPr>
            </w:pPr>
            <w:r>
              <w:rPr>
                <w:rFonts w:hint="eastAsia" w:ascii="Songti SC" w:hAnsi="Songti SC" w:eastAsia="Songti SC" w:cs="Songti SC"/>
                <w:color w:val="000000"/>
                <w:sz w:val="21"/>
              </w:rPr>
              <w:t>针对重要程序及文件展开签名服务，调用过程进行验签</w:t>
            </w:r>
          </w:p>
        </w:tc>
        <w:tc>
          <w:tcPr>
            <w:tcW w:w="998" w:type="pct"/>
          </w:tcPr>
          <w:p w14:paraId="546B4CA9">
            <w:pPr>
              <w:pStyle w:val="129"/>
              <w:rPr>
                <w:rFonts w:hint="eastAsia"/>
                <w:color w:val="000000"/>
                <w:sz w:val="21"/>
              </w:rPr>
            </w:pPr>
            <w:r>
              <w:rPr>
                <w:rFonts w:hint="eastAsia" w:ascii="Songti SC" w:hAnsi="Songti SC" w:eastAsia="Songti SC" w:cs="Songti SC"/>
                <w:color w:val="000000"/>
                <w:sz w:val="21"/>
              </w:rPr>
              <w:t>拟落实</w:t>
            </w:r>
          </w:p>
        </w:tc>
        <w:tc>
          <w:tcPr>
            <w:tcW w:w="1117" w:type="pct"/>
          </w:tcPr>
          <w:p w14:paraId="3368D36D">
            <w:pPr>
              <w:pStyle w:val="129"/>
              <w:ind w:firstLine="480"/>
              <w:rPr>
                <w:rFonts w:hint="eastAsia"/>
                <w:color w:val="000000"/>
                <w:sz w:val="21"/>
              </w:rPr>
            </w:pPr>
          </w:p>
        </w:tc>
      </w:tr>
      <w:tr w14:paraId="01F610E0">
        <w:trPr>
          <w:trHeight w:val="1294" w:hRule="atLeast"/>
        </w:trPr>
        <w:tc>
          <w:tcPr>
            <w:tcW w:w="565" w:type="pct"/>
            <w:vMerge w:val="continue"/>
            <w:vAlign w:val="center"/>
          </w:tcPr>
          <w:p w14:paraId="74D81A1C">
            <w:pPr>
              <w:pStyle w:val="129"/>
              <w:ind w:firstLine="480"/>
              <w:rPr>
                <w:rFonts w:hint="eastAsia"/>
                <w:color w:val="000000"/>
                <w:sz w:val="21"/>
              </w:rPr>
            </w:pPr>
          </w:p>
        </w:tc>
        <w:tc>
          <w:tcPr>
            <w:tcW w:w="799" w:type="pct"/>
          </w:tcPr>
          <w:p w14:paraId="216EA55A">
            <w:pPr>
              <w:pStyle w:val="129"/>
              <w:jc w:val="both"/>
              <w:rPr>
                <w:rFonts w:hint="eastAsia"/>
                <w:color w:val="000000"/>
                <w:sz w:val="21"/>
              </w:rPr>
            </w:pPr>
            <w:r>
              <w:rPr>
                <w:rFonts w:hint="eastAsia" w:ascii="Songti SC" w:hAnsi="Songti SC" w:eastAsia="Songti SC" w:cs="Songti SC"/>
                <w:color w:val="000000"/>
                <w:sz w:val="21"/>
              </w:rPr>
              <w:t>密码模块实现</w:t>
            </w:r>
          </w:p>
        </w:tc>
        <w:tc>
          <w:tcPr>
            <w:tcW w:w="1520" w:type="pct"/>
          </w:tcPr>
          <w:p w14:paraId="2CCA26DE">
            <w:pPr>
              <w:pStyle w:val="129"/>
              <w:ind w:firstLine="480"/>
              <w:rPr>
                <w:rFonts w:hint="eastAsia"/>
                <w:color w:val="000000"/>
                <w:sz w:val="21"/>
              </w:rPr>
            </w:pPr>
          </w:p>
        </w:tc>
        <w:tc>
          <w:tcPr>
            <w:tcW w:w="998" w:type="pct"/>
          </w:tcPr>
          <w:p w14:paraId="6241DCD3">
            <w:pPr>
              <w:pStyle w:val="129"/>
              <w:rPr>
                <w:rFonts w:hint="eastAsia"/>
                <w:color w:val="000000"/>
                <w:sz w:val="21"/>
              </w:rPr>
            </w:pPr>
            <w:r>
              <w:rPr>
                <w:rFonts w:hint="eastAsia" w:ascii="Songti SC" w:hAnsi="Songti SC" w:eastAsia="Songti SC" w:cs="Songti SC"/>
                <w:color w:val="000000"/>
                <w:sz w:val="21"/>
              </w:rPr>
              <w:t>适用性需专项确认</w:t>
            </w:r>
          </w:p>
        </w:tc>
        <w:tc>
          <w:tcPr>
            <w:tcW w:w="1117" w:type="pct"/>
          </w:tcPr>
          <w:p w14:paraId="13C1841D">
            <w:pPr>
              <w:pStyle w:val="129"/>
              <w:ind w:firstLine="480"/>
              <w:rPr>
                <w:rFonts w:hint="eastAsia"/>
                <w:color w:val="000000"/>
                <w:sz w:val="21"/>
              </w:rPr>
            </w:pPr>
            <w:r>
              <w:rPr>
                <w:rFonts w:hint="eastAsia" w:ascii="Songti SC" w:hAnsi="Songti SC" w:eastAsia="Songti SC" w:cs="Songti SC"/>
                <w:color w:val="000000"/>
                <w:sz w:val="21"/>
              </w:rPr>
              <w:t>本项目为软件系统密码应用改造，不适用终端密码模块部分描述</w:t>
            </w:r>
          </w:p>
        </w:tc>
      </w:tr>
      <w:tr w14:paraId="442B898A">
        <w:trPr>
          <w:trHeight w:val="620" w:hRule="atLeast"/>
        </w:trPr>
        <w:tc>
          <w:tcPr>
            <w:tcW w:w="565" w:type="pct"/>
            <w:vMerge w:val="restart"/>
            <w:vAlign w:val="center"/>
          </w:tcPr>
          <w:p w14:paraId="57F207AA">
            <w:pPr>
              <w:pStyle w:val="129"/>
              <w:jc w:val="both"/>
              <w:rPr>
                <w:rFonts w:hint="eastAsia"/>
                <w:color w:val="000000"/>
                <w:sz w:val="21"/>
              </w:rPr>
            </w:pPr>
            <w:r>
              <w:rPr>
                <w:rFonts w:hint="eastAsia" w:ascii="Songti SC" w:hAnsi="Songti SC" w:eastAsia="Songti SC" w:cs="Songti SC"/>
                <w:color w:val="000000"/>
                <w:sz w:val="21"/>
              </w:rPr>
              <w:t>应用和数据安全</w:t>
            </w:r>
          </w:p>
        </w:tc>
        <w:tc>
          <w:tcPr>
            <w:tcW w:w="799" w:type="pct"/>
          </w:tcPr>
          <w:p w14:paraId="7B1CD7A1">
            <w:pPr>
              <w:pStyle w:val="129"/>
              <w:jc w:val="both"/>
              <w:rPr>
                <w:rFonts w:hint="eastAsia"/>
                <w:color w:val="000000"/>
                <w:sz w:val="21"/>
              </w:rPr>
            </w:pPr>
            <w:r>
              <w:rPr>
                <w:rFonts w:hint="eastAsia" w:ascii="Songti SC" w:hAnsi="Songti SC" w:eastAsia="Songti SC" w:cs="Songti SC"/>
                <w:color w:val="000000"/>
                <w:sz w:val="21"/>
              </w:rPr>
              <w:t>身份鉴别</w:t>
            </w:r>
          </w:p>
        </w:tc>
        <w:tc>
          <w:tcPr>
            <w:tcW w:w="1520" w:type="pct"/>
          </w:tcPr>
          <w:p w14:paraId="1C892849">
            <w:pPr>
              <w:pStyle w:val="129"/>
              <w:jc w:val="both"/>
              <w:rPr>
                <w:rFonts w:hint="eastAsia"/>
                <w:color w:val="000000"/>
                <w:sz w:val="21"/>
              </w:rPr>
            </w:pPr>
            <w:r>
              <w:rPr>
                <w:rFonts w:hint="eastAsia" w:ascii="Songti SC" w:hAnsi="Songti SC" w:eastAsia="Songti SC" w:cs="Songti SC"/>
                <w:color w:val="000000"/>
                <w:sz w:val="21"/>
              </w:rPr>
              <w:t>通过身份认证系统及智能密码钥匙展开证书认证，通过S</w:t>
            </w:r>
            <w:r>
              <w:rPr>
                <w:rFonts w:ascii="Songti SC" w:hAnsi="Songti SC" w:eastAsia="Songti SC" w:cs="Songti SC"/>
                <w:color w:val="000000"/>
                <w:sz w:val="21"/>
              </w:rPr>
              <w:t>SLVPN</w:t>
            </w:r>
            <w:r>
              <w:rPr>
                <w:rFonts w:hint="eastAsia" w:ascii="Songti SC" w:hAnsi="Songti SC" w:eastAsia="Songti SC" w:cs="Songti SC"/>
                <w:color w:val="000000"/>
                <w:sz w:val="21"/>
              </w:rPr>
              <w:t>口令结合身份认证系统展开多因子认证</w:t>
            </w:r>
          </w:p>
        </w:tc>
        <w:tc>
          <w:tcPr>
            <w:tcW w:w="998" w:type="pct"/>
          </w:tcPr>
          <w:p w14:paraId="54DB4878">
            <w:pPr>
              <w:pStyle w:val="129"/>
              <w:rPr>
                <w:rFonts w:hint="eastAsia"/>
                <w:color w:val="000000"/>
                <w:sz w:val="21"/>
              </w:rPr>
            </w:pPr>
            <w:r>
              <w:rPr>
                <w:rFonts w:hint="eastAsia" w:ascii="Songti SC" w:hAnsi="Songti SC" w:eastAsia="Songti SC" w:cs="Songti SC"/>
                <w:color w:val="000000"/>
                <w:sz w:val="21"/>
              </w:rPr>
              <w:t>拟落实</w:t>
            </w:r>
          </w:p>
        </w:tc>
        <w:tc>
          <w:tcPr>
            <w:tcW w:w="1117" w:type="pct"/>
          </w:tcPr>
          <w:p w14:paraId="7B77F629">
            <w:pPr>
              <w:pStyle w:val="129"/>
              <w:ind w:firstLine="480"/>
              <w:rPr>
                <w:rFonts w:hint="eastAsia"/>
                <w:color w:val="000000"/>
                <w:sz w:val="21"/>
              </w:rPr>
            </w:pPr>
          </w:p>
        </w:tc>
      </w:tr>
      <w:tr w14:paraId="57F8B59E">
        <w:trPr>
          <w:trHeight w:val="451" w:hRule="atLeast"/>
        </w:trPr>
        <w:tc>
          <w:tcPr>
            <w:tcW w:w="565" w:type="pct"/>
            <w:vMerge w:val="continue"/>
            <w:vAlign w:val="center"/>
          </w:tcPr>
          <w:p w14:paraId="55485CB5">
            <w:pPr>
              <w:pStyle w:val="129"/>
              <w:ind w:firstLine="480"/>
              <w:rPr>
                <w:rFonts w:hint="eastAsia"/>
                <w:color w:val="000000"/>
                <w:sz w:val="21"/>
              </w:rPr>
            </w:pPr>
          </w:p>
        </w:tc>
        <w:tc>
          <w:tcPr>
            <w:tcW w:w="799" w:type="pct"/>
          </w:tcPr>
          <w:p w14:paraId="541962F8">
            <w:pPr>
              <w:pStyle w:val="129"/>
              <w:jc w:val="both"/>
              <w:rPr>
                <w:rFonts w:hint="eastAsia"/>
                <w:color w:val="000000"/>
                <w:sz w:val="21"/>
              </w:rPr>
            </w:pPr>
            <w:r>
              <w:rPr>
                <w:rFonts w:hint="eastAsia" w:ascii="Songti SC" w:hAnsi="Songti SC" w:eastAsia="Songti SC" w:cs="Songti SC"/>
                <w:color w:val="000000"/>
                <w:sz w:val="21"/>
              </w:rPr>
              <w:t>访问控制信息和敏感标记完整性</w:t>
            </w:r>
          </w:p>
        </w:tc>
        <w:tc>
          <w:tcPr>
            <w:tcW w:w="1520" w:type="pct"/>
          </w:tcPr>
          <w:p w14:paraId="6CF6AE6A">
            <w:pPr>
              <w:pStyle w:val="129"/>
              <w:jc w:val="both"/>
              <w:rPr>
                <w:rFonts w:hint="eastAsia"/>
                <w:color w:val="000000"/>
                <w:sz w:val="21"/>
              </w:rPr>
            </w:pPr>
            <w:r>
              <w:rPr>
                <w:rFonts w:hint="eastAsia" w:ascii="Songti SC" w:hAnsi="Songti SC" w:eastAsia="Songti SC" w:cs="Songti SC"/>
                <w:color w:val="000000"/>
                <w:sz w:val="21"/>
              </w:rPr>
              <w:t>密码机</w:t>
            </w:r>
          </w:p>
        </w:tc>
        <w:tc>
          <w:tcPr>
            <w:tcW w:w="998" w:type="pct"/>
          </w:tcPr>
          <w:p w14:paraId="4E8E0F0B">
            <w:pPr>
              <w:pStyle w:val="129"/>
              <w:rPr>
                <w:rFonts w:hint="eastAsia"/>
                <w:color w:val="000000"/>
                <w:sz w:val="21"/>
              </w:rPr>
            </w:pPr>
            <w:r>
              <w:rPr>
                <w:rFonts w:hint="eastAsia" w:ascii="Songti SC" w:hAnsi="Songti SC" w:eastAsia="Songti SC" w:cs="Songti SC"/>
                <w:color w:val="000000"/>
                <w:sz w:val="21"/>
              </w:rPr>
              <w:t>拟落实</w:t>
            </w:r>
          </w:p>
        </w:tc>
        <w:tc>
          <w:tcPr>
            <w:tcW w:w="1117" w:type="pct"/>
          </w:tcPr>
          <w:p w14:paraId="3AE4009F">
            <w:pPr>
              <w:pStyle w:val="129"/>
              <w:ind w:firstLine="480"/>
              <w:rPr>
                <w:rFonts w:hint="eastAsia"/>
                <w:color w:val="000000"/>
                <w:sz w:val="21"/>
              </w:rPr>
            </w:pPr>
          </w:p>
        </w:tc>
      </w:tr>
      <w:tr w14:paraId="2AD76CD0">
        <w:trPr>
          <w:trHeight w:val="601" w:hRule="atLeast"/>
        </w:trPr>
        <w:tc>
          <w:tcPr>
            <w:tcW w:w="565" w:type="pct"/>
            <w:vMerge w:val="continue"/>
            <w:vAlign w:val="center"/>
          </w:tcPr>
          <w:p w14:paraId="7B5C50C7">
            <w:pPr>
              <w:pStyle w:val="129"/>
              <w:ind w:firstLine="480"/>
              <w:rPr>
                <w:rFonts w:hint="eastAsia"/>
                <w:color w:val="000000"/>
                <w:sz w:val="21"/>
              </w:rPr>
            </w:pPr>
          </w:p>
        </w:tc>
        <w:tc>
          <w:tcPr>
            <w:tcW w:w="799" w:type="pct"/>
          </w:tcPr>
          <w:p w14:paraId="1F93CF17">
            <w:pPr>
              <w:pStyle w:val="129"/>
              <w:jc w:val="both"/>
              <w:rPr>
                <w:rFonts w:hint="eastAsia"/>
                <w:color w:val="000000"/>
                <w:sz w:val="21"/>
              </w:rPr>
            </w:pPr>
            <w:r>
              <w:rPr>
                <w:rFonts w:hint="eastAsia" w:ascii="Songti SC" w:hAnsi="Songti SC" w:eastAsia="Songti SC" w:cs="Songti SC"/>
                <w:color w:val="000000"/>
                <w:sz w:val="21"/>
              </w:rPr>
              <w:t>数据传输机密性</w:t>
            </w:r>
          </w:p>
        </w:tc>
        <w:tc>
          <w:tcPr>
            <w:tcW w:w="1520" w:type="pct"/>
          </w:tcPr>
          <w:p w14:paraId="047C754F">
            <w:pPr>
              <w:pStyle w:val="129"/>
              <w:jc w:val="both"/>
              <w:rPr>
                <w:rFonts w:hint="eastAsia"/>
                <w:color w:val="000000"/>
                <w:sz w:val="21"/>
              </w:rPr>
            </w:pPr>
            <w:r>
              <w:rPr>
                <w:rFonts w:hint="eastAsia" w:ascii="Songti SC" w:hAnsi="Songti SC" w:eastAsia="Songti SC" w:cs="Songti SC"/>
                <w:color w:val="000000"/>
                <w:sz w:val="21"/>
              </w:rPr>
              <w:t>跨网数据交换过程采用V</w:t>
            </w:r>
            <w:r>
              <w:rPr>
                <w:rFonts w:ascii="Songti SC" w:hAnsi="Songti SC" w:eastAsia="Songti SC" w:cs="Songti SC"/>
                <w:color w:val="000000"/>
                <w:sz w:val="21"/>
              </w:rPr>
              <w:t>PN</w:t>
            </w:r>
            <w:r>
              <w:rPr>
                <w:rFonts w:hint="eastAsia" w:ascii="Songti SC" w:hAnsi="Songti SC" w:eastAsia="Songti SC" w:cs="Songti SC"/>
                <w:color w:val="000000"/>
                <w:sz w:val="21"/>
              </w:rPr>
              <w:t>二合一产品确保数据传输过程机密性</w:t>
            </w:r>
          </w:p>
        </w:tc>
        <w:tc>
          <w:tcPr>
            <w:tcW w:w="998" w:type="pct"/>
          </w:tcPr>
          <w:p w14:paraId="35AD03E8">
            <w:pPr>
              <w:pStyle w:val="129"/>
              <w:rPr>
                <w:rFonts w:hint="eastAsia"/>
                <w:color w:val="000000"/>
                <w:sz w:val="21"/>
              </w:rPr>
            </w:pPr>
            <w:r>
              <w:rPr>
                <w:rFonts w:hint="eastAsia" w:ascii="Songti SC" w:hAnsi="Songti SC" w:eastAsia="Songti SC" w:cs="Songti SC"/>
                <w:color w:val="000000"/>
                <w:sz w:val="21"/>
              </w:rPr>
              <w:t>拟落实</w:t>
            </w:r>
          </w:p>
        </w:tc>
        <w:tc>
          <w:tcPr>
            <w:tcW w:w="1117" w:type="pct"/>
          </w:tcPr>
          <w:p w14:paraId="497BBB90">
            <w:pPr>
              <w:pStyle w:val="129"/>
              <w:ind w:firstLine="480"/>
              <w:rPr>
                <w:rFonts w:hint="eastAsia"/>
                <w:color w:val="000000"/>
                <w:sz w:val="21"/>
              </w:rPr>
            </w:pPr>
          </w:p>
        </w:tc>
      </w:tr>
      <w:tr w14:paraId="4BBEB156">
        <w:trPr>
          <w:trHeight w:val="551" w:hRule="atLeast"/>
        </w:trPr>
        <w:tc>
          <w:tcPr>
            <w:tcW w:w="565" w:type="pct"/>
            <w:vMerge w:val="continue"/>
            <w:vAlign w:val="center"/>
          </w:tcPr>
          <w:p w14:paraId="257637D0">
            <w:pPr>
              <w:pStyle w:val="129"/>
              <w:ind w:firstLine="480"/>
              <w:rPr>
                <w:rFonts w:hint="eastAsia"/>
                <w:color w:val="000000"/>
                <w:sz w:val="21"/>
              </w:rPr>
            </w:pPr>
          </w:p>
        </w:tc>
        <w:tc>
          <w:tcPr>
            <w:tcW w:w="799" w:type="pct"/>
          </w:tcPr>
          <w:p w14:paraId="4347EEA5">
            <w:pPr>
              <w:pStyle w:val="129"/>
              <w:jc w:val="both"/>
              <w:rPr>
                <w:rFonts w:hint="eastAsia"/>
                <w:color w:val="000000"/>
                <w:sz w:val="21"/>
              </w:rPr>
            </w:pPr>
            <w:r>
              <w:rPr>
                <w:rFonts w:hint="eastAsia" w:ascii="Songti SC" w:hAnsi="Songti SC" w:eastAsia="Songti SC" w:cs="Songti SC"/>
                <w:color w:val="000000"/>
                <w:sz w:val="21"/>
              </w:rPr>
              <w:t>数据存储机密性</w:t>
            </w:r>
          </w:p>
        </w:tc>
        <w:tc>
          <w:tcPr>
            <w:tcW w:w="1520" w:type="pct"/>
          </w:tcPr>
          <w:p w14:paraId="399AFFBE">
            <w:pPr>
              <w:pStyle w:val="129"/>
              <w:jc w:val="both"/>
              <w:rPr>
                <w:rFonts w:hint="eastAsia"/>
                <w:color w:val="000000"/>
                <w:sz w:val="21"/>
              </w:rPr>
            </w:pPr>
            <w:r>
              <w:rPr>
                <w:rFonts w:hint="eastAsia" w:ascii="Songti SC" w:hAnsi="Songti SC" w:eastAsia="Songti SC" w:cs="Songti SC"/>
                <w:color w:val="000000"/>
                <w:sz w:val="21"/>
              </w:rPr>
              <w:t>应用系统调用密码机生成加密算法对数据及日志加密确保数据机密性</w:t>
            </w:r>
          </w:p>
        </w:tc>
        <w:tc>
          <w:tcPr>
            <w:tcW w:w="998" w:type="pct"/>
          </w:tcPr>
          <w:p w14:paraId="0A51E0A9">
            <w:pPr>
              <w:pStyle w:val="129"/>
              <w:rPr>
                <w:rFonts w:hint="eastAsia"/>
                <w:color w:val="000000"/>
                <w:sz w:val="21"/>
              </w:rPr>
            </w:pPr>
            <w:r>
              <w:rPr>
                <w:rFonts w:hint="eastAsia" w:ascii="Songti SC" w:hAnsi="Songti SC" w:eastAsia="Songti SC" w:cs="Songti SC"/>
                <w:color w:val="000000"/>
                <w:sz w:val="21"/>
              </w:rPr>
              <w:t>拟落实</w:t>
            </w:r>
          </w:p>
        </w:tc>
        <w:tc>
          <w:tcPr>
            <w:tcW w:w="1117" w:type="pct"/>
          </w:tcPr>
          <w:p w14:paraId="0224758F">
            <w:pPr>
              <w:pStyle w:val="129"/>
              <w:ind w:firstLine="480"/>
              <w:rPr>
                <w:rFonts w:hint="eastAsia"/>
                <w:color w:val="000000"/>
                <w:sz w:val="21"/>
              </w:rPr>
            </w:pPr>
          </w:p>
        </w:tc>
      </w:tr>
      <w:tr w14:paraId="575A6A1C">
        <w:trPr>
          <w:trHeight w:val="513" w:hRule="atLeast"/>
        </w:trPr>
        <w:tc>
          <w:tcPr>
            <w:tcW w:w="565" w:type="pct"/>
            <w:vMerge w:val="continue"/>
            <w:vAlign w:val="center"/>
          </w:tcPr>
          <w:p w14:paraId="6DA60789">
            <w:pPr>
              <w:pStyle w:val="129"/>
              <w:ind w:firstLine="480"/>
              <w:rPr>
                <w:rFonts w:hint="eastAsia"/>
                <w:color w:val="000000"/>
                <w:sz w:val="21"/>
              </w:rPr>
            </w:pPr>
          </w:p>
        </w:tc>
        <w:tc>
          <w:tcPr>
            <w:tcW w:w="799" w:type="pct"/>
          </w:tcPr>
          <w:p w14:paraId="157BF4B4">
            <w:pPr>
              <w:pStyle w:val="129"/>
              <w:jc w:val="both"/>
              <w:rPr>
                <w:rFonts w:hint="eastAsia"/>
                <w:color w:val="000000"/>
                <w:sz w:val="21"/>
              </w:rPr>
            </w:pPr>
            <w:r>
              <w:rPr>
                <w:rFonts w:hint="eastAsia" w:ascii="Songti SC" w:hAnsi="Songti SC" w:eastAsia="Songti SC" w:cs="Songti SC"/>
                <w:color w:val="000000"/>
                <w:sz w:val="21"/>
              </w:rPr>
              <w:t>数据传输完整性</w:t>
            </w:r>
          </w:p>
        </w:tc>
        <w:tc>
          <w:tcPr>
            <w:tcW w:w="1520" w:type="pct"/>
          </w:tcPr>
          <w:p w14:paraId="4F676073">
            <w:pPr>
              <w:pStyle w:val="129"/>
              <w:jc w:val="both"/>
              <w:rPr>
                <w:rFonts w:hint="eastAsia"/>
                <w:color w:val="000000"/>
                <w:sz w:val="21"/>
              </w:rPr>
            </w:pPr>
            <w:r>
              <w:rPr>
                <w:rFonts w:hint="eastAsia" w:ascii="Songti SC" w:hAnsi="Songti SC" w:eastAsia="Songti SC" w:cs="Songti SC"/>
                <w:color w:val="000000"/>
                <w:sz w:val="21"/>
              </w:rPr>
              <w:t>跨网数据交换过程采用V</w:t>
            </w:r>
            <w:r>
              <w:rPr>
                <w:rFonts w:ascii="Songti SC" w:hAnsi="Songti SC" w:eastAsia="Songti SC" w:cs="Songti SC"/>
                <w:color w:val="000000"/>
                <w:sz w:val="21"/>
              </w:rPr>
              <w:t>PN</w:t>
            </w:r>
            <w:r>
              <w:rPr>
                <w:rFonts w:hint="eastAsia" w:ascii="Songti SC" w:hAnsi="Songti SC" w:eastAsia="Songti SC" w:cs="Songti SC"/>
                <w:color w:val="000000"/>
                <w:sz w:val="21"/>
              </w:rPr>
              <w:t>二合一产品确保数据传输过程完整性</w:t>
            </w:r>
          </w:p>
        </w:tc>
        <w:tc>
          <w:tcPr>
            <w:tcW w:w="998" w:type="pct"/>
          </w:tcPr>
          <w:p w14:paraId="4BEC0B6C">
            <w:pPr>
              <w:pStyle w:val="129"/>
              <w:rPr>
                <w:rFonts w:hint="eastAsia"/>
                <w:color w:val="000000"/>
                <w:sz w:val="21"/>
              </w:rPr>
            </w:pPr>
            <w:r>
              <w:rPr>
                <w:rFonts w:hint="eastAsia" w:ascii="Songti SC" w:hAnsi="Songti SC" w:eastAsia="Songti SC" w:cs="Songti SC"/>
                <w:color w:val="000000"/>
                <w:sz w:val="21"/>
              </w:rPr>
              <w:t>拟落实</w:t>
            </w:r>
          </w:p>
        </w:tc>
        <w:tc>
          <w:tcPr>
            <w:tcW w:w="1117" w:type="pct"/>
          </w:tcPr>
          <w:p w14:paraId="397EFA70">
            <w:pPr>
              <w:pStyle w:val="129"/>
              <w:ind w:firstLine="480"/>
              <w:rPr>
                <w:rFonts w:hint="eastAsia"/>
                <w:color w:val="000000"/>
                <w:sz w:val="21"/>
              </w:rPr>
            </w:pPr>
          </w:p>
        </w:tc>
      </w:tr>
      <w:tr w14:paraId="7C34C3F5">
        <w:trPr>
          <w:trHeight w:val="463" w:hRule="atLeast"/>
        </w:trPr>
        <w:tc>
          <w:tcPr>
            <w:tcW w:w="565" w:type="pct"/>
            <w:vMerge w:val="continue"/>
            <w:vAlign w:val="center"/>
          </w:tcPr>
          <w:p w14:paraId="42A5A2B1">
            <w:pPr>
              <w:pStyle w:val="129"/>
              <w:ind w:firstLine="480"/>
              <w:rPr>
                <w:rFonts w:hint="eastAsia"/>
                <w:color w:val="000000"/>
                <w:sz w:val="21"/>
              </w:rPr>
            </w:pPr>
          </w:p>
        </w:tc>
        <w:tc>
          <w:tcPr>
            <w:tcW w:w="799" w:type="pct"/>
          </w:tcPr>
          <w:p w14:paraId="675F3711">
            <w:pPr>
              <w:pStyle w:val="129"/>
              <w:jc w:val="both"/>
              <w:rPr>
                <w:rFonts w:hint="eastAsia"/>
                <w:color w:val="000000"/>
                <w:sz w:val="21"/>
              </w:rPr>
            </w:pPr>
            <w:r>
              <w:rPr>
                <w:rFonts w:hint="eastAsia" w:ascii="Songti SC" w:hAnsi="Songti SC" w:eastAsia="Songti SC" w:cs="Songti SC"/>
                <w:color w:val="000000"/>
                <w:sz w:val="21"/>
              </w:rPr>
              <w:t>数据存储完整性</w:t>
            </w:r>
          </w:p>
        </w:tc>
        <w:tc>
          <w:tcPr>
            <w:tcW w:w="1520" w:type="pct"/>
          </w:tcPr>
          <w:p w14:paraId="4AD06E0D">
            <w:pPr>
              <w:pStyle w:val="129"/>
              <w:jc w:val="both"/>
              <w:rPr>
                <w:rFonts w:hint="eastAsia"/>
                <w:color w:val="000000"/>
                <w:sz w:val="21"/>
              </w:rPr>
            </w:pPr>
            <w:r>
              <w:rPr>
                <w:rFonts w:hint="eastAsia" w:ascii="Songti SC" w:hAnsi="Songti SC" w:eastAsia="Songti SC" w:cs="Songti SC"/>
                <w:color w:val="000000"/>
                <w:sz w:val="21"/>
              </w:rPr>
              <w:t>应用系统调用密码机生成加密算法对数据及日志加密确保数据完整性</w:t>
            </w:r>
          </w:p>
        </w:tc>
        <w:tc>
          <w:tcPr>
            <w:tcW w:w="998" w:type="pct"/>
          </w:tcPr>
          <w:p w14:paraId="391AD19F">
            <w:pPr>
              <w:pStyle w:val="129"/>
              <w:rPr>
                <w:rFonts w:hint="eastAsia"/>
                <w:color w:val="000000"/>
                <w:sz w:val="21"/>
              </w:rPr>
            </w:pPr>
            <w:r>
              <w:rPr>
                <w:rFonts w:hint="eastAsia" w:ascii="Songti SC" w:hAnsi="Songti SC" w:eastAsia="Songti SC" w:cs="Songti SC"/>
                <w:color w:val="000000"/>
                <w:sz w:val="21"/>
              </w:rPr>
              <w:t>拟落实</w:t>
            </w:r>
          </w:p>
        </w:tc>
        <w:tc>
          <w:tcPr>
            <w:tcW w:w="1117" w:type="pct"/>
          </w:tcPr>
          <w:p w14:paraId="54E8A5FD">
            <w:pPr>
              <w:pStyle w:val="129"/>
              <w:ind w:firstLine="480"/>
              <w:rPr>
                <w:rFonts w:hint="eastAsia"/>
                <w:color w:val="000000"/>
                <w:sz w:val="21"/>
              </w:rPr>
            </w:pPr>
          </w:p>
        </w:tc>
      </w:tr>
      <w:tr w14:paraId="27A9E5B9">
        <w:trPr>
          <w:trHeight w:val="288" w:hRule="atLeast"/>
        </w:trPr>
        <w:tc>
          <w:tcPr>
            <w:tcW w:w="565" w:type="pct"/>
            <w:vMerge w:val="continue"/>
            <w:vAlign w:val="center"/>
          </w:tcPr>
          <w:p w14:paraId="0F4E812C">
            <w:pPr>
              <w:pStyle w:val="129"/>
              <w:ind w:firstLine="480"/>
              <w:rPr>
                <w:rFonts w:hint="eastAsia"/>
                <w:color w:val="000000"/>
                <w:sz w:val="21"/>
              </w:rPr>
            </w:pPr>
          </w:p>
        </w:tc>
        <w:tc>
          <w:tcPr>
            <w:tcW w:w="799" w:type="pct"/>
          </w:tcPr>
          <w:p w14:paraId="51BE2F81">
            <w:pPr>
              <w:pStyle w:val="129"/>
              <w:jc w:val="both"/>
              <w:rPr>
                <w:rFonts w:hint="eastAsia"/>
                <w:color w:val="000000"/>
                <w:sz w:val="21"/>
              </w:rPr>
            </w:pPr>
            <w:r>
              <w:rPr>
                <w:rFonts w:hint="eastAsia" w:ascii="Songti SC" w:hAnsi="Songti SC" w:eastAsia="Songti SC" w:cs="Songti SC"/>
                <w:color w:val="000000"/>
                <w:sz w:val="21"/>
              </w:rPr>
              <w:t>日志记录完整性</w:t>
            </w:r>
          </w:p>
        </w:tc>
        <w:tc>
          <w:tcPr>
            <w:tcW w:w="1520" w:type="pct"/>
          </w:tcPr>
          <w:p w14:paraId="08313C63">
            <w:pPr>
              <w:pStyle w:val="129"/>
              <w:jc w:val="both"/>
              <w:rPr>
                <w:rFonts w:hint="eastAsia"/>
                <w:color w:val="000000"/>
                <w:sz w:val="21"/>
              </w:rPr>
            </w:pPr>
            <w:r>
              <w:rPr>
                <w:rFonts w:hint="eastAsia" w:ascii="Songti SC" w:hAnsi="Songti SC" w:eastAsia="Songti SC" w:cs="Songti SC"/>
                <w:color w:val="000000"/>
                <w:sz w:val="21"/>
              </w:rPr>
              <w:t>应用系统调用密码机生成加密算法对数据及日志加密确保数据完整性</w:t>
            </w:r>
          </w:p>
        </w:tc>
        <w:tc>
          <w:tcPr>
            <w:tcW w:w="998" w:type="pct"/>
          </w:tcPr>
          <w:p w14:paraId="63E6513E">
            <w:pPr>
              <w:pStyle w:val="129"/>
              <w:rPr>
                <w:rFonts w:hint="eastAsia"/>
                <w:color w:val="000000"/>
                <w:sz w:val="21"/>
              </w:rPr>
            </w:pPr>
            <w:r>
              <w:rPr>
                <w:rFonts w:hint="eastAsia" w:ascii="Songti SC" w:hAnsi="Songti SC" w:eastAsia="Songti SC" w:cs="Songti SC"/>
                <w:color w:val="000000"/>
                <w:sz w:val="21"/>
              </w:rPr>
              <w:t>拟落实</w:t>
            </w:r>
          </w:p>
        </w:tc>
        <w:tc>
          <w:tcPr>
            <w:tcW w:w="1117" w:type="pct"/>
          </w:tcPr>
          <w:p w14:paraId="15C7A8F8">
            <w:pPr>
              <w:pStyle w:val="129"/>
              <w:ind w:firstLine="480"/>
              <w:rPr>
                <w:rFonts w:hint="eastAsia"/>
                <w:color w:val="000000"/>
                <w:sz w:val="21"/>
              </w:rPr>
            </w:pPr>
          </w:p>
        </w:tc>
      </w:tr>
      <w:tr w14:paraId="28F773AF">
        <w:trPr>
          <w:trHeight w:val="241" w:hRule="atLeast"/>
        </w:trPr>
        <w:tc>
          <w:tcPr>
            <w:tcW w:w="565" w:type="pct"/>
            <w:vMerge w:val="continue"/>
            <w:vAlign w:val="center"/>
          </w:tcPr>
          <w:p w14:paraId="3BDEA374">
            <w:pPr>
              <w:pStyle w:val="129"/>
              <w:ind w:firstLine="480"/>
              <w:rPr>
                <w:rFonts w:hint="eastAsia"/>
                <w:color w:val="000000"/>
                <w:sz w:val="21"/>
              </w:rPr>
            </w:pPr>
          </w:p>
        </w:tc>
        <w:tc>
          <w:tcPr>
            <w:tcW w:w="799" w:type="pct"/>
          </w:tcPr>
          <w:p w14:paraId="67316A49">
            <w:pPr>
              <w:pStyle w:val="129"/>
              <w:jc w:val="both"/>
              <w:rPr>
                <w:rFonts w:hint="eastAsia"/>
                <w:color w:val="000000"/>
                <w:sz w:val="21"/>
              </w:rPr>
            </w:pPr>
            <w:r>
              <w:rPr>
                <w:rFonts w:hint="eastAsia" w:ascii="Songti SC" w:hAnsi="Songti SC" w:eastAsia="Songti SC" w:cs="Songti SC"/>
                <w:color w:val="000000"/>
                <w:sz w:val="21"/>
              </w:rPr>
              <w:t>重要应用程序的加载和卸载</w:t>
            </w:r>
          </w:p>
        </w:tc>
        <w:tc>
          <w:tcPr>
            <w:tcW w:w="1520" w:type="pct"/>
          </w:tcPr>
          <w:p w14:paraId="6DC767DB">
            <w:pPr>
              <w:pStyle w:val="129"/>
              <w:jc w:val="both"/>
              <w:rPr>
                <w:rFonts w:hint="eastAsia"/>
                <w:color w:val="000000"/>
                <w:sz w:val="21"/>
              </w:rPr>
            </w:pPr>
            <w:r>
              <w:rPr>
                <w:rFonts w:hint="eastAsia" w:ascii="Songti SC" w:hAnsi="Songti SC" w:eastAsia="Songti SC" w:cs="Songti SC"/>
                <w:color w:val="000000"/>
                <w:sz w:val="21"/>
              </w:rPr>
              <w:t>针对重要程序及文件展开签名服务，调用过程进行验签</w:t>
            </w:r>
          </w:p>
        </w:tc>
        <w:tc>
          <w:tcPr>
            <w:tcW w:w="998" w:type="pct"/>
          </w:tcPr>
          <w:p w14:paraId="15E827A2">
            <w:pPr>
              <w:pStyle w:val="129"/>
              <w:rPr>
                <w:rFonts w:hint="eastAsia"/>
                <w:color w:val="000000"/>
                <w:sz w:val="21"/>
              </w:rPr>
            </w:pPr>
            <w:r>
              <w:rPr>
                <w:rFonts w:hint="eastAsia" w:ascii="Songti SC" w:hAnsi="Songti SC" w:eastAsia="Songti SC" w:cs="Songti SC"/>
                <w:color w:val="000000"/>
                <w:sz w:val="21"/>
              </w:rPr>
              <w:t>拟落实</w:t>
            </w:r>
          </w:p>
        </w:tc>
        <w:tc>
          <w:tcPr>
            <w:tcW w:w="1117" w:type="pct"/>
          </w:tcPr>
          <w:p w14:paraId="06453B0F">
            <w:pPr>
              <w:pStyle w:val="129"/>
              <w:ind w:firstLine="480"/>
              <w:rPr>
                <w:rFonts w:hint="eastAsia"/>
                <w:color w:val="000000"/>
                <w:sz w:val="21"/>
              </w:rPr>
            </w:pPr>
          </w:p>
        </w:tc>
      </w:tr>
      <w:tr w14:paraId="482976E3">
        <w:trPr>
          <w:trHeight w:val="262" w:hRule="atLeast"/>
        </w:trPr>
        <w:tc>
          <w:tcPr>
            <w:tcW w:w="565" w:type="pct"/>
            <w:vMerge w:val="continue"/>
            <w:vAlign w:val="center"/>
          </w:tcPr>
          <w:p w14:paraId="381DD41F">
            <w:pPr>
              <w:pStyle w:val="129"/>
              <w:ind w:firstLine="480"/>
              <w:rPr>
                <w:rFonts w:hint="eastAsia"/>
                <w:color w:val="000000"/>
                <w:sz w:val="21"/>
              </w:rPr>
            </w:pPr>
          </w:p>
        </w:tc>
        <w:tc>
          <w:tcPr>
            <w:tcW w:w="799" w:type="pct"/>
          </w:tcPr>
          <w:p w14:paraId="6B5F710A">
            <w:pPr>
              <w:pStyle w:val="129"/>
              <w:jc w:val="both"/>
              <w:rPr>
                <w:rFonts w:hint="eastAsia"/>
                <w:color w:val="000000"/>
                <w:sz w:val="21"/>
              </w:rPr>
            </w:pPr>
            <w:r>
              <w:rPr>
                <w:rFonts w:hint="eastAsia" w:ascii="Songti SC" w:hAnsi="Songti SC" w:eastAsia="Songti SC" w:cs="Songti SC"/>
                <w:color w:val="000000"/>
                <w:sz w:val="21"/>
              </w:rPr>
              <w:t>抗抵赖</w:t>
            </w:r>
          </w:p>
        </w:tc>
        <w:tc>
          <w:tcPr>
            <w:tcW w:w="1520" w:type="pct"/>
          </w:tcPr>
          <w:p w14:paraId="47808D49">
            <w:pPr>
              <w:pStyle w:val="129"/>
              <w:jc w:val="both"/>
              <w:rPr>
                <w:rFonts w:hint="eastAsia"/>
                <w:color w:val="000000"/>
                <w:sz w:val="21"/>
              </w:rPr>
            </w:pPr>
          </w:p>
        </w:tc>
        <w:tc>
          <w:tcPr>
            <w:tcW w:w="998" w:type="pct"/>
          </w:tcPr>
          <w:p w14:paraId="29B8FEB7">
            <w:pPr>
              <w:pStyle w:val="129"/>
              <w:rPr>
                <w:rFonts w:hint="eastAsia"/>
                <w:color w:val="000000"/>
                <w:sz w:val="21"/>
              </w:rPr>
            </w:pPr>
            <w:r>
              <w:rPr>
                <w:rFonts w:hint="eastAsia" w:ascii="Songti SC" w:hAnsi="Songti SC" w:eastAsia="Songti SC" w:cs="Songti SC"/>
                <w:color w:val="000000"/>
                <w:sz w:val="21"/>
              </w:rPr>
              <w:t>适用性需专项确认</w:t>
            </w:r>
          </w:p>
        </w:tc>
        <w:tc>
          <w:tcPr>
            <w:tcW w:w="1117" w:type="pct"/>
          </w:tcPr>
          <w:p w14:paraId="39107A1D">
            <w:pPr>
              <w:pStyle w:val="129"/>
              <w:jc w:val="both"/>
              <w:rPr>
                <w:rFonts w:hint="eastAsia"/>
                <w:color w:val="000000"/>
                <w:sz w:val="21"/>
              </w:rPr>
            </w:pPr>
            <w:r>
              <w:rPr>
                <w:rFonts w:hint="eastAsia" w:ascii="Songti SC" w:hAnsi="Songti SC" w:eastAsia="Songti SC" w:cs="Songti SC"/>
                <w:color w:val="000000"/>
                <w:sz w:val="21"/>
              </w:rPr>
              <w:t>本项目密码改造需求不包括</w:t>
            </w:r>
          </w:p>
        </w:tc>
      </w:tr>
      <w:tr w14:paraId="32042A06">
        <w:trPr>
          <w:trHeight w:val="254" w:hRule="atLeast"/>
        </w:trPr>
        <w:tc>
          <w:tcPr>
            <w:tcW w:w="565" w:type="pct"/>
            <w:vMerge w:val="continue"/>
            <w:vAlign w:val="center"/>
          </w:tcPr>
          <w:p w14:paraId="79C2BFD3">
            <w:pPr>
              <w:pStyle w:val="129"/>
              <w:ind w:firstLine="480"/>
              <w:rPr>
                <w:rFonts w:hint="eastAsia"/>
                <w:color w:val="000000"/>
                <w:sz w:val="21"/>
              </w:rPr>
            </w:pPr>
          </w:p>
        </w:tc>
        <w:tc>
          <w:tcPr>
            <w:tcW w:w="799" w:type="pct"/>
          </w:tcPr>
          <w:p w14:paraId="3F45E7EE">
            <w:pPr>
              <w:pStyle w:val="129"/>
              <w:jc w:val="both"/>
              <w:rPr>
                <w:rFonts w:hint="eastAsia"/>
                <w:color w:val="000000"/>
                <w:sz w:val="21"/>
              </w:rPr>
            </w:pPr>
            <w:r>
              <w:rPr>
                <w:rFonts w:hint="eastAsia" w:ascii="Songti SC" w:hAnsi="Songti SC" w:eastAsia="Songti SC" w:cs="Songti SC"/>
                <w:color w:val="000000"/>
                <w:sz w:val="21"/>
              </w:rPr>
              <w:t>密码模块实现</w:t>
            </w:r>
          </w:p>
        </w:tc>
        <w:tc>
          <w:tcPr>
            <w:tcW w:w="1520" w:type="pct"/>
          </w:tcPr>
          <w:p w14:paraId="77DF6D0D">
            <w:pPr>
              <w:pStyle w:val="129"/>
              <w:ind w:firstLine="480"/>
              <w:rPr>
                <w:rFonts w:hint="eastAsia"/>
                <w:color w:val="000000"/>
                <w:sz w:val="21"/>
              </w:rPr>
            </w:pPr>
          </w:p>
        </w:tc>
        <w:tc>
          <w:tcPr>
            <w:tcW w:w="998" w:type="pct"/>
          </w:tcPr>
          <w:p w14:paraId="51677286">
            <w:pPr>
              <w:pStyle w:val="129"/>
              <w:rPr>
                <w:rFonts w:hint="eastAsia"/>
                <w:color w:val="000000"/>
                <w:sz w:val="21"/>
              </w:rPr>
            </w:pPr>
            <w:r>
              <w:rPr>
                <w:rFonts w:hint="eastAsia" w:ascii="Songti SC" w:hAnsi="Songti SC" w:eastAsia="Songti SC" w:cs="Songti SC"/>
                <w:color w:val="000000"/>
                <w:sz w:val="21"/>
              </w:rPr>
              <w:t>适用性需专项确认</w:t>
            </w:r>
          </w:p>
        </w:tc>
        <w:tc>
          <w:tcPr>
            <w:tcW w:w="1117" w:type="pct"/>
          </w:tcPr>
          <w:p w14:paraId="08A1609D">
            <w:pPr>
              <w:pStyle w:val="129"/>
              <w:jc w:val="both"/>
              <w:rPr>
                <w:rFonts w:hint="eastAsia"/>
                <w:color w:val="000000"/>
                <w:sz w:val="21"/>
              </w:rPr>
            </w:pPr>
            <w:r>
              <w:rPr>
                <w:rFonts w:hint="eastAsia" w:ascii="Songti SC" w:hAnsi="Songti SC" w:eastAsia="Songti SC" w:cs="Songti SC"/>
                <w:color w:val="000000"/>
                <w:sz w:val="21"/>
              </w:rPr>
              <w:t>本项目为软件系统密码应用改造，不适用终端密码模块部分描述</w:t>
            </w:r>
          </w:p>
        </w:tc>
      </w:tr>
    </w:tbl>
    <w:p w14:paraId="64CCEA7D">
      <w:pPr>
        <w:ind w:firstLine="480"/>
        <w:rPr>
          <w:rFonts w:hint="eastAsia"/>
          <w:color w:val="000000"/>
        </w:rPr>
      </w:pPr>
      <w:r>
        <w:rPr>
          <w:rFonts w:ascii="Songti SC" w:hAnsi="Songti SC" w:eastAsia="Songti SC" w:cs="Songti SC"/>
          <w:color w:val="000000"/>
        </w:rPr>
        <w:br w:type="page"/>
      </w:r>
    </w:p>
    <w:p w14:paraId="244CB419">
      <w:pPr>
        <w:pStyle w:val="2"/>
        <w:rPr>
          <w:rFonts w:hint="eastAsia"/>
          <w:color w:val="000000"/>
        </w:rPr>
      </w:pPr>
      <w:bookmarkStart w:id="674" w:name="_Toc23855"/>
      <w:bookmarkStart w:id="675" w:name="_Toc2045897696"/>
      <w:bookmarkStart w:id="676" w:name="_Toc1507775807"/>
      <w:bookmarkStart w:id="677" w:name="_Toc1233807346"/>
      <w:bookmarkStart w:id="678" w:name="_Toc26759"/>
      <w:bookmarkStart w:id="679" w:name="_Toc66881480"/>
      <w:r>
        <w:rPr>
          <w:rFonts w:hint="eastAsia" w:ascii="Songti SC" w:hAnsi="Songti SC" w:eastAsia="Songti SC" w:cs="Songti SC"/>
          <w:color w:val="000000"/>
        </w:rPr>
        <w:t>项目招标方案</w:t>
      </w:r>
      <w:bookmarkEnd w:id="674"/>
      <w:bookmarkEnd w:id="675"/>
      <w:bookmarkEnd w:id="676"/>
    </w:p>
    <w:p w14:paraId="2DA5F222">
      <w:pPr>
        <w:pStyle w:val="3"/>
        <w:rPr>
          <w:rFonts w:hint="eastAsia"/>
          <w:color w:val="000000"/>
        </w:rPr>
      </w:pPr>
      <w:bookmarkStart w:id="680" w:name="_Toc160095967"/>
      <w:bookmarkEnd w:id="680"/>
      <w:bookmarkStart w:id="681" w:name="_Toc31013"/>
      <w:bookmarkStart w:id="682" w:name="_Toc880953649"/>
      <w:bookmarkStart w:id="683" w:name="_Toc2041904555"/>
      <w:r>
        <w:rPr>
          <w:rFonts w:ascii="Songti SC" w:hAnsi="Songti SC" w:eastAsia="Songti SC" w:cs="Songti SC"/>
          <w:color w:val="000000"/>
        </w:rPr>
        <w:t>招标遵循的法规和原则</w:t>
      </w:r>
      <w:bookmarkEnd w:id="681"/>
      <w:bookmarkEnd w:id="682"/>
      <w:bookmarkEnd w:id="683"/>
    </w:p>
    <w:p w14:paraId="5246CE07">
      <w:pPr>
        <w:ind w:firstLine="480"/>
        <w:rPr>
          <w:rFonts w:hint="eastAsia"/>
          <w:color w:val="000000"/>
        </w:rPr>
      </w:pPr>
      <w:r>
        <w:rPr>
          <w:rFonts w:ascii="Songti SC" w:hAnsi="Songti SC" w:eastAsia="Songti SC" w:cs="Songti SC"/>
          <w:color w:val="000000"/>
        </w:rPr>
        <w:t>为实现项目的规范化、标准化和制度化管理，提高工程建设的水平和质量，增强项目资金的使用效率，本项目将根据《中华人民共和国政府采购法》（以下简称《政府采购法》）和《中华人民共和国招标投标法》的规定，组织实施项目中工程、设备及服务的采购。</w:t>
      </w:r>
    </w:p>
    <w:p w14:paraId="015ACDEB">
      <w:pPr>
        <w:pStyle w:val="3"/>
        <w:rPr>
          <w:rFonts w:hint="eastAsia"/>
          <w:color w:val="000000"/>
        </w:rPr>
      </w:pPr>
      <w:bookmarkStart w:id="684" w:name="_Toc160095968"/>
      <w:bookmarkEnd w:id="684"/>
      <w:bookmarkStart w:id="685" w:name="_Toc29452"/>
      <w:bookmarkStart w:id="686" w:name="_Toc1501176825"/>
      <w:bookmarkStart w:id="687" w:name="_Toc1435716325"/>
      <w:r>
        <w:rPr>
          <w:rFonts w:ascii="Songti SC" w:hAnsi="Songti SC" w:eastAsia="Songti SC" w:cs="Songti SC"/>
          <w:color w:val="000000"/>
        </w:rPr>
        <w:t>招标范围</w:t>
      </w:r>
      <w:bookmarkEnd w:id="685"/>
      <w:bookmarkEnd w:id="686"/>
      <w:bookmarkEnd w:id="687"/>
    </w:p>
    <w:p w14:paraId="139A6F04">
      <w:pPr>
        <w:ind w:firstLine="480"/>
        <w:rPr>
          <w:rFonts w:hint="eastAsia"/>
          <w:color w:val="000000"/>
        </w:rPr>
      </w:pPr>
      <w:r>
        <w:rPr>
          <w:rFonts w:ascii="Songti SC" w:hAnsi="Songti SC" w:eastAsia="Songti SC" w:cs="Songti SC"/>
          <w:color w:val="000000"/>
        </w:rPr>
        <w:t>本项目的应用系统开发</w:t>
      </w:r>
      <w:r>
        <w:rPr>
          <w:rFonts w:hint="eastAsia" w:ascii="Songti SC" w:hAnsi="Songti SC" w:eastAsia="Songti SC" w:cs="Songti SC"/>
          <w:color w:val="000000"/>
        </w:rPr>
        <w:t>、软件购置、</w:t>
      </w:r>
      <w:r>
        <w:rPr>
          <w:rFonts w:ascii="Songti SC" w:hAnsi="Songti SC" w:eastAsia="Songti SC" w:cs="Songti SC"/>
          <w:color w:val="000000"/>
        </w:rPr>
        <w:t>信息安全等保测评费、密码应用建设咨询服务费、密码应用测评服务费、密码应用云服务租赁费不采用招标形式。</w:t>
      </w:r>
    </w:p>
    <w:p w14:paraId="26A19A3D">
      <w:pPr>
        <w:pStyle w:val="3"/>
        <w:rPr>
          <w:rFonts w:hint="eastAsia"/>
          <w:color w:val="000000"/>
        </w:rPr>
      </w:pPr>
      <w:bookmarkStart w:id="688" w:name="_Toc160095969"/>
      <w:bookmarkEnd w:id="688"/>
      <w:bookmarkStart w:id="689" w:name="_Toc1641012819"/>
      <w:bookmarkStart w:id="690" w:name="_Toc32752"/>
      <w:bookmarkStart w:id="691" w:name="_Toc958016583"/>
      <w:r>
        <w:rPr>
          <w:rFonts w:ascii="Songti SC" w:hAnsi="Songti SC" w:eastAsia="Songti SC" w:cs="Songti SC"/>
          <w:color w:val="000000"/>
        </w:rPr>
        <w:t>招标方式</w:t>
      </w:r>
      <w:bookmarkEnd w:id="689"/>
      <w:bookmarkEnd w:id="690"/>
      <w:bookmarkEnd w:id="691"/>
    </w:p>
    <w:p w14:paraId="20A6D477">
      <w:pPr>
        <w:ind w:firstLine="480"/>
        <w:rPr>
          <w:rFonts w:hint="eastAsia"/>
          <w:color w:val="000000"/>
        </w:rPr>
      </w:pPr>
      <w:r>
        <w:rPr>
          <w:rFonts w:ascii="Songti SC" w:hAnsi="Songti SC" w:eastAsia="Songti SC" w:cs="Songti SC"/>
          <w:color w:val="000000"/>
        </w:rPr>
        <w:t>本项目的招标工作包括招标、投标、开标、评标、定标等各个环节的活动。本项目将严格遵守国家相关法规，按照国家审批的可研报告的内容进行招标活动，并接受有关部门对招标活动的监督。</w:t>
      </w:r>
    </w:p>
    <w:p w14:paraId="3B31A133">
      <w:pPr>
        <w:ind w:firstLine="480"/>
        <w:rPr>
          <w:rFonts w:hint="eastAsia"/>
          <w:color w:val="000000"/>
        </w:rPr>
      </w:pPr>
      <w:r>
        <w:rPr>
          <w:rFonts w:ascii="Songti SC" w:hAnsi="Songti SC" w:eastAsia="Songti SC" w:cs="Songti SC"/>
          <w:color w:val="000000"/>
        </w:rPr>
        <w:t>项目的领导小组将负责招投标组织协调工作，并设立专门的项目组负责招标方案的制定、招标文件的编写、评标等具体招标工作。招标文件和合同须经项目领导小组批准。项目招标组织方式如下表所示：</w:t>
      </w:r>
    </w:p>
    <w:p w14:paraId="7A01FA0D">
      <w:pPr>
        <w:pStyle w:val="14"/>
        <w:ind w:firstLine="480"/>
        <w:rPr>
          <w:rFonts w:ascii="Times New Roman" w:hAnsi="Times New Roman" w:cs="Times New Roman"/>
          <w:color w:val="000000"/>
        </w:rPr>
      </w:pPr>
      <w:r>
        <w:rPr>
          <w:rFonts w:hint="eastAsia" w:ascii="Songti SC" w:hAnsi="Songti SC" w:eastAsia="Songti SC" w:cs="Songti SC"/>
          <w:color w:val="000000"/>
        </w:rPr>
        <w:t>表</w:t>
      </w:r>
      <w:r>
        <w:rPr>
          <w:rFonts w:hint="eastAsia" w:cs="Songti SC"/>
          <w:color w:val="000000"/>
          <w:lang w:val="en-US" w:eastAsia="zh-CN"/>
        </w:rPr>
        <w:t>7</w:t>
      </w:r>
      <w:r>
        <w:rPr>
          <w:rFonts w:hint="eastAsia" w:ascii="Songti SC" w:hAnsi="Songti SC" w:eastAsia="Songti SC" w:cs="Songti SC"/>
          <w:color w:val="000000"/>
        </w:rPr>
        <w:t>.</w:t>
      </w:r>
      <w:r>
        <w:rPr>
          <w:rFonts w:hint="eastAsia" w:cs="Songti SC"/>
          <w:color w:val="000000"/>
          <w:lang w:val="en-US" w:eastAsia="zh-CN"/>
        </w:rPr>
        <w:t>1</w:t>
      </w:r>
      <w:r>
        <w:rPr>
          <w:rFonts w:ascii="Songti SC" w:hAnsi="Songti SC" w:eastAsia="Songti SC" w:cs="Songti SC"/>
          <w:color w:val="000000"/>
        </w:rPr>
        <w:t>招标方式表</w:t>
      </w:r>
    </w:p>
    <w:tbl>
      <w:tblPr>
        <w:tblStyle w:val="60"/>
        <w:tblW w:w="5000" w:type="pct"/>
        <w:tblInd w:w="0" w:type="dxa"/>
        <w:tblLayout w:type="autofit"/>
        <w:tblCellMar>
          <w:top w:w="0" w:type="dxa"/>
          <w:left w:w="108" w:type="dxa"/>
          <w:bottom w:w="0" w:type="dxa"/>
          <w:right w:w="108" w:type="dxa"/>
        </w:tblCellMar>
      </w:tblPr>
      <w:tblGrid>
        <w:gridCol w:w="2327"/>
        <w:gridCol w:w="2038"/>
        <w:gridCol w:w="2183"/>
        <w:gridCol w:w="1168"/>
        <w:gridCol w:w="806"/>
      </w:tblGrid>
      <w:tr w14:paraId="0DC732CB">
        <w:trPr>
          <w:trHeight w:val="583" w:hRule="atLeast"/>
        </w:trPr>
        <w:tc>
          <w:tcPr>
            <w:tcW w:w="1365" w:type="pct"/>
            <w:tcBorders>
              <w:top w:val="single" w:color="auto" w:sz="4" w:space="0"/>
              <w:left w:val="single" w:color="auto" w:sz="4" w:space="0"/>
              <w:bottom w:val="single" w:color="auto" w:sz="4" w:space="0"/>
              <w:right w:val="single" w:color="auto" w:sz="4" w:space="0"/>
            </w:tcBorders>
            <w:noWrap/>
            <w:vAlign w:val="center"/>
          </w:tcPr>
          <w:p w14:paraId="38E2C90C">
            <w:pPr>
              <w:pStyle w:val="326"/>
              <w:ind w:firstLine="27"/>
              <w:rPr>
                <w:rFonts w:hint="eastAsia"/>
                <w:color w:val="000000"/>
                <w:sz w:val="21"/>
                <w:szCs w:val="21"/>
              </w:rPr>
            </w:pPr>
          </w:p>
        </w:tc>
        <w:tc>
          <w:tcPr>
            <w:tcW w:w="1196" w:type="pct"/>
            <w:tcBorders>
              <w:top w:val="single" w:color="auto" w:sz="4" w:space="0"/>
              <w:left w:val="nil"/>
              <w:bottom w:val="single" w:color="auto" w:sz="4" w:space="0"/>
              <w:right w:val="single" w:color="auto" w:sz="4" w:space="0"/>
            </w:tcBorders>
            <w:vAlign w:val="center"/>
          </w:tcPr>
          <w:p w14:paraId="6F47A2CE">
            <w:pPr>
              <w:pStyle w:val="326"/>
              <w:ind w:firstLine="27"/>
              <w:rPr>
                <w:rFonts w:hint="eastAsia"/>
                <w:color w:val="000000"/>
                <w:sz w:val="21"/>
                <w:szCs w:val="21"/>
              </w:rPr>
            </w:pPr>
            <w:r>
              <w:rPr>
                <w:rFonts w:ascii="Songti SC" w:hAnsi="Songti SC" w:eastAsia="Songti SC" w:cs="Songti SC"/>
                <w:color w:val="000000"/>
                <w:sz w:val="21"/>
                <w:szCs w:val="21"/>
              </w:rPr>
              <w:t>招标方式（公开招标或邀请招标）</w:t>
            </w:r>
          </w:p>
        </w:tc>
        <w:tc>
          <w:tcPr>
            <w:tcW w:w="1281" w:type="pct"/>
            <w:tcBorders>
              <w:top w:val="single" w:color="auto" w:sz="4" w:space="0"/>
              <w:left w:val="nil"/>
              <w:bottom w:val="single" w:color="auto" w:sz="4" w:space="0"/>
              <w:right w:val="single" w:color="auto" w:sz="4" w:space="0"/>
            </w:tcBorders>
            <w:vAlign w:val="center"/>
          </w:tcPr>
          <w:p w14:paraId="2A3DA3AF">
            <w:pPr>
              <w:pStyle w:val="326"/>
              <w:ind w:firstLine="27"/>
              <w:rPr>
                <w:rFonts w:hint="eastAsia"/>
                <w:color w:val="000000"/>
                <w:sz w:val="21"/>
                <w:szCs w:val="21"/>
              </w:rPr>
            </w:pPr>
            <w:r>
              <w:rPr>
                <w:rFonts w:ascii="Songti SC" w:hAnsi="Songti SC" w:eastAsia="Songti SC" w:cs="Songti SC"/>
                <w:color w:val="000000"/>
                <w:sz w:val="21"/>
                <w:szCs w:val="21"/>
              </w:rPr>
              <w:t>招标组织形式（自行招标或委托招标）</w:t>
            </w:r>
          </w:p>
        </w:tc>
        <w:tc>
          <w:tcPr>
            <w:tcW w:w="685" w:type="pct"/>
            <w:tcBorders>
              <w:top w:val="single" w:color="auto" w:sz="4" w:space="0"/>
              <w:left w:val="nil"/>
              <w:bottom w:val="single" w:color="auto" w:sz="4" w:space="0"/>
              <w:right w:val="single" w:color="auto" w:sz="4" w:space="0"/>
            </w:tcBorders>
            <w:vAlign w:val="center"/>
          </w:tcPr>
          <w:p w14:paraId="19BD4B51">
            <w:pPr>
              <w:pStyle w:val="326"/>
              <w:ind w:firstLine="27"/>
              <w:rPr>
                <w:rFonts w:hint="eastAsia"/>
                <w:color w:val="000000"/>
                <w:sz w:val="21"/>
                <w:szCs w:val="21"/>
              </w:rPr>
            </w:pPr>
            <w:r>
              <w:rPr>
                <w:rFonts w:ascii="Songti SC" w:hAnsi="Songti SC" w:eastAsia="Songti SC" w:cs="Songti SC"/>
                <w:color w:val="000000"/>
                <w:sz w:val="21"/>
                <w:szCs w:val="21"/>
              </w:rPr>
              <w:t>不采用招标形式</w:t>
            </w:r>
          </w:p>
        </w:tc>
        <w:tc>
          <w:tcPr>
            <w:tcW w:w="473" w:type="pct"/>
            <w:tcBorders>
              <w:top w:val="single" w:color="auto" w:sz="4" w:space="0"/>
              <w:left w:val="nil"/>
              <w:bottom w:val="single" w:color="auto" w:sz="4" w:space="0"/>
              <w:right w:val="single" w:color="auto" w:sz="4" w:space="0"/>
            </w:tcBorders>
            <w:vAlign w:val="center"/>
          </w:tcPr>
          <w:p w14:paraId="0DFF14A2">
            <w:pPr>
              <w:pStyle w:val="326"/>
              <w:ind w:firstLine="27"/>
              <w:jc w:val="both"/>
              <w:rPr>
                <w:rFonts w:hint="eastAsia"/>
                <w:color w:val="000000"/>
                <w:sz w:val="21"/>
                <w:szCs w:val="21"/>
              </w:rPr>
            </w:pPr>
            <w:r>
              <w:rPr>
                <w:rFonts w:ascii="Songti SC" w:hAnsi="Songti SC" w:eastAsia="Songti SC" w:cs="Songti SC"/>
                <w:color w:val="000000"/>
                <w:sz w:val="21"/>
                <w:szCs w:val="21"/>
              </w:rPr>
              <w:t>备注</w:t>
            </w:r>
          </w:p>
        </w:tc>
      </w:tr>
      <w:tr w14:paraId="2E14C6AA">
        <w:trPr>
          <w:trHeight w:val="285" w:hRule="atLeast"/>
        </w:trPr>
        <w:tc>
          <w:tcPr>
            <w:tcW w:w="1365" w:type="pct"/>
            <w:tcBorders>
              <w:top w:val="nil"/>
              <w:left w:val="single" w:color="auto" w:sz="4" w:space="0"/>
              <w:bottom w:val="single" w:color="auto" w:sz="4" w:space="0"/>
              <w:right w:val="single" w:color="auto" w:sz="4" w:space="0"/>
            </w:tcBorders>
            <w:noWrap/>
            <w:vAlign w:val="center"/>
          </w:tcPr>
          <w:p w14:paraId="2DF4421B">
            <w:pPr>
              <w:pStyle w:val="182"/>
              <w:ind w:firstLine="27"/>
              <w:jc w:val="left"/>
              <w:rPr>
                <w:rFonts w:hint="eastAsia"/>
                <w:color w:val="000000"/>
                <w:sz w:val="21"/>
                <w:szCs w:val="21"/>
              </w:rPr>
            </w:pPr>
            <w:r>
              <w:rPr>
                <w:rFonts w:ascii="Songti SC" w:hAnsi="Songti SC" w:eastAsia="Songti SC" w:cs="Songti SC"/>
                <w:color w:val="000000"/>
                <w:sz w:val="21"/>
                <w:szCs w:val="21"/>
              </w:rPr>
              <w:t>软件购置</w:t>
            </w:r>
          </w:p>
        </w:tc>
        <w:tc>
          <w:tcPr>
            <w:tcW w:w="1196" w:type="pct"/>
            <w:tcBorders>
              <w:top w:val="nil"/>
              <w:left w:val="nil"/>
              <w:bottom w:val="single" w:color="auto" w:sz="4" w:space="0"/>
              <w:right w:val="single" w:color="auto" w:sz="4" w:space="0"/>
            </w:tcBorders>
            <w:noWrap/>
            <w:vAlign w:val="center"/>
          </w:tcPr>
          <w:p w14:paraId="0E98CDAB">
            <w:pPr>
              <w:pStyle w:val="182"/>
              <w:ind w:firstLine="27"/>
              <w:jc w:val="left"/>
              <w:rPr>
                <w:rFonts w:hint="eastAsia"/>
                <w:color w:val="000000"/>
                <w:sz w:val="21"/>
                <w:szCs w:val="21"/>
              </w:rPr>
            </w:pPr>
          </w:p>
        </w:tc>
        <w:tc>
          <w:tcPr>
            <w:tcW w:w="1281" w:type="pct"/>
            <w:tcBorders>
              <w:top w:val="nil"/>
              <w:left w:val="nil"/>
              <w:bottom w:val="single" w:color="auto" w:sz="4" w:space="0"/>
              <w:right w:val="single" w:color="auto" w:sz="4" w:space="0"/>
            </w:tcBorders>
            <w:noWrap/>
            <w:vAlign w:val="center"/>
          </w:tcPr>
          <w:p w14:paraId="1716D404">
            <w:pPr>
              <w:pStyle w:val="182"/>
              <w:ind w:firstLine="27"/>
              <w:jc w:val="left"/>
              <w:rPr>
                <w:rFonts w:hint="eastAsia"/>
                <w:color w:val="000000"/>
                <w:sz w:val="21"/>
                <w:szCs w:val="21"/>
              </w:rPr>
            </w:pPr>
          </w:p>
        </w:tc>
        <w:tc>
          <w:tcPr>
            <w:tcW w:w="685" w:type="pct"/>
            <w:tcBorders>
              <w:top w:val="nil"/>
              <w:left w:val="nil"/>
              <w:bottom w:val="single" w:color="auto" w:sz="4" w:space="0"/>
              <w:right w:val="single" w:color="auto" w:sz="4" w:space="0"/>
            </w:tcBorders>
            <w:noWrap/>
            <w:vAlign w:val="center"/>
          </w:tcPr>
          <w:p w14:paraId="61D06E73">
            <w:pPr>
              <w:pStyle w:val="182"/>
              <w:ind w:firstLine="27"/>
              <w:jc w:val="left"/>
              <w:rPr>
                <w:rFonts w:hint="eastAsia"/>
                <w:color w:val="000000"/>
                <w:sz w:val="21"/>
                <w:szCs w:val="21"/>
              </w:rPr>
            </w:pPr>
            <w:r>
              <w:rPr>
                <w:rFonts w:hint="eastAsia" w:ascii="Songti SC" w:hAnsi="Songti SC" w:eastAsia="Songti SC" w:cs="Songti SC"/>
                <w:color w:val="000000"/>
                <w:sz w:val="21"/>
                <w:szCs w:val="21"/>
              </w:rPr>
              <w:t>比选</w:t>
            </w:r>
          </w:p>
        </w:tc>
        <w:tc>
          <w:tcPr>
            <w:tcW w:w="473" w:type="pct"/>
            <w:tcBorders>
              <w:top w:val="nil"/>
              <w:left w:val="nil"/>
              <w:bottom w:val="single" w:color="auto" w:sz="4" w:space="0"/>
              <w:right w:val="single" w:color="auto" w:sz="4" w:space="0"/>
            </w:tcBorders>
            <w:noWrap/>
            <w:vAlign w:val="center"/>
          </w:tcPr>
          <w:p w14:paraId="142A192E">
            <w:pPr>
              <w:pStyle w:val="182"/>
              <w:ind w:firstLine="27"/>
              <w:jc w:val="left"/>
              <w:rPr>
                <w:rFonts w:hint="eastAsia"/>
                <w:color w:val="000000"/>
                <w:sz w:val="21"/>
                <w:szCs w:val="21"/>
              </w:rPr>
            </w:pPr>
          </w:p>
        </w:tc>
      </w:tr>
      <w:tr w14:paraId="2D5A76A7">
        <w:trPr>
          <w:trHeight w:val="285" w:hRule="atLeast"/>
        </w:trPr>
        <w:tc>
          <w:tcPr>
            <w:tcW w:w="1365" w:type="pct"/>
            <w:tcBorders>
              <w:top w:val="nil"/>
              <w:left w:val="single" w:color="auto" w:sz="4" w:space="0"/>
              <w:bottom w:val="single" w:color="auto" w:sz="4" w:space="0"/>
              <w:right w:val="single" w:color="auto" w:sz="4" w:space="0"/>
            </w:tcBorders>
            <w:noWrap/>
            <w:vAlign w:val="center"/>
          </w:tcPr>
          <w:p w14:paraId="6E163023">
            <w:pPr>
              <w:pStyle w:val="182"/>
              <w:ind w:firstLine="27"/>
              <w:jc w:val="left"/>
              <w:rPr>
                <w:rFonts w:hint="eastAsia"/>
                <w:color w:val="000000"/>
                <w:sz w:val="21"/>
                <w:szCs w:val="21"/>
              </w:rPr>
            </w:pPr>
            <w:r>
              <w:rPr>
                <w:rFonts w:ascii="Songti SC" w:hAnsi="Songti SC" w:eastAsia="Songti SC" w:cs="Songti SC"/>
                <w:color w:val="000000"/>
                <w:sz w:val="21"/>
                <w:szCs w:val="21"/>
              </w:rPr>
              <w:t>应用系统开发</w:t>
            </w:r>
          </w:p>
        </w:tc>
        <w:tc>
          <w:tcPr>
            <w:tcW w:w="1196" w:type="pct"/>
            <w:tcBorders>
              <w:top w:val="nil"/>
              <w:left w:val="nil"/>
              <w:bottom w:val="single" w:color="auto" w:sz="4" w:space="0"/>
              <w:right w:val="single" w:color="auto" w:sz="4" w:space="0"/>
            </w:tcBorders>
            <w:noWrap/>
            <w:vAlign w:val="center"/>
          </w:tcPr>
          <w:p w14:paraId="64419A63">
            <w:pPr>
              <w:pStyle w:val="182"/>
              <w:ind w:firstLine="27"/>
              <w:jc w:val="left"/>
              <w:rPr>
                <w:rFonts w:hint="eastAsia"/>
                <w:color w:val="000000"/>
                <w:sz w:val="21"/>
                <w:szCs w:val="21"/>
              </w:rPr>
            </w:pPr>
          </w:p>
        </w:tc>
        <w:tc>
          <w:tcPr>
            <w:tcW w:w="1281" w:type="pct"/>
            <w:tcBorders>
              <w:top w:val="nil"/>
              <w:left w:val="nil"/>
              <w:bottom w:val="single" w:color="auto" w:sz="4" w:space="0"/>
              <w:right w:val="single" w:color="auto" w:sz="4" w:space="0"/>
            </w:tcBorders>
            <w:noWrap/>
            <w:vAlign w:val="center"/>
          </w:tcPr>
          <w:p w14:paraId="43CCA28E">
            <w:pPr>
              <w:pStyle w:val="182"/>
              <w:ind w:firstLine="27"/>
              <w:jc w:val="left"/>
              <w:rPr>
                <w:rFonts w:hint="eastAsia"/>
                <w:color w:val="000000"/>
                <w:sz w:val="21"/>
                <w:szCs w:val="21"/>
              </w:rPr>
            </w:pPr>
          </w:p>
        </w:tc>
        <w:tc>
          <w:tcPr>
            <w:tcW w:w="685" w:type="pct"/>
            <w:tcBorders>
              <w:top w:val="nil"/>
              <w:left w:val="nil"/>
              <w:bottom w:val="single" w:color="auto" w:sz="4" w:space="0"/>
              <w:right w:val="single" w:color="auto" w:sz="4" w:space="0"/>
            </w:tcBorders>
            <w:noWrap/>
            <w:vAlign w:val="center"/>
          </w:tcPr>
          <w:p w14:paraId="1C84EC38">
            <w:pPr>
              <w:pStyle w:val="182"/>
              <w:ind w:firstLine="27"/>
              <w:jc w:val="left"/>
              <w:rPr>
                <w:rFonts w:hint="eastAsia"/>
                <w:color w:val="000000"/>
                <w:sz w:val="21"/>
                <w:szCs w:val="21"/>
              </w:rPr>
            </w:pPr>
            <w:r>
              <w:rPr>
                <w:rFonts w:hint="eastAsia" w:ascii="Songti SC" w:hAnsi="Songti SC" w:eastAsia="Songti SC" w:cs="Songti SC"/>
                <w:color w:val="000000"/>
                <w:sz w:val="21"/>
                <w:szCs w:val="21"/>
              </w:rPr>
              <w:t>比选</w:t>
            </w:r>
          </w:p>
        </w:tc>
        <w:tc>
          <w:tcPr>
            <w:tcW w:w="473" w:type="pct"/>
            <w:tcBorders>
              <w:top w:val="nil"/>
              <w:left w:val="nil"/>
              <w:bottom w:val="single" w:color="auto" w:sz="4" w:space="0"/>
              <w:right w:val="single" w:color="auto" w:sz="4" w:space="0"/>
            </w:tcBorders>
            <w:noWrap/>
            <w:vAlign w:val="center"/>
          </w:tcPr>
          <w:p w14:paraId="3266D086">
            <w:pPr>
              <w:pStyle w:val="182"/>
              <w:ind w:firstLine="27"/>
              <w:jc w:val="left"/>
              <w:rPr>
                <w:rFonts w:hint="eastAsia"/>
                <w:color w:val="000000"/>
                <w:sz w:val="21"/>
                <w:szCs w:val="21"/>
              </w:rPr>
            </w:pPr>
          </w:p>
        </w:tc>
      </w:tr>
      <w:tr w14:paraId="0CB42E3D">
        <w:trPr>
          <w:trHeight w:val="285" w:hRule="atLeast"/>
        </w:trPr>
        <w:tc>
          <w:tcPr>
            <w:tcW w:w="1365" w:type="pct"/>
            <w:tcBorders>
              <w:top w:val="single" w:color="auto" w:sz="4" w:space="0"/>
              <w:left w:val="single" w:color="auto" w:sz="4" w:space="0"/>
              <w:bottom w:val="single" w:color="auto" w:sz="4" w:space="0"/>
              <w:right w:val="single" w:color="auto" w:sz="4" w:space="0"/>
            </w:tcBorders>
            <w:noWrap/>
            <w:vAlign w:val="center"/>
          </w:tcPr>
          <w:p w14:paraId="0286B392">
            <w:pPr>
              <w:pStyle w:val="182"/>
              <w:ind w:firstLine="27"/>
              <w:jc w:val="left"/>
              <w:rPr>
                <w:rFonts w:hint="eastAsia"/>
                <w:color w:val="000000"/>
                <w:sz w:val="21"/>
                <w:szCs w:val="21"/>
              </w:rPr>
            </w:pPr>
            <w:r>
              <w:rPr>
                <w:rFonts w:ascii="Songti SC" w:hAnsi="Songti SC" w:eastAsia="Songti SC" w:cs="Songti SC"/>
                <w:color w:val="000000"/>
                <w:sz w:val="21"/>
                <w:szCs w:val="21"/>
              </w:rPr>
              <w:t>信息安全等保测评费</w:t>
            </w:r>
          </w:p>
        </w:tc>
        <w:tc>
          <w:tcPr>
            <w:tcW w:w="1196" w:type="pct"/>
            <w:tcBorders>
              <w:top w:val="single" w:color="auto" w:sz="4" w:space="0"/>
              <w:left w:val="nil"/>
              <w:bottom w:val="single" w:color="auto" w:sz="4" w:space="0"/>
              <w:right w:val="single" w:color="auto" w:sz="4" w:space="0"/>
            </w:tcBorders>
            <w:noWrap/>
            <w:vAlign w:val="center"/>
          </w:tcPr>
          <w:p w14:paraId="04A3A5C9">
            <w:pPr>
              <w:pStyle w:val="182"/>
              <w:ind w:firstLine="27"/>
              <w:jc w:val="left"/>
              <w:rPr>
                <w:rFonts w:hint="eastAsia"/>
                <w:color w:val="000000"/>
                <w:sz w:val="21"/>
                <w:szCs w:val="21"/>
              </w:rPr>
            </w:pPr>
          </w:p>
        </w:tc>
        <w:tc>
          <w:tcPr>
            <w:tcW w:w="1281" w:type="pct"/>
            <w:tcBorders>
              <w:top w:val="single" w:color="auto" w:sz="4" w:space="0"/>
              <w:left w:val="nil"/>
              <w:bottom w:val="single" w:color="auto" w:sz="4" w:space="0"/>
              <w:right w:val="single" w:color="auto" w:sz="4" w:space="0"/>
            </w:tcBorders>
            <w:noWrap/>
            <w:vAlign w:val="center"/>
          </w:tcPr>
          <w:p w14:paraId="151BB6EA">
            <w:pPr>
              <w:pStyle w:val="182"/>
              <w:ind w:firstLine="27"/>
              <w:jc w:val="left"/>
              <w:rPr>
                <w:rFonts w:hint="eastAsia"/>
                <w:color w:val="000000"/>
                <w:sz w:val="21"/>
                <w:szCs w:val="21"/>
              </w:rPr>
            </w:pPr>
          </w:p>
        </w:tc>
        <w:tc>
          <w:tcPr>
            <w:tcW w:w="685" w:type="pct"/>
            <w:tcBorders>
              <w:top w:val="single" w:color="auto" w:sz="4" w:space="0"/>
              <w:left w:val="nil"/>
              <w:bottom w:val="single" w:color="auto" w:sz="4" w:space="0"/>
              <w:right w:val="single" w:color="auto" w:sz="4" w:space="0"/>
            </w:tcBorders>
            <w:noWrap/>
            <w:vAlign w:val="center"/>
          </w:tcPr>
          <w:p w14:paraId="6344DD87">
            <w:pPr>
              <w:pStyle w:val="182"/>
              <w:ind w:firstLine="27"/>
              <w:jc w:val="left"/>
              <w:rPr>
                <w:rFonts w:hint="eastAsia"/>
                <w:color w:val="000000"/>
                <w:sz w:val="21"/>
                <w:szCs w:val="21"/>
              </w:rPr>
            </w:pPr>
            <w:r>
              <w:rPr>
                <w:rFonts w:hint="eastAsia" w:ascii="Songti SC" w:hAnsi="Songti SC" w:eastAsia="Songti SC" w:cs="Songti SC"/>
                <w:color w:val="000000"/>
                <w:sz w:val="21"/>
                <w:szCs w:val="21"/>
              </w:rPr>
              <w:t>比选</w:t>
            </w:r>
          </w:p>
        </w:tc>
        <w:tc>
          <w:tcPr>
            <w:tcW w:w="473" w:type="pct"/>
            <w:tcBorders>
              <w:top w:val="single" w:color="auto" w:sz="4" w:space="0"/>
              <w:left w:val="nil"/>
              <w:bottom w:val="single" w:color="auto" w:sz="4" w:space="0"/>
              <w:right w:val="single" w:color="auto" w:sz="4" w:space="0"/>
            </w:tcBorders>
            <w:noWrap/>
            <w:vAlign w:val="center"/>
          </w:tcPr>
          <w:p w14:paraId="63F36D47">
            <w:pPr>
              <w:pStyle w:val="182"/>
              <w:ind w:firstLine="27"/>
              <w:jc w:val="left"/>
              <w:rPr>
                <w:rFonts w:hint="eastAsia"/>
                <w:color w:val="000000"/>
                <w:sz w:val="21"/>
                <w:szCs w:val="21"/>
              </w:rPr>
            </w:pPr>
          </w:p>
        </w:tc>
      </w:tr>
      <w:tr w14:paraId="0A388AFC">
        <w:trPr>
          <w:trHeight w:val="285" w:hRule="atLeast"/>
        </w:trPr>
        <w:tc>
          <w:tcPr>
            <w:tcW w:w="1365" w:type="pct"/>
            <w:tcBorders>
              <w:top w:val="single" w:color="auto" w:sz="4" w:space="0"/>
              <w:left w:val="single" w:color="auto" w:sz="4" w:space="0"/>
              <w:bottom w:val="single" w:color="auto" w:sz="4" w:space="0"/>
              <w:right w:val="single" w:color="auto" w:sz="4" w:space="0"/>
            </w:tcBorders>
            <w:noWrap/>
            <w:vAlign w:val="center"/>
          </w:tcPr>
          <w:p w14:paraId="775E8DC8">
            <w:pPr>
              <w:pStyle w:val="182"/>
              <w:ind w:firstLine="27"/>
              <w:jc w:val="left"/>
              <w:rPr>
                <w:rFonts w:hint="eastAsia"/>
                <w:color w:val="000000"/>
                <w:sz w:val="21"/>
                <w:szCs w:val="21"/>
              </w:rPr>
            </w:pPr>
            <w:r>
              <w:rPr>
                <w:rFonts w:ascii="Songti SC" w:hAnsi="Songti SC" w:eastAsia="Songti SC" w:cs="Songti SC"/>
                <w:color w:val="000000"/>
                <w:sz w:val="21"/>
                <w:szCs w:val="21"/>
              </w:rPr>
              <w:t>密码应用测评服务费</w:t>
            </w:r>
          </w:p>
        </w:tc>
        <w:tc>
          <w:tcPr>
            <w:tcW w:w="1196" w:type="pct"/>
            <w:tcBorders>
              <w:top w:val="single" w:color="auto" w:sz="4" w:space="0"/>
              <w:left w:val="nil"/>
              <w:bottom w:val="single" w:color="auto" w:sz="4" w:space="0"/>
              <w:right w:val="single" w:color="auto" w:sz="4" w:space="0"/>
            </w:tcBorders>
            <w:noWrap/>
            <w:vAlign w:val="center"/>
          </w:tcPr>
          <w:p w14:paraId="017237A2">
            <w:pPr>
              <w:pStyle w:val="182"/>
              <w:ind w:firstLine="27"/>
              <w:jc w:val="left"/>
              <w:rPr>
                <w:rFonts w:hint="eastAsia"/>
                <w:color w:val="000000"/>
                <w:sz w:val="21"/>
                <w:szCs w:val="21"/>
              </w:rPr>
            </w:pPr>
          </w:p>
        </w:tc>
        <w:tc>
          <w:tcPr>
            <w:tcW w:w="1281" w:type="pct"/>
            <w:tcBorders>
              <w:top w:val="single" w:color="auto" w:sz="4" w:space="0"/>
              <w:left w:val="nil"/>
              <w:bottom w:val="single" w:color="auto" w:sz="4" w:space="0"/>
              <w:right w:val="single" w:color="auto" w:sz="4" w:space="0"/>
            </w:tcBorders>
            <w:noWrap/>
            <w:vAlign w:val="center"/>
          </w:tcPr>
          <w:p w14:paraId="15CCECA3">
            <w:pPr>
              <w:pStyle w:val="182"/>
              <w:ind w:firstLine="27"/>
              <w:jc w:val="left"/>
              <w:rPr>
                <w:rFonts w:hint="eastAsia"/>
                <w:color w:val="000000"/>
                <w:sz w:val="21"/>
                <w:szCs w:val="21"/>
              </w:rPr>
            </w:pPr>
          </w:p>
        </w:tc>
        <w:tc>
          <w:tcPr>
            <w:tcW w:w="685" w:type="pct"/>
            <w:tcBorders>
              <w:top w:val="single" w:color="auto" w:sz="4" w:space="0"/>
              <w:left w:val="nil"/>
              <w:bottom w:val="single" w:color="auto" w:sz="4" w:space="0"/>
              <w:right w:val="single" w:color="auto" w:sz="4" w:space="0"/>
            </w:tcBorders>
            <w:noWrap/>
            <w:vAlign w:val="center"/>
          </w:tcPr>
          <w:p w14:paraId="719EF830">
            <w:pPr>
              <w:spacing w:line="240" w:lineRule="auto"/>
              <w:ind w:firstLine="0" w:firstLineChars="0"/>
              <w:jc w:val="left"/>
              <w:rPr>
                <w:rFonts w:hint="eastAsia"/>
                <w:color w:val="000000"/>
              </w:rPr>
            </w:pPr>
            <w:r>
              <w:rPr>
                <w:rFonts w:hint="eastAsia" w:ascii="Songti SC" w:hAnsi="Songti SC" w:eastAsia="Songti SC" w:cs="Songti SC"/>
                <w:color w:val="000000"/>
                <w:sz w:val="21"/>
                <w:szCs w:val="21"/>
              </w:rPr>
              <w:t>比选</w:t>
            </w:r>
          </w:p>
        </w:tc>
        <w:tc>
          <w:tcPr>
            <w:tcW w:w="473" w:type="pct"/>
            <w:tcBorders>
              <w:top w:val="single" w:color="auto" w:sz="4" w:space="0"/>
              <w:left w:val="nil"/>
              <w:bottom w:val="single" w:color="auto" w:sz="4" w:space="0"/>
              <w:right w:val="single" w:color="auto" w:sz="4" w:space="0"/>
            </w:tcBorders>
            <w:noWrap/>
            <w:vAlign w:val="center"/>
          </w:tcPr>
          <w:p w14:paraId="7AA44002">
            <w:pPr>
              <w:pStyle w:val="182"/>
              <w:ind w:firstLine="27"/>
              <w:jc w:val="left"/>
              <w:rPr>
                <w:rFonts w:hint="eastAsia"/>
                <w:color w:val="000000"/>
                <w:sz w:val="21"/>
                <w:szCs w:val="21"/>
              </w:rPr>
            </w:pPr>
          </w:p>
        </w:tc>
      </w:tr>
    </w:tbl>
    <w:p w14:paraId="36389B92">
      <w:pPr>
        <w:ind w:firstLine="480"/>
        <w:rPr>
          <w:rFonts w:hint="eastAsia"/>
          <w:color w:val="000000"/>
        </w:rPr>
      </w:pPr>
      <w:r>
        <w:rPr>
          <w:rFonts w:hint="eastAsia" w:ascii="Songti SC" w:hAnsi="Songti SC" w:eastAsia="Songti SC" w:cs="Songti SC"/>
          <w:color w:val="000000"/>
        </w:rPr>
        <w:br w:type="page"/>
      </w:r>
    </w:p>
    <w:p w14:paraId="34B50875">
      <w:pPr>
        <w:pStyle w:val="2"/>
        <w:rPr>
          <w:rFonts w:hint="eastAsia"/>
          <w:color w:val="000000"/>
        </w:rPr>
      </w:pPr>
      <w:bookmarkStart w:id="692" w:name="_Toc1699808922"/>
      <w:bookmarkStart w:id="693" w:name="_Toc369970512"/>
      <w:r>
        <w:rPr>
          <w:rFonts w:hint="eastAsia" w:ascii="Songti SC" w:hAnsi="Songti SC" w:eastAsia="Songti SC" w:cs="Songti SC"/>
          <w:color w:val="000000"/>
        </w:rPr>
        <w:t>环保、消防、职业安全和卫生</w:t>
      </w:r>
      <w:bookmarkEnd w:id="617"/>
      <w:bookmarkEnd w:id="618"/>
      <w:bookmarkEnd w:id="677"/>
      <w:bookmarkEnd w:id="678"/>
      <w:bookmarkEnd w:id="679"/>
      <w:bookmarkEnd w:id="692"/>
      <w:bookmarkEnd w:id="693"/>
    </w:p>
    <w:p w14:paraId="201230DF">
      <w:pPr>
        <w:pStyle w:val="3"/>
        <w:rPr>
          <w:rFonts w:hint="eastAsia"/>
          <w:color w:val="000000"/>
        </w:rPr>
      </w:pPr>
      <w:bookmarkStart w:id="694" w:name="_Toc713596013"/>
      <w:bookmarkStart w:id="695" w:name="_Toc1129237119"/>
      <w:bookmarkStart w:id="696" w:name="_Toc497968790"/>
      <w:bookmarkStart w:id="697" w:name="_Toc259782106"/>
      <w:bookmarkStart w:id="698" w:name="_Toc245968958"/>
      <w:bookmarkStart w:id="699" w:name="_Toc259694530"/>
      <w:bookmarkStart w:id="700" w:name="_Toc271804415"/>
      <w:r>
        <w:rPr>
          <w:rFonts w:ascii="Songti SC" w:hAnsi="Songti SC" w:eastAsia="Songti SC" w:cs="Songti SC"/>
          <w:color w:val="000000"/>
        </w:rPr>
        <w:t>环境影响分析</w:t>
      </w:r>
      <w:bookmarkEnd w:id="694"/>
      <w:bookmarkEnd w:id="695"/>
      <w:bookmarkEnd w:id="696"/>
    </w:p>
    <w:p w14:paraId="74E98F9C">
      <w:pPr>
        <w:ind w:firstLine="480"/>
        <w:rPr>
          <w:rFonts w:hint="eastAsia"/>
          <w:color w:val="000000"/>
        </w:rPr>
      </w:pPr>
      <w:r>
        <w:rPr>
          <w:rFonts w:ascii="Songti SC" w:hAnsi="Songti SC" w:eastAsia="Songti SC" w:cs="Songti SC"/>
          <w:color w:val="000000"/>
        </w:rPr>
        <w:t>本项目属于信息化建设工程，属于无污染工程，系统建设及运行过程中不产生有害废气、废水、废渣等物质，设备电磁辐射值在国家规范允许范围，不会对环境造成污染。</w:t>
      </w:r>
    </w:p>
    <w:p w14:paraId="3F374124">
      <w:pPr>
        <w:pStyle w:val="3"/>
        <w:rPr>
          <w:rFonts w:hint="eastAsia"/>
          <w:color w:val="000000"/>
        </w:rPr>
      </w:pPr>
      <w:bookmarkStart w:id="701" w:name="_Toc617681171"/>
      <w:bookmarkStart w:id="702" w:name="_Toc1859505643"/>
      <w:bookmarkStart w:id="703" w:name="_Toc1775270494"/>
      <w:r>
        <w:rPr>
          <w:rFonts w:ascii="Songti SC" w:hAnsi="Songti SC" w:eastAsia="Songti SC" w:cs="Songti SC"/>
          <w:color w:val="000000"/>
        </w:rPr>
        <w:t>环保措施及方案</w:t>
      </w:r>
      <w:bookmarkEnd w:id="701"/>
      <w:bookmarkEnd w:id="702"/>
      <w:bookmarkEnd w:id="703"/>
    </w:p>
    <w:p w14:paraId="45CAEA74">
      <w:pPr>
        <w:ind w:firstLine="480"/>
        <w:rPr>
          <w:rFonts w:hint="eastAsia"/>
          <w:color w:val="000000"/>
        </w:rPr>
      </w:pPr>
      <w:r>
        <w:rPr>
          <w:rFonts w:ascii="Songti SC" w:hAnsi="Songti SC" w:eastAsia="Songti SC" w:cs="Songti SC"/>
          <w:color w:val="000000"/>
        </w:rPr>
        <w:t>本项目影响环境的因素主要有：噪音、电磁辐射、服务器排放出的有害氧体、温度升高。</w:t>
      </w:r>
    </w:p>
    <w:p w14:paraId="14913EF5">
      <w:pPr>
        <w:ind w:firstLine="480"/>
        <w:rPr>
          <w:rFonts w:hint="eastAsia"/>
          <w:color w:val="000000"/>
        </w:rPr>
      </w:pPr>
      <w:r>
        <w:rPr>
          <w:rFonts w:ascii="Songti SC" w:hAnsi="Songti SC" w:eastAsia="Songti SC" w:cs="Songti SC"/>
          <w:color w:val="000000"/>
        </w:rPr>
        <w:t>针对上述影响环境的因素，必须考虑使用符合国家环保要求的设备和技术，保护系统使用人员的身体健康。服务器、存储等硬件设备采用建设单位统筹确定的政务云环境服务。</w:t>
      </w:r>
    </w:p>
    <w:p w14:paraId="2328F62D">
      <w:pPr>
        <w:pStyle w:val="3"/>
        <w:rPr>
          <w:rFonts w:hint="eastAsia"/>
          <w:color w:val="000000"/>
        </w:rPr>
      </w:pPr>
      <w:bookmarkStart w:id="704" w:name="_Toc431491399"/>
      <w:bookmarkStart w:id="705" w:name="_Toc381827110"/>
      <w:bookmarkStart w:id="706" w:name="_Toc1980884887"/>
      <w:r>
        <w:rPr>
          <w:rFonts w:ascii="Songti SC" w:hAnsi="Songti SC" w:eastAsia="Songti SC" w:cs="Songti SC"/>
          <w:color w:val="000000"/>
        </w:rPr>
        <w:t>消防措施</w:t>
      </w:r>
      <w:bookmarkEnd w:id="704"/>
      <w:bookmarkEnd w:id="705"/>
      <w:bookmarkEnd w:id="706"/>
    </w:p>
    <w:p w14:paraId="7578E686">
      <w:pPr>
        <w:ind w:firstLine="480"/>
        <w:rPr>
          <w:rFonts w:hint="eastAsia"/>
          <w:color w:val="000000"/>
        </w:rPr>
      </w:pPr>
      <w:r>
        <w:rPr>
          <w:rFonts w:ascii="Songti SC" w:hAnsi="Songti SC" w:eastAsia="Songti SC" w:cs="Songti SC"/>
          <w:color w:val="000000"/>
        </w:rPr>
        <w:t>本项目建设在设备选购将严格执行国家有关消防的规范和规定：选购符合国家规定标准或使用许可的设备。</w:t>
      </w:r>
    </w:p>
    <w:p w14:paraId="3A309C24">
      <w:pPr>
        <w:pStyle w:val="3"/>
        <w:rPr>
          <w:rFonts w:hint="eastAsia"/>
          <w:color w:val="000000"/>
        </w:rPr>
      </w:pPr>
      <w:bookmarkStart w:id="707" w:name="_Toc293316368"/>
      <w:bookmarkStart w:id="708" w:name="_Toc687100534"/>
      <w:bookmarkStart w:id="709" w:name="_Toc23667074"/>
      <w:r>
        <w:rPr>
          <w:rFonts w:ascii="Songti SC" w:hAnsi="Songti SC" w:eastAsia="Songti SC" w:cs="Songti SC"/>
          <w:color w:val="000000"/>
        </w:rPr>
        <w:t>职业安全和卫生措施</w:t>
      </w:r>
      <w:bookmarkEnd w:id="707"/>
      <w:bookmarkEnd w:id="708"/>
      <w:bookmarkEnd w:id="709"/>
    </w:p>
    <w:p w14:paraId="75E2D57C">
      <w:pPr>
        <w:ind w:firstLine="480"/>
        <w:rPr>
          <w:rFonts w:hint="eastAsia"/>
          <w:color w:val="000000"/>
        </w:rPr>
      </w:pPr>
      <w:r>
        <w:rPr>
          <w:rFonts w:ascii="Songti SC" w:hAnsi="Songti SC" w:eastAsia="Songti SC" w:cs="Songti SC"/>
          <w:color w:val="000000"/>
        </w:rPr>
        <w:t>为了加强安全生产监督管理，防止和减少生产安全事故，保障人民生命和财产安全，促进经济发展，国家相继出台一系列相关法规，劳动安全卫生设计要以相关法规为依据，做好劳动安全、卫生的设计和审查。</w:t>
      </w:r>
    </w:p>
    <w:p w14:paraId="1A24F008">
      <w:pPr>
        <w:pStyle w:val="4"/>
        <w:rPr>
          <w:rFonts w:hint="eastAsia"/>
          <w:color w:val="000000"/>
          <w:lang w:eastAsia="zh-CN"/>
        </w:rPr>
      </w:pPr>
      <w:bookmarkStart w:id="710" w:name="_Toc1293227111"/>
      <w:bookmarkStart w:id="711" w:name="_Toc488038023"/>
      <w:bookmarkStart w:id="712" w:name="_Toc1079105019"/>
      <w:r>
        <w:rPr>
          <w:rFonts w:ascii="Songti SC" w:hAnsi="Songti SC" w:eastAsia="Songti SC" w:cs="Songti SC"/>
          <w:color w:val="000000"/>
          <w:lang w:eastAsia="zh-CN"/>
        </w:rPr>
        <w:t>劳动安全、卫生的设计依据和执行的相关标准</w:t>
      </w:r>
      <w:bookmarkEnd w:id="710"/>
      <w:bookmarkEnd w:id="711"/>
      <w:bookmarkEnd w:id="712"/>
    </w:p>
    <w:p w14:paraId="161931A9">
      <w:pPr>
        <w:ind w:firstLine="480"/>
        <w:rPr>
          <w:rFonts w:hint="eastAsia"/>
          <w:color w:val="000000"/>
        </w:rPr>
      </w:pPr>
      <w:r>
        <w:rPr>
          <w:rFonts w:ascii="Songti SC" w:hAnsi="Songti SC" w:eastAsia="Songti SC" w:cs="Songti SC"/>
          <w:color w:val="000000"/>
        </w:rPr>
        <w:t>1、《中华人民共和国安全生产法》；</w:t>
      </w:r>
    </w:p>
    <w:p w14:paraId="5F92D032">
      <w:pPr>
        <w:ind w:firstLine="480"/>
        <w:rPr>
          <w:rFonts w:hint="eastAsia"/>
          <w:color w:val="000000"/>
        </w:rPr>
      </w:pPr>
      <w:r>
        <w:rPr>
          <w:rFonts w:ascii="Songti SC" w:hAnsi="Songti SC" w:eastAsia="Songti SC" w:cs="Songti SC"/>
          <w:color w:val="000000"/>
        </w:rPr>
        <w:t>2、劳动部《建设项目（工程）劳动安全监察规定》；</w:t>
      </w:r>
    </w:p>
    <w:p w14:paraId="1E4A0A06">
      <w:pPr>
        <w:ind w:firstLine="480"/>
        <w:rPr>
          <w:rFonts w:hint="eastAsia"/>
          <w:color w:val="000000"/>
        </w:rPr>
      </w:pPr>
      <w:r>
        <w:rPr>
          <w:rFonts w:ascii="Songti SC" w:hAnsi="Songti SC" w:eastAsia="Songti SC" w:cs="Songti SC"/>
          <w:color w:val="000000"/>
        </w:rPr>
        <w:t>3、国家经贸委《职业安全健康管理体系审核规范》；</w:t>
      </w:r>
    </w:p>
    <w:p w14:paraId="196F4553">
      <w:pPr>
        <w:ind w:firstLine="480"/>
        <w:rPr>
          <w:rFonts w:hint="eastAsia"/>
          <w:color w:val="000000"/>
        </w:rPr>
      </w:pPr>
      <w:r>
        <w:rPr>
          <w:rFonts w:ascii="Songti SC" w:hAnsi="Songti SC" w:eastAsia="Songti SC" w:cs="Songti SC"/>
          <w:color w:val="000000"/>
        </w:rPr>
        <w:t>4、道路交通安全等专项法律法规。</w:t>
      </w:r>
    </w:p>
    <w:p w14:paraId="5CC33D05">
      <w:pPr>
        <w:pStyle w:val="4"/>
        <w:rPr>
          <w:rFonts w:hint="eastAsia"/>
          <w:color w:val="000000"/>
        </w:rPr>
      </w:pPr>
      <w:bookmarkStart w:id="713" w:name="_Toc1215004668"/>
      <w:bookmarkStart w:id="714" w:name="_Toc1018655418"/>
      <w:bookmarkStart w:id="715" w:name="_Toc586063290"/>
      <w:r>
        <w:rPr>
          <w:rFonts w:ascii="Songti SC" w:hAnsi="Songti SC" w:eastAsia="Songti SC" w:cs="Songti SC"/>
          <w:color w:val="000000"/>
        </w:rPr>
        <w:t>劳动安全、卫生</w:t>
      </w:r>
      <w:bookmarkEnd w:id="713"/>
      <w:bookmarkEnd w:id="714"/>
      <w:bookmarkEnd w:id="715"/>
    </w:p>
    <w:p w14:paraId="4908C7AD">
      <w:pPr>
        <w:ind w:firstLine="480"/>
        <w:rPr>
          <w:rFonts w:hint="eastAsia"/>
          <w:color w:val="000000"/>
        </w:rPr>
      </w:pPr>
      <w:r>
        <w:rPr>
          <w:rFonts w:ascii="Songti SC" w:hAnsi="Songti SC" w:eastAsia="Songti SC" w:cs="Songti SC"/>
          <w:color w:val="000000"/>
        </w:rPr>
        <w:t>施工前，制定严格的施工规范和安全技术操作规程，落实现场指挥调度人员，对所有施工人员进行安全技术交底，布置施工现场安全防护设施，配备施工人员必须的安全保护用品，一切准备就绪方可开始施工。</w:t>
      </w:r>
    </w:p>
    <w:p w14:paraId="70E11009">
      <w:pPr>
        <w:ind w:firstLine="480"/>
        <w:rPr>
          <w:rFonts w:hint="eastAsia"/>
          <w:color w:val="000000"/>
        </w:rPr>
      </w:pPr>
      <w:r>
        <w:rPr>
          <w:rFonts w:ascii="Songti SC" w:hAnsi="Songti SC" w:eastAsia="Songti SC" w:cs="Songti SC"/>
          <w:color w:val="000000"/>
        </w:rPr>
        <w:t>安全用电方面，所有正常不带电的电气设备金属外壳均采用接地或接零保护；照明配电箱采用带电保护的自动开关；设计中采用的主要防护措施保护，严防漏电事故发生。设雷电接地系统（接地电阻R&lt;1Ω），电气设备各外露可导电部分与保护零线做电气连接，前端设备设施均按照国家规定和行业规范与接地系统做可靠连接，防感应、防静电。</w:t>
      </w:r>
    </w:p>
    <w:p w14:paraId="05312175">
      <w:pPr>
        <w:ind w:firstLine="480"/>
        <w:rPr>
          <w:rFonts w:hint="eastAsia"/>
          <w:color w:val="000000"/>
        </w:rPr>
      </w:pPr>
      <w:r>
        <w:rPr>
          <w:rFonts w:ascii="Songti SC" w:hAnsi="Songti SC" w:eastAsia="Songti SC" w:cs="Songti SC"/>
          <w:color w:val="000000"/>
        </w:rPr>
        <w:t>施工过程中对产生振动、噪音的设备设置基础减振消声设施，减轻对周围环境的影响。</w:t>
      </w:r>
    </w:p>
    <w:p w14:paraId="48DD4677">
      <w:pPr>
        <w:ind w:firstLine="480"/>
        <w:rPr>
          <w:rFonts w:hint="eastAsia"/>
          <w:color w:val="000000"/>
        </w:rPr>
      </w:pPr>
      <w:r>
        <w:rPr>
          <w:rFonts w:ascii="Songti SC" w:hAnsi="Songti SC" w:eastAsia="Songti SC" w:cs="Songti SC"/>
          <w:color w:val="000000"/>
        </w:rPr>
        <w:t>工业卫生方面，应保持施工现场洁净、整齐，走廊、厕所等公共场所应有专人清扫制度。洁净生产区设有空调设施，对问温、湿度进行调节，以保证产品质量。制定数据中心机房、设备等清洁及保养规程。凡进入数据中心的工作人员必须更换相应的工作服及工作鞋，操作人员不得穿离规定的区域。严禁在数据中心吸烟，带入生活用品、食物及个人杂物等。</w:t>
      </w:r>
    </w:p>
    <w:p w14:paraId="6BE52F93">
      <w:pPr>
        <w:ind w:firstLine="480"/>
        <w:rPr>
          <w:rFonts w:hint="eastAsia"/>
          <w:color w:val="000000"/>
        </w:rPr>
      </w:pPr>
      <w:r>
        <w:rPr>
          <w:rFonts w:ascii="Songti SC" w:hAnsi="Songti SC" w:eastAsia="Songti SC" w:cs="Songti SC"/>
          <w:color w:val="000000"/>
        </w:rPr>
        <w:t>劳动保护方面，本着积极改善工人劳动条件、减少职业危险、保证员工在工作过程中人身安全和身体健康等原则，采取措施如下：</w:t>
      </w:r>
    </w:p>
    <w:p w14:paraId="525F0D44">
      <w:pPr>
        <w:ind w:firstLine="480"/>
        <w:rPr>
          <w:rFonts w:hint="eastAsia"/>
          <w:color w:val="000000"/>
        </w:rPr>
      </w:pPr>
      <w:r>
        <w:rPr>
          <w:rFonts w:ascii="Songti SC" w:hAnsi="Songti SC" w:eastAsia="Songti SC" w:cs="Songti SC"/>
          <w:color w:val="000000"/>
        </w:rPr>
        <w:t>1、定期为个别工作员工采取轮换岗位；</w:t>
      </w:r>
    </w:p>
    <w:p w14:paraId="238CD514">
      <w:pPr>
        <w:ind w:firstLine="480"/>
        <w:rPr>
          <w:rFonts w:hint="eastAsia"/>
          <w:color w:val="000000"/>
        </w:rPr>
      </w:pPr>
      <w:r>
        <w:rPr>
          <w:rFonts w:ascii="Songti SC" w:hAnsi="Songti SC" w:eastAsia="Songti SC" w:cs="Songti SC"/>
          <w:color w:val="000000"/>
        </w:rPr>
        <w:t>2、成立专门职业安全健康管理体系，健全企业自我约束机制，标本兼治，综合治理，把安全工作做好；</w:t>
      </w:r>
    </w:p>
    <w:p w14:paraId="6CD71EE7">
      <w:pPr>
        <w:ind w:firstLine="480"/>
        <w:rPr>
          <w:rFonts w:hint="eastAsia"/>
          <w:color w:val="000000"/>
        </w:rPr>
        <w:sectPr>
          <w:pgSz w:w="11906" w:h="16838"/>
          <w:pgMar w:top="1440" w:right="1800" w:bottom="1440" w:left="1800" w:header="851" w:footer="992" w:gutter="0"/>
          <w:cols w:space="425" w:num="1"/>
          <w:docGrid w:type="lines" w:linePitch="312" w:charSpace="0"/>
        </w:sectPr>
      </w:pPr>
      <w:r>
        <w:rPr>
          <w:rFonts w:ascii="Songti SC" w:hAnsi="Songti SC" w:eastAsia="Songti SC" w:cs="Songti SC"/>
          <w:color w:val="000000"/>
        </w:rPr>
        <w:t>3、对危害部位和危险作业环节做好保护措施；采用先进的工艺技术和设备以及必要的安全设施，为安全生产提供必要保证。</w:t>
      </w:r>
    </w:p>
    <w:bookmarkEnd w:id="697"/>
    <w:bookmarkEnd w:id="698"/>
    <w:bookmarkEnd w:id="699"/>
    <w:bookmarkEnd w:id="700"/>
    <w:p w14:paraId="13C97E6E">
      <w:pPr>
        <w:pStyle w:val="2"/>
        <w:rPr>
          <w:rFonts w:hint="eastAsia"/>
          <w:color w:val="000000"/>
        </w:rPr>
      </w:pPr>
      <w:bookmarkStart w:id="716" w:name="_Toc801976442"/>
      <w:bookmarkStart w:id="717" w:name="_Toc259694535"/>
      <w:bookmarkStart w:id="718" w:name="_Toc271804420"/>
      <w:bookmarkStart w:id="719" w:name="_Toc11817"/>
      <w:bookmarkStart w:id="720" w:name="_Toc161455753"/>
      <w:bookmarkStart w:id="721" w:name="_Toc66881490"/>
      <w:bookmarkStart w:id="722" w:name="_Toc259782111"/>
      <w:bookmarkStart w:id="723" w:name="_Toc245968963"/>
      <w:bookmarkStart w:id="724" w:name="_Toc1605709888"/>
      <w:r>
        <w:rPr>
          <w:rFonts w:hint="eastAsia" w:ascii="Songti SC" w:hAnsi="Songti SC" w:eastAsia="Songti SC" w:cs="Songti SC"/>
          <w:color w:val="000000"/>
        </w:rPr>
        <w:t>项目组织机构和人员培训</w:t>
      </w:r>
      <w:bookmarkEnd w:id="716"/>
      <w:bookmarkEnd w:id="717"/>
      <w:bookmarkEnd w:id="718"/>
      <w:bookmarkEnd w:id="719"/>
      <w:bookmarkEnd w:id="720"/>
      <w:bookmarkEnd w:id="721"/>
      <w:bookmarkEnd w:id="722"/>
      <w:bookmarkEnd w:id="723"/>
      <w:bookmarkEnd w:id="724"/>
    </w:p>
    <w:p w14:paraId="3403F4D7">
      <w:pPr>
        <w:pStyle w:val="3"/>
        <w:rPr>
          <w:rFonts w:hint="eastAsia"/>
          <w:color w:val="000000"/>
        </w:rPr>
      </w:pPr>
      <w:bookmarkStart w:id="725" w:name="_Toc160095985"/>
      <w:bookmarkEnd w:id="725"/>
      <w:bookmarkStart w:id="726" w:name="_Toc1210692122"/>
      <w:bookmarkStart w:id="727" w:name="_Toc330472788"/>
      <w:bookmarkStart w:id="728" w:name="_Toc24597"/>
      <w:bookmarkStart w:id="729" w:name="_Toc1886579414"/>
      <w:bookmarkStart w:id="730" w:name="_Toc1314994510"/>
      <w:bookmarkStart w:id="731" w:name="_Toc66881491"/>
      <w:r>
        <w:rPr>
          <w:rFonts w:hint="eastAsia" w:ascii="Songti SC" w:hAnsi="Songti SC" w:eastAsia="Songti SC" w:cs="Songti SC"/>
          <w:color w:val="000000"/>
        </w:rPr>
        <w:t>项目组织机构</w:t>
      </w:r>
      <w:bookmarkEnd w:id="726"/>
      <w:bookmarkEnd w:id="727"/>
      <w:bookmarkEnd w:id="728"/>
      <w:bookmarkEnd w:id="729"/>
      <w:bookmarkEnd w:id="730"/>
      <w:bookmarkEnd w:id="731"/>
    </w:p>
    <w:p w14:paraId="16D49C66">
      <w:pPr>
        <w:pStyle w:val="4"/>
        <w:rPr>
          <w:rFonts w:hint="eastAsia"/>
          <w:color w:val="000000"/>
        </w:rPr>
      </w:pPr>
      <w:bookmarkStart w:id="732" w:name="_Toc144163143"/>
      <w:bookmarkStart w:id="733" w:name="_Toc1014"/>
      <w:bookmarkStart w:id="734" w:name="_Toc1358518293"/>
      <w:bookmarkStart w:id="735" w:name="_Toc694939129"/>
      <w:r>
        <w:rPr>
          <w:rFonts w:hint="eastAsia" w:ascii="Songti SC" w:hAnsi="Songti SC" w:eastAsia="Songti SC" w:cs="Songti SC"/>
          <w:color w:val="000000"/>
        </w:rPr>
        <w:t>项目建设领导小组</w:t>
      </w:r>
      <w:bookmarkEnd w:id="732"/>
      <w:bookmarkEnd w:id="733"/>
      <w:bookmarkEnd w:id="734"/>
      <w:bookmarkEnd w:id="735"/>
    </w:p>
    <w:p w14:paraId="7580A2AF">
      <w:pPr>
        <w:adjustRightInd w:val="0"/>
        <w:snapToGrid w:val="0"/>
        <w:ind w:firstLine="480"/>
        <w:rPr>
          <w:rFonts w:hint="eastAsia"/>
          <w:color w:val="000000"/>
        </w:rPr>
      </w:pPr>
      <w:r>
        <w:rPr>
          <w:rFonts w:ascii="Songti SC" w:hAnsi="Songti SC" w:eastAsia="Songti SC" w:cs="Songti SC"/>
          <w:color w:val="000000"/>
        </w:rPr>
        <w:t>本中心拟建立项目建设统筹机制，由相关负责人牵头，明确业务、技术、财务及运行管理职责，负责项目重大事项协调和决策。具体成员及分工由本中心按职责确定。</w:t>
      </w:r>
    </w:p>
    <w:p w14:paraId="62EE052A">
      <w:pPr>
        <w:adjustRightInd w:val="0"/>
        <w:snapToGrid w:val="0"/>
        <w:ind w:firstLine="480"/>
        <w:rPr>
          <w:rFonts w:hint="eastAsia"/>
          <w:color w:val="000000"/>
        </w:rPr>
      </w:pPr>
      <w:r>
        <w:rPr>
          <w:rFonts w:ascii="Songti SC" w:hAnsi="Songti SC" w:eastAsia="Songti SC" w:cs="Songti SC"/>
          <w:color w:val="000000"/>
        </w:rPr>
        <w:t>项目建设领导小组负责建设目标、范围、实施安排和重大变更审议，协调相关部门及资源管理单位。本中心指定项目管理人员承担日常组织、进度监督、需求确认和验收准备；承建单位按合同设立实施团队，向本中心报告进展并提交成果，不代替建设单位行使项目管理和验收职责。</w:t>
      </w:r>
    </w:p>
    <w:p w14:paraId="6049042F">
      <w:pPr>
        <w:adjustRightInd w:val="0"/>
        <w:snapToGrid w:val="0"/>
        <w:ind w:firstLine="480"/>
        <w:rPr>
          <w:rFonts w:hint="eastAsia"/>
          <w:color w:val="000000"/>
        </w:rPr>
      </w:pPr>
      <w:r>
        <w:rPr>
          <w:rFonts w:ascii="Songti SC" w:hAnsi="Songti SC" w:eastAsia="Songti SC" w:cs="Songti SC"/>
          <w:color w:val="000000"/>
        </w:rPr>
        <w:t>设立专家委员会，邀请相关专家为本项目的设计与实施提供咨询和建议，协助审核各阶段的计划、实施方案，参与工程设计方案的评审、工程验收。</w:t>
      </w:r>
    </w:p>
    <w:p w14:paraId="6C325670">
      <w:pPr>
        <w:adjustRightInd w:val="0"/>
        <w:snapToGrid w:val="0"/>
        <w:ind w:firstLine="480"/>
        <w:rPr>
          <w:rFonts w:hint="eastAsia"/>
          <w:color w:val="000000"/>
        </w:rPr>
      </w:pPr>
      <w:r>
        <w:rPr>
          <w:rFonts w:ascii="Songti SC" w:hAnsi="Songti SC" w:eastAsia="Songti SC" w:cs="Songti SC"/>
          <w:color w:val="000000"/>
        </w:rPr>
        <w:t>项目的组织机构设置如下图所示。</w:t>
      </w:r>
    </w:p>
    <w:p w14:paraId="622AFEF2">
      <w:pPr>
        <w:pStyle w:val="115"/>
        <w:rPr>
          <w:rFonts w:hint="eastAsia"/>
          <w:color w:val="000000"/>
        </w:rPr>
      </w:pPr>
      <w:r>
        <w:rPr>
          <w:rFonts w:ascii="Songti SC" w:hAnsi="Songti SC" w:eastAsia="Songti SC" w:cs="Songti SC"/>
          <w:color w:val="000000"/>
        </w:rPr>
        <w:drawing>
          <wp:inline distT="0" distB="0" distL="0" distR="0">
            <wp:extent cx="3985260" cy="2872740"/>
            <wp:effectExtent l="0" t="0" r="0" b="3810"/>
            <wp:docPr id="132589017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5890175" name="图片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a:xfrm>
                      <a:off x="0" y="0"/>
                      <a:ext cx="3985260" cy="2872740"/>
                    </a:xfrm>
                    <a:prstGeom prst="rect">
                      <a:avLst/>
                    </a:prstGeom>
                    <a:noFill/>
                    <a:ln>
                      <a:noFill/>
                    </a:ln>
                  </pic:spPr>
                </pic:pic>
              </a:graphicData>
            </a:graphic>
          </wp:inline>
        </w:drawing>
      </w:r>
    </w:p>
    <w:p w14:paraId="26837849">
      <w:pPr>
        <w:pStyle w:val="14"/>
        <w:rPr>
          <w:rFonts w:hint="eastAsia" w:cs="宋体"/>
          <w:color w:val="000000"/>
        </w:rPr>
      </w:pPr>
      <w:r>
        <w:rPr>
          <w:rFonts w:hint="eastAsia" w:ascii="Songti SC" w:hAnsi="Songti SC" w:eastAsia="Songti SC" w:cs="Songti SC"/>
          <w:color w:val="000000"/>
        </w:rPr>
        <w:t>图</w:t>
      </w:r>
      <w:r>
        <w:rPr>
          <w:rFonts w:ascii="Songti SC" w:hAnsi="Songti SC" w:eastAsia="Songti SC" w:cs="Songti SC"/>
          <w:color w:val="000000"/>
        </w:rPr>
        <w:fldChar w:fldCharType="begin"/>
      </w:r>
      <w:r>
        <w:rPr>
          <w:rFonts w:ascii="Songti SC" w:hAnsi="Songti SC" w:eastAsia="Songti SC" w:cs="Songti SC"/>
          <w:color w:val="000000"/>
        </w:rPr>
        <w:instrText xml:space="preserve"> </w:instrText>
      </w:r>
      <w:r>
        <w:rPr>
          <w:rFonts w:hint="eastAsia" w:ascii="Songti SC" w:hAnsi="Songti SC" w:eastAsia="Songti SC" w:cs="Songti SC"/>
          <w:color w:val="000000"/>
        </w:rPr>
        <w:instrText xml:space="preserve">STYLEREF 1 \s</w:instrText>
      </w:r>
      <w:r>
        <w:rPr>
          <w:rFonts w:ascii="Songti SC" w:hAnsi="Songti SC" w:eastAsia="Songti SC" w:cs="Songti SC"/>
          <w:color w:val="000000"/>
        </w:rPr>
        <w:instrText xml:space="preserve"> </w:instrText>
      </w:r>
      <w:r>
        <w:rPr>
          <w:rFonts w:ascii="Songti SC" w:hAnsi="Songti SC" w:eastAsia="Songti SC" w:cs="Songti SC"/>
          <w:color w:val="000000"/>
        </w:rPr>
        <w:fldChar w:fldCharType="separate"/>
      </w:r>
      <w:r>
        <w:rPr>
          <w:rFonts w:hint="eastAsia" w:ascii="Songti SC" w:hAnsi="Songti SC" w:eastAsia="Songti SC" w:cs="Songti SC"/>
          <w:color w:val="000000"/>
        </w:rPr>
        <w:t>9</w:t>
      </w:r>
      <w:r>
        <w:rPr>
          <w:rFonts w:ascii="Songti SC" w:hAnsi="Songti SC" w:eastAsia="Songti SC" w:cs="Songti SC"/>
          <w:color w:val="000000"/>
        </w:rPr>
        <w:fldChar w:fldCharType="end"/>
      </w:r>
      <w:r>
        <w:rPr>
          <w:rFonts w:ascii="Songti SC" w:hAnsi="Songti SC" w:eastAsia="Songti SC" w:cs="Songti SC"/>
          <w:color w:val="000000"/>
        </w:rPr>
        <w:t>.</w:t>
      </w:r>
      <w:r>
        <w:rPr>
          <w:rFonts w:ascii="Songti SC" w:hAnsi="Songti SC" w:eastAsia="Songti SC" w:cs="Songti SC"/>
          <w:color w:val="000000"/>
        </w:rPr>
        <w:fldChar w:fldCharType="begin"/>
      </w:r>
      <w:r>
        <w:rPr>
          <w:rFonts w:ascii="Songti SC" w:hAnsi="Songti SC" w:eastAsia="Songti SC" w:cs="Songti SC"/>
          <w:color w:val="000000"/>
        </w:rPr>
        <w:instrText xml:space="preserve"> </w:instrText>
      </w:r>
      <w:r>
        <w:rPr>
          <w:rFonts w:hint="eastAsia" w:ascii="Songti SC" w:hAnsi="Songti SC" w:eastAsia="Songti SC" w:cs="Songti SC"/>
          <w:color w:val="000000"/>
        </w:rPr>
        <w:instrText xml:space="preserve">SEQ 图 \* ARABIC \s 1</w:instrText>
      </w:r>
      <w:r>
        <w:rPr>
          <w:rFonts w:ascii="Songti SC" w:hAnsi="Songti SC" w:eastAsia="Songti SC" w:cs="Songti SC"/>
          <w:color w:val="000000"/>
        </w:rPr>
        <w:instrText xml:space="preserve"> </w:instrText>
      </w:r>
      <w:r>
        <w:rPr>
          <w:rFonts w:ascii="Songti SC" w:hAnsi="Songti SC" w:eastAsia="Songti SC" w:cs="Songti SC"/>
          <w:color w:val="000000"/>
        </w:rPr>
        <w:fldChar w:fldCharType="separate"/>
      </w:r>
      <w:r>
        <w:rPr>
          <w:rFonts w:hint="eastAsia" w:ascii="Songti SC" w:hAnsi="Songti SC" w:eastAsia="Songti SC" w:cs="Songti SC"/>
          <w:color w:val="000000"/>
        </w:rPr>
        <w:t>1</w:t>
      </w:r>
      <w:r>
        <w:rPr>
          <w:rFonts w:ascii="Songti SC" w:hAnsi="Songti SC" w:eastAsia="Songti SC" w:cs="Songti SC"/>
          <w:color w:val="000000"/>
        </w:rPr>
        <w:fldChar w:fldCharType="end"/>
      </w:r>
      <w:r>
        <w:rPr>
          <w:rFonts w:ascii="Songti SC" w:hAnsi="Songti SC" w:eastAsia="Songti SC" w:cs="Songti SC"/>
          <w:color w:val="000000"/>
        </w:rPr>
        <w:t>项目组织机构</w:t>
      </w:r>
    </w:p>
    <w:p w14:paraId="1CAA515A">
      <w:pPr>
        <w:ind w:firstLine="480"/>
        <w:rPr>
          <w:rFonts w:hint="eastAsia"/>
          <w:color w:val="000000"/>
        </w:rPr>
      </w:pPr>
      <w:r>
        <w:rPr>
          <w:rFonts w:hint="eastAsia" w:ascii="Songti SC" w:hAnsi="Songti SC" w:eastAsia="Songti SC" w:cs="Songti SC"/>
          <w:color w:val="000000"/>
        </w:rPr>
        <w:t>1.专家组</w:t>
      </w:r>
    </w:p>
    <w:p w14:paraId="4CFFB273">
      <w:pPr>
        <w:ind w:firstLine="480"/>
        <w:rPr>
          <w:rFonts w:hint="eastAsia"/>
          <w:color w:val="000000"/>
        </w:rPr>
      </w:pPr>
      <w:r>
        <w:rPr>
          <w:rFonts w:hint="eastAsia" w:ascii="Songti SC" w:hAnsi="Songti SC" w:eastAsia="Songti SC" w:cs="Songti SC"/>
          <w:color w:val="000000"/>
        </w:rPr>
        <w:t>由本中心根据需要邀请相关专家，对技术路线、方案及重要变更提供咨询意见，参与阶段成果审查和验收技术评价；专家意见作为建设单位决策依据，项目管理责任仍由建设单位承担。</w:t>
      </w:r>
    </w:p>
    <w:p w14:paraId="086DCDEE">
      <w:pPr>
        <w:ind w:firstLine="480"/>
        <w:rPr>
          <w:rFonts w:hint="eastAsia"/>
          <w:color w:val="000000"/>
        </w:rPr>
      </w:pPr>
      <w:r>
        <w:rPr>
          <w:rFonts w:hint="eastAsia" w:ascii="Songti SC" w:hAnsi="Songti SC" w:eastAsia="Songti SC" w:cs="Songti SC"/>
          <w:color w:val="000000"/>
        </w:rPr>
        <w:t>2.项目管理组</w:t>
      </w:r>
    </w:p>
    <w:p w14:paraId="7781E95E">
      <w:pPr>
        <w:ind w:firstLine="480"/>
        <w:rPr>
          <w:rFonts w:hint="eastAsia"/>
          <w:color w:val="000000"/>
        </w:rPr>
      </w:pPr>
      <w:r>
        <w:rPr>
          <w:rFonts w:hint="eastAsia" w:ascii="Songti SC" w:hAnsi="Songti SC" w:eastAsia="Songti SC" w:cs="Songti SC"/>
          <w:color w:val="000000"/>
        </w:rPr>
        <w:t>由本中心牵头负责需求确认、各方协调、进度监督及成果审查，组织业务人员核对需求与实际工作的一致性，检查承建单位提交的实施计划、测试和交付材料，并按确认的范围和标准组织验收。</w:t>
      </w:r>
    </w:p>
    <w:p w14:paraId="4DE2A70B">
      <w:pPr>
        <w:ind w:firstLine="480"/>
        <w:rPr>
          <w:rFonts w:hint="eastAsia"/>
          <w:color w:val="000000"/>
        </w:rPr>
      </w:pPr>
      <w:r>
        <w:rPr>
          <w:rFonts w:hint="eastAsia" w:ascii="Songti SC" w:hAnsi="Songti SC" w:eastAsia="Songti SC" w:cs="Songti SC"/>
          <w:color w:val="000000"/>
        </w:rPr>
        <w:t>3.标准规范组</w:t>
      </w:r>
    </w:p>
    <w:p w14:paraId="0B2F406B">
      <w:pPr>
        <w:ind w:firstLine="480"/>
        <w:rPr>
          <w:rFonts w:hint="eastAsia"/>
          <w:color w:val="000000"/>
        </w:rPr>
      </w:pPr>
      <w:r>
        <w:rPr>
          <w:rFonts w:hint="eastAsia" w:ascii="Songti SC" w:hAnsi="Songti SC" w:eastAsia="Songti SC" w:cs="Songti SC"/>
          <w:color w:val="000000"/>
        </w:rPr>
        <w:t>由本中心组织梳理本项目适用的业务规范、技术要求和资料标准，督促承建单位在实施、测试及交付中落实，保留检查结果与问题处理记录。</w:t>
      </w:r>
    </w:p>
    <w:p w14:paraId="2EC7002B">
      <w:pPr>
        <w:ind w:firstLine="480"/>
        <w:rPr>
          <w:rFonts w:hint="eastAsia"/>
          <w:color w:val="000000"/>
        </w:rPr>
      </w:pPr>
      <w:r>
        <w:rPr>
          <w:rFonts w:hint="eastAsia" w:ascii="Songti SC" w:hAnsi="Songti SC" w:eastAsia="Songti SC" w:cs="Songti SC"/>
          <w:color w:val="000000"/>
        </w:rPr>
        <w:t>4.项目实施组</w:t>
      </w:r>
    </w:p>
    <w:p w14:paraId="235E4D69">
      <w:pPr>
        <w:ind w:firstLine="480"/>
        <w:rPr>
          <w:rFonts w:hint="eastAsia"/>
          <w:color w:val="000000"/>
        </w:rPr>
      </w:pPr>
      <w:r>
        <w:rPr>
          <w:rFonts w:hint="eastAsia" w:ascii="Songti SC" w:hAnsi="Songti SC" w:eastAsia="Songti SC" w:cs="Songti SC"/>
          <w:color w:val="000000"/>
        </w:rPr>
        <w:t>承建单位按本中心确认的建设范围和合同要求，负责技术方案细化、配置实施、数据迁移、接口联调、测试和交付，提交进度及质量记录。本中心负责确认实施条件、监督关键节点并组织验收移交；涉及业务规则、费用或实施范围的变更，须履行建设单位的确认程序。</w:t>
      </w:r>
    </w:p>
    <w:p w14:paraId="73CC7C2C">
      <w:pPr>
        <w:ind w:firstLine="480"/>
        <w:rPr>
          <w:rFonts w:hint="eastAsia"/>
          <w:color w:val="000000"/>
        </w:rPr>
      </w:pPr>
      <w:r>
        <w:rPr>
          <w:rFonts w:hint="eastAsia" w:ascii="Songti SC" w:hAnsi="Songti SC" w:eastAsia="Songti SC" w:cs="Songti SC"/>
          <w:color w:val="000000"/>
        </w:rPr>
        <w:t>5.财务组</w:t>
      </w:r>
    </w:p>
    <w:p w14:paraId="06C4ABAF">
      <w:pPr>
        <w:ind w:firstLine="480"/>
        <w:rPr>
          <w:rFonts w:hint="eastAsia"/>
          <w:color w:val="000000"/>
        </w:rPr>
      </w:pPr>
      <w:r>
        <w:rPr>
          <w:rFonts w:hint="eastAsia" w:ascii="Songti SC" w:hAnsi="Songti SC" w:eastAsia="Songti SC" w:cs="Songti SC"/>
          <w:color w:val="000000"/>
        </w:rPr>
        <w:t>本中心财务人员负责预算审核、资金申请、支付审核及账务管理，依据项目进度、合同约定和验收材料办理相关事项，记录资金使用情况并接受监督。</w:t>
      </w:r>
    </w:p>
    <w:p w14:paraId="41FB0A40">
      <w:pPr>
        <w:ind w:firstLine="480"/>
        <w:rPr>
          <w:rFonts w:hint="eastAsia"/>
          <w:color w:val="000000"/>
        </w:rPr>
      </w:pPr>
      <w:r>
        <w:rPr>
          <w:rFonts w:hint="eastAsia" w:ascii="Songti SC" w:hAnsi="Songti SC" w:eastAsia="Songti SC" w:cs="Songti SC"/>
          <w:color w:val="000000"/>
        </w:rPr>
        <w:t>6.商务组</w:t>
      </w:r>
    </w:p>
    <w:p w14:paraId="56C5237F">
      <w:pPr>
        <w:ind w:firstLine="480"/>
        <w:rPr>
          <w:rFonts w:hint="eastAsia"/>
          <w:color w:val="000000"/>
        </w:rPr>
      </w:pPr>
      <w:r>
        <w:rPr>
          <w:rFonts w:hint="eastAsia" w:ascii="Songti SC" w:hAnsi="Songti SC" w:eastAsia="Songti SC" w:cs="Songti SC"/>
          <w:color w:val="000000"/>
        </w:rPr>
        <w:t>本中心承担采购及合同管理职责的人员负责组织采购需求和合同条款审查，核对采购范围、交付成果、软件授权及维保要求，按相关程序办理采购和履约管理。承建单位负责其合同范围内的供货、安装和服务，不代替本中心行使采购决策职责。</w:t>
      </w:r>
    </w:p>
    <w:p w14:paraId="63EFAEB4">
      <w:pPr>
        <w:ind w:firstLine="480"/>
        <w:rPr>
          <w:rFonts w:hint="eastAsia"/>
          <w:color w:val="000000"/>
        </w:rPr>
      </w:pPr>
      <w:r>
        <w:rPr>
          <w:rFonts w:hint="eastAsia" w:ascii="Songti SC" w:hAnsi="Songti SC" w:eastAsia="Songti SC" w:cs="Songti SC"/>
          <w:color w:val="000000"/>
        </w:rPr>
        <w:t>7.运行组</w:t>
      </w:r>
    </w:p>
    <w:p w14:paraId="7D0E1AFC">
      <w:pPr>
        <w:ind w:firstLine="480"/>
        <w:rPr>
          <w:rFonts w:hint="eastAsia"/>
          <w:color w:val="000000"/>
        </w:rPr>
      </w:pPr>
      <w:r>
        <w:rPr>
          <w:rFonts w:hint="eastAsia" w:ascii="Songti SC" w:hAnsi="Songti SC" w:eastAsia="Songti SC" w:cs="Songti SC"/>
          <w:color w:val="000000"/>
        </w:rPr>
        <w:t>由本中心明确运行管理责任人，协调云资源管理方与承建单位完成运行交接，接收部署、备份、监控和故障处置资料，组织日常检查及问题处理。云平台与应用系统的维护责任按资源服务范围和合同约定分别落实。</w:t>
      </w:r>
    </w:p>
    <w:p w14:paraId="212E2F75">
      <w:pPr>
        <w:pStyle w:val="4"/>
        <w:rPr>
          <w:rFonts w:hint="eastAsia"/>
          <w:color w:val="000000"/>
        </w:rPr>
      </w:pPr>
      <w:bookmarkStart w:id="736" w:name="_Toc570815547"/>
      <w:bookmarkStart w:id="737" w:name="_Toc1825868717"/>
      <w:bookmarkStart w:id="738" w:name="_Toc16915"/>
      <w:bookmarkStart w:id="739" w:name="_Toc588390585"/>
      <w:r>
        <w:rPr>
          <w:rFonts w:hint="eastAsia" w:ascii="Songti SC" w:hAnsi="Songti SC" w:eastAsia="Songti SC" w:cs="Songti SC"/>
          <w:color w:val="000000"/>
        </w:rPr>
        <w:t>项目实施机构</w:t>
      </w:r>
      <w:bookmarkEnd w:id="736"/>
      <w:bookmarkEnd w:id="737"/>
      <w:bookmarkEnd w:id="738"/>
      <w:bookmarkEnd w:id="739"/>
    </w:p>
    <w:p w14:paraId="03DF635D">
      <w:pPr>
        <w:pStyle w:val="5"/>
        <w:rPr>
          <w:rFonts w:hint="eastAsia"/>
          <w:color w:val="000000"/>
        </w:rPr>
      </w:pPr>
      <w:r>
        <w:rPr>
          <w:rFonts w:ascii="Songti SC" w:hAnsi="Songti SC" w:eastAsia="Songti SC" w:cs="Songti SC"/>
          <w:color w:val="000000"/>
        </w:rPr>
        <w:t>项目管理模式</w:t>
      </w:r>
    </w:p>
    <w:p w14:paraId="2BF3A1AE">
      <w:pPr>
        <w:adjustRightInd w:val="0"/>
        <w:snapToGrid w:val="0"/>
        <w:ind w:firstLine="480"/>
        <w:rPr>
          <w:rFonts w:hint="eastAsia"/>
          <w:color w:val="000000"/>
        </w:rPr>
      </w:pPr>
      <w:r>
        <w:rPr>
          <w:rFonts w:ascii="Songti SC" w:hAnsi="Songti SC" w:eastAsia="Songti SC" w:cs="Songti SC"/>
          <w:color w:val="000000"/>
        </w:rPr>
        <w:t>本中心作为建设单位组织项目实施，协调承建单位、资源管理单位、相关接口单位及测评机构按职责开展工作。建设单位与承建单位的主要职责如下：</w:t>
      </w:r>
    </w:p>
    <w:p w14:paraId="3C8E6135">
      <w:pPr>
        <w:adjustRightInd w:val="0"/>
        <w:snapToGrid w:val="0"/>
        <w:ind w:firstLine="480"/>
        <w:rPr>
          <w:rFonts w:hint="eastAsia"/>
          <w:color w:val="000000"/>
        </w:rPr>
      </w:pPr>
      <w:r>
        <w:rPr>
          <w:rFonts w:ascii="Songti SC" w:hAnsi="Songti SC" w:eastAsia="Songti SC" w:cs="Songti SC"/>
          <w:color w:val="000000"/>
        </w:rPr>
        <w:t>北京市大兴区机关事务管理服务中心：负责需求及范围确认、资源协调、采购合同和资金管理、实施监督、重大事项决策、验收及运行管理。</w:t>
      </w:r>
    </w:p>
    <w:p w14:paraId="3D3415A8">
      <w:pPr>
        <w:adjustRightInd w:val="0"/>
        <w:snapToGrid w:val="0"/>
        <w:ind w:firstLine="480"/>
        <w:rPr>
          <w:rFonts w:hint="eastAsia"/>
          <w:color w:val="000000"/>
        </w:rPr>
      </w:pPr>
      <w:r>
        <w:rPr>
          <w:rFonts w:ascii="Songti SC" w:hAnsi="Songti SC" w:eastAsia="Songti SC" w:cs="Songti SC"/>
          <w:color w:val="000000"/>
        </w:rPr>
        <w:t>项目承建方：按采购文件及合同约定完成技术细化、实施、测试、培训和交付，向建设单位报告进度、问题和变更建议，提交可核查的成果及验证材料，并落实合同范围内的整改和服务责任。</w:t>
      </w:r>
    </w:p>
    <w:p w14:paraId="122F9AFC">
      <w:pPr>
        <w:pStyle w:val="5"/>
        <w:rPr>
          <w:rFonts w:hint="eastAsia"/>
          <w:color w:val="000000"/>
        </w:rPr>
      </w:pPr>
      <w:r>
        <w:rPr>
          <w:rFonts w:ascii="Songti SC" w:hAnsi="Songti SC" w:eastAsia="Songti SC" w:cs="Songti SC"/>
          <w:color w:val="000000"/>
        </w:rPr>
        <w:t>项目管理制度</w:t>
      </w:r>
    </w:p>
    <w:p w14:paraId="47597DED">
      <w:pPr>
        <w:pStyle w:val="6"/>
        <w:rPr>
          <w:rFonts w:hint="eastAsia"/>
          <w:color w:val="000000"/>
        </w:rPr>
      </w:pPr>
      <w:r>
        <w:rPr>
          <w:rFonts w:ascii="Songti SC" w:hAnsi="Songti SC" w:eastAsia="Songti SC" w:cs="Songti SC"/>
          <w:color w:val="000000"/>
        </w:rPr>
        <w:t>项目会议制度</w:t>
      </w:r>
    </w:p>
    <w:p w14:paraId="4F40D8C5">
      <w:pPr>
        <w:adjustRightInd w:val="0"/>
        <w:snapToGrid w:val="0"/>
        <w:ind w:firstLine="480"/>
        <w:rPr>
          <w:rFonts w:hint="eastAsia"/>
          <w:color w:val="000000"/>
        </w:rPr>
      </w:pPr>
      <w:r>
        <w:rPr>
          <w:rFonts w:hint="eastAsia" w:ascii="Songti SC" w:hAnsi="Songti SC" w:eastAsia="Songti SC" w:cs="Songti SC"/>
          <w:color w:val="000000"/>
        </w:rPr>
        <w:t>1.项目专家论证会</w:t>
      </w:r>
    </w:p>
    <w:p w14:paraId="05C8D815">
      <w:pPr>
        <w:adjustRightInd w:val="0"/>
        <w:snapToGrid w:val="0"/>
        <w:ind w:firstLine="480"/>
        <w:rPr>
          <w:rFonts w:hint="eastAsia"/>
          <w:color w:val="000000"/>
        </w:rPr>
      </w:pPr>
      <w:r>
        <w:rPr>
          <w:rFonts w:hint="eastAsia" w:ascii="Songti SC" w:hAnsi="Songti SC" w:eastAsia="Songti SC" w:cs="Songti SC"/>
          <w:color w:val="000000"/>
        </w:rPr>
        <w:t>邀请系统建设项目专家组参与。该会议旨在针对项目重大事项，如总体技术方案、关键技术选型等进行专业论证。由于此类重大事项并非频繁出现，项目专家论证会采取不定期召开机制。在会议召开前，需提前向专家组成员提供详细的项目资料及待论证事项说明，以便专家充分了解项目背景与需求。论证过程中，专家组成员凭借专业知识与丰富经验，对相关事项进行深入分析与讨论，提出专业意见与建议，为项目决策提供有力支撑。</w:t>
      </w:r>
    </w:p>
    <w:p w14:paraId="0516614B">
      <w:pPr>
        <w:adjustRightInd w:val="0"/>
        <w:snapToGrid w:val="0"/>
        <w:ind w:firstLine="480"/>
        <w:rPr>
          <w:rFonts w:hint="eastAsia"/>
          <w:color w:val="000000"/>
        </w:rPr>
      </w:pPr>
      <w:r>
        <w:rPr>
          <w:rFonts w:hint="eastAsia" w:ascii="Songti SC" w:hAnsi="Songti SC" w:eastAsia="Songti SC" w:cs="Songti SC"/>
          <w:color w:val="000000"/>
        </w:rPr>
        <w:t>2.项目组内部例会</w:t>
      </w:r>
    </w:p>
    <w:p w14:paraId="469F2E8C">
      <w:pPr>
        <w:adjustRightInd w:val="0"/>
        <w:snapToGrid w:val="0"/>
        <w:ind w:firstLine="480"/>
        <w:rPr>
          <w:rFonts w:hint="eastAsia"/>
          <w:color w:val="000000"/>
        </w:rPr>
      </w:pPr>
      <w:r>
        <w:rPr>
          <w:rFonts w:hint="eastAsia" w:ascii="Songti SC" w:hAnsi="Songti SC" w:eastAsia="Songti SC" w:cs="Songti SC"/>
          <w:color w:val="000000"/>
        </w:rPr>
        <w:t>本中心定期组织项目工作例会，由项目管理人员召集，承建单位和相关业务、技术人员参加，核对进度、问题、依赖条件及下一阶段安排。会议形成责任人、完成时限和处理结果记录；承建单位内部协调由其自行组织。</w:t>
      </w:r>
    </w:p>
    <w:p w14:paraId="63C98274">
      <w:pPr>
        <w:adjustRightInd w:val="0"/>
        <w:snapToGrid w:val="0"/>
        <w:ind w:firstLine="480"/>
        <w:rPr>
          <w:rFonts w:hint="eastAsia"/>
          <w:color w:val="000000"/>
        </w:rPr>
      </w:pPr>
      <w:r>
        <w:rPr>
          <w:rFonts w:hint="eastAsia" w:ascii="Songti SC" w:hAnsi="Songti SC" w:eastAsia="Songti SC" w:cs="Songti SC"/>
          <w:color w:val="000000"/>
        </w:rPr>
        <w:t>3.专题讨论会</w:t>
      </w:r>
    </w:p>
    <w:p w14:paraId="449E94ED">
      <w:pPr>
        <w:adjustRightInd w:val="0"/>
        <w:snapToGrid w:val="0"/>
        <w:ind w:firstLine="480"/>
        <w:rPr>
          <w:rFonts w:hint="eastAsia"/>
          <w:color w:val="000000"/>
        </w:rPr>
      </w:pPr>
      <w:r>
        <w:rPr>
          <w:rFonts w:hint="eastAsia" w:ascii="Songti SC" w:hAnsi="Songti SC" w:eastAsia="Songti SC" w:cs="Songti SC"/>
          <w:color w:val="000000"/>
        </w:rPr>
        <w:t>项目出现技术、业务或跨单位协调问题时，由本中心组织相关责任方开展专题讨论。承建单位提出问题、影响和处理建议，本中心确认业务处理原则及职责安排，相关决定形成书面记录。</w:t>
      </w:r>
    </w:p>
    <w:p w14:paraId="12C41A72">
      <w:pPr>
        <w:pStyle w:val="6"/>
        <w:rPr>
          <w:rFonts w:hint="eastAsia"/>
          <w:color w:val="000000"/>
        </w:rPr>
      </w:pPr>
      <w:r>
        <w:rPr>
          <w:rFonts w:ascii="Songti SC" w:hAnsi="Songti SC" w:eastAsia="Songti SC" w:cs="Songti SC"/>
          <w:color w:val="000000"/>
        </w:rPr>
        <w:t>书面信息沟通制度</w:t>
      </w:r>
    </w:p>
    <w:p w14:paraId="083752CC">
      <w:pPr>
        <w:adjustRightInd w:val="0"/>
        <w:snapToGrid w:val="0"/>
        <w:ind w:firstLine="480"/>
        <w:rPr>
          <w:rFonts w:hint="eastAsia"/>
          <w:color w:val="000000"/>
        </w:rPr>
      </w:pPr>
      <w:r>
        <w:rPr>
          <w:rFonts w:ascii="Songti SC" w:hAnsi="Songti SC" w:eastAsia="Songti SC" w:cs="Songti SC"/>
          <w:color w:val="000000"/>
        </w:rPr>
        <w:t>承建单位每周向本中心提交进展、质量、风险及待协调事项报告；</w:t>
      </w:r>
    </w:p>
    <w:p w14:paraId="4D70053F">
      <w:pPr>
        <w:adjustRightInd w:val="0"/>
        <w:snapToGrid w:val="0"/>
        <w:ind w:firstLine="480"/>
        <w:rPr>
          <w:rFonts w:hint="eastAsia"/>
          <w:color w:val="000000"/>
        </w:rPr>
      </w:pPr>
      <w:r>
        <w:rPr>
          <w:rFonts w:ascii="Songti SC" w:hAnsi="Songti SC" w:eastAsia="Songti SC" w:cs="Songti SC"/>
          <w:color w:val="000000"/>
        </w:rPr>
        <w:t>本中心项目管理人员按内部管理要求汇总项目情况，向相关负责人报告进展及需决策事项。</w:t>
      </w:r>
    </w:p>
    <w:p w14:paraId="5D861102">
      <w:pPr>
        <w:adjustRightInd w:val="0"/>
        <w:snapToGrid w:val="0"/>
        <w:ind w:firstLine="480"/>
        <w:rPr>
          <w:rFonts w:hint="eastAsia"/>
          <w:color w:val="000000"/>
        </w:rPr>
      </w:pPr>
      <w:r>
        <w:rPr>
          <w:rFonts w:ascii="Songti SC" w:hAnsi="Songti SC" w:eastAsia="Songti SC" w:cs="Songti SC"/>
          <w:color w:val="000000"/>
        </w:rPr>
        <w:t>承建单位项目经理及时向本中心报告实施问题和影响，重要技术意见、业务确认及处理决定形成书面记录并归档。</w:t>
      </w:r>
    </w:p>
    <w:p w14:paraId="7B4772BC">
      <w:pPr>
        <w:pStyle w:val="6"/>
        <w:rPr>
          <w:rFonts w:hint="eastAsia"/>
          <w:color w:val="000000"/>
        </w:rPr>
      </w:pPr>
      <w:r>
        <w:rPr>
          <w:rFonts w:ascii="Songti SC" w:hAnsi="Songti SC" w:eastAsia="Songti SC" w:cs="Songti SC"/>
          <w:color w:val="000000"/>
        </w:rPr>
        <w:t>重大事项的决策</w:t>
      </w:r>
    </w:p>
    <w:p w14:paraId="7F097D8B">
      <w:pPr>
        <w:adjustRightInd w:val="0"/>
        <w:snapToGrid w:val="0"/>
        <w:ind w:firstLine="480"/>
        <w:rPr>
          <w:rFonts w:hint="eastAsia"/>
          <w:color w:val="000000"/>
        </w:rPr>
      </w:pPr>
      <w:r>
        <w:rPr>
          <w:rFonts w:ascii="Songti SC" w:hAnsi="Songti SC" w:eastAsia="Songti SC" w:cs="Songti SC"/>
          <w:color w:val="000000"/>
        </w:rPr>
        <w:t>涉及建设范围、费用、关键技术路线或工期等重大事项，由责任方提出书面说明，列明原因、影响和处理建议，本中心按相关管理程序组织审查并形成决定。涉及合同或审批事项的，履行相应程序后实施，相关责任方依职责书面确认并归档。</w:t>
      </w:r>
    </w:p>
    <w:p w14:paraId="2A224964">
      <w:pPr>
        <w:pStyle w:val="3"/>
        <w:rPr>
          <w:rFonts w:hint="eastAsia"/>
          <w:color w:val="000000"/>
        </w:rPr>
      </w:pPr>
      <w:bookmarkStart w:id="740" w:name="_Toc160095988"/>
      <w:bookmarkEnd w:id="740"/>
      <w:bookmarkStart w:id="741" w:name="_Toc160095986"/>
      <w:bookmarkEnd w:id="741"/>
      <w:bookmarkStart w:id="742" w:name="_Toc160095987"/>
      <w:bookmarkEnd w:id="742"/>
      <w:bookmarkStart w:id="743" w:name="_Toc18034"/>
      <w:bookmarkStart w:id="744" w:name="_Toc1981694636"/>
      <w:bookmarkStart w:id="745" w:name="_Toc66881492"/>
      <w:bookmarkStart w:id="746" w:name="_Toc330472789"/>
      <w:bookmarkStart w:id="747" w:name="_Toc2065851307"/>
      <w:bookmarkStart w:id="748" w:name="_Toc887447280"/>
      <w:r>
        <w:rPr>
          <w:rFonts w:hint="eastAsia" w:ascii="Songti SC" w:hAnsi="Songti SC" w:eastAsia="Songti SC" w:cs="Songti SC"/>
          <w:color w:val="000000"/>
        </w:rPr>
        <w:t>人员培训方案</w:t>
      </w:r>
      <w:bookmarkEnd w:id="743"/>
      <w:bookmarkEnd w:id="744"/>
      <w:bookmarkEnd w:id="745"/>
      <w:bookmarkEnd w:id="746"/>
      <w:bookmarkEnd w:id="747"/>
      <w:bookmarkEnd w:id="748"/>
    </w:p>
    <w:p w14:paraId="0066399A">
      <w:pPr>
        <w:pStyle w:val="4"/>
        <w:rPr>
          <w:rFonts w:hint="eastAsia"/>
          <w:color w:val="000000"/>
        </w:rPr>
      </w:pPr>
      <w:bookmarkStart w:id="749" w:name="_Toc2404"/>
      <w:bookmarkStart w:id="750" w:name="_Toc1052506545"/>
      <w:bookmarkStart w:id="751" w:name="_Toc247312053"/>
      <w:bookmarkStart w:id="752" w:name="_Toc1017865929"/>
      <w:r>
        <w:rPr>
          <w:rFonts w:hint="eastAsia" w:ascii="Songti SC" w:hAnsi="Songti SC" w:eastAsia="Songti SC" w:cs="Songti SC"/>
          <w:color w:val="000000"/>
        </w:rPr>
        <w:t>培训对象及内容</w:t>
      </w:r>
      <w:bookmarkEnd w:id="749"/>
      <w:bookmarkEnd w:id="750"/>
      <w:bookmarkEnd w:id="751"/>
      <w:bookmarkEnd w:id="752"/>
    </w:p>
    <w:p w14:paraId="6CBC8C3B">
      <w:pPr>
        <w:ind w:firstLine="480"/>
        <w:rPr>
          <w:rFonts w:hint="eastAsia"/>
          <w:color w:val="000000"/>
        </w:rPr>
      </w:pPr>
      <w:r>
        <w:rPr>
          <w:rFonts w:hint="eastAsia" w:ascii="Songti SC" w:hAnsi="Songti SC" w:eastAsia="Songti SC" w:cs="Songti SC"/>
          <w:color w:val="000000"/>
        </w:rPr>
        <w:t>食堂消费系统升级改造后，需要对大兴区17个集中办公区相关系统管理人员进行培训，系统管理人员主要分为财务管理员、账户管理员、餐厅管理员以及系统运维人员。因不同岗位的管理员日常工作内容与系统使用场景各有侧重，因此培训内容将依据各岗位的职责量身定制。</w:t>
      </w:r>
    </w:p>
    <w:p w14:paraId="185C919F">
      <w:pPr>
        <w:pStyle w:val="5"/>
        <w:rPr>
          <w:rFonts w:hint="eastAsia"/>
          <w:color w:val="000000"/>
        </w:rPr>
      </w:pPr>
      <w:r>
        <w:rPr>
          <w:rFonts w:hint="eastAsia" w:ascii="Songti SC" w:hAnsi="Songti SC" w:eastAsia="Songti SC" w:cs="Songti SC"/>
          <w:color w:val="000000"/>
        </w:rPr>
        <w:t>财务管理员：</w:t>
      </w:r>
    </w:p>
    <w:p w14:paraId="324B4F10">
      <w:pPr>
        <w:pStyle w:val="30"/>
        <w:spacing w:beforeLines="0" w:afterLines="0" w:line="360" w:lineRule="auto"/>
        <w:ind w:firstLine="480"/>
        <w:rPr>
          <w:rFonts w:hint="eastAsia"/>
          <w:color w:val="000000"/>
        </w:rPr>
      </w:pPr>
      <w:r>
        <w:rPr>
          <w:rFonts w:hint="eastAsia" w:ascii="Songti SC" w:hAnsi="Songti SC" w:eastAsia="Songti SC" w:cs="Songti SC"/>
          <w:color w:val="000000"/>
        </w:rPr>
        <w:t>培训重点：数据安全、财务模块操作、报表生成等。</w:t>
      </w:r>
    </w:p>
    <w:p w14:paraId="0E24EB89">
      <w:pPr>
        <w:pStyle w:val="30"/>
        <w:spacing w:beforeLines="0" w:afterLines="0" w:line="360" w:lineRule="auto"/>
        <w:ind w:firstLine="480"/>
        <w:rPr>
          <w:rFonts w:hint="eastAsia"/>
          <w:color w:val="000000"/>
        </w:rPr>
      </w:pPr>
      <w:r>
        <w:rPr>
          <w:rFonts w:hint="eastAsia" w:ascii="Songti SC" w:hAnsi="Songti SC" w:eastAsia="Songti SC" w:cs="Songti SC"/>
          <w:color w:val="000000"/>
        </w:rPr>
        <w:t>培训内容：升级后平台界面导航与功能布局解析，指导财务管理员熟悉兼容适配后系统中数据统计、财务对账、成本核算和报表生成等功能的操作流程，如全新界面布局下数据筛选、计算参数设置，以及报表导出格式的调整。</w:t>
      </w:r>
    </w:p>
    <w:p w14:paraId="396CAEA0">
      <w:pPr>
        <w:pStyle w:val="30"/>
        <w:spacing w:beforeLines="0" w:afterLines="0" w:line="360" w:lineRule="auto"/>
        <w:ind w:firstLine="480"/>
        <w:rPr>
          <w:rFonts w:hint="eastAsia"/>
          <w:color w:val="000000"/>
        </w:rPr>
      </w:pPr>
      <w:r>
        <w:rPr>
          <w:rFonts w:hint="eastAsia" w:ascii="Songti SC" w:hAnsi="Songti SC" w:eastAsia="Songti SC" w:cs="Songti SC"/>
          <w:color w:val="000000"/>
        </w:rPr>
        <w:t>数据安全与合规要求：讲解在升级后系统中财务数据的安全存储机制，以及数据传输过程中的加密技术。同时，介绍国家在财务数据管理方面的合规要求，帮助财务管理员规避潜在的财务风险。</w:t>
      </w:r>
    </w:p>
    <w:p w14:paraId="19741162">
      <w:pPr>
        <w:pStyle w:val="5"/>
        <w:rPr>
          <w:rFonts w:hint="eastAsia"/>
          <w:color w:val="000000"/>
        </w:rPr>
      </w:pPr>
      <w:r>
        <w:rPr>
          <w:rFonts w:hint="eastAsia" w:ascii="Songti SC" w:hAnsi="Songti SC" w:eastAsia="Songti SC" w:cs="Songti SC"/>
          <w:color w:val="000000"/>
        </w:rPr>
        <w:t>账户管理员</w:t>
      </w:r>
    </w:p>
    <w:p w14:paraId="14CBAD9A">
      <w:pPr>
        <w:ind w:firstLine="480"/>
        <w:rPr>
          <w:rFonts w:hint="eastAsia"/>
          <w:color w:val="000000"/>
        </w:rPr>
      </w:pPr>
      <w:r>
        <w:rPr>
          <w:rFonts w:hint="eastAsia" w:ascii="Songti SC" w:hAnsi="Songti SC" w:eastAsia="Songti SC" w:cs="Songti SC"/>
          <w:color w:val="000000"/>
        </w:rPr>
        <w:t>培训重点：账户全生命周期管理、权限分级控制</w:t>
      </w:r>
    </w:p>
    <w:p w14:paraId="64CFADFB">
      <w:pPr>
        <w:pStyle w:val="30"/>
        <w:spacing w:beforeLines="0" w:afterLines="0" w:line="360" w:lineRule="auto"/>
        <w:ind w:firstLine="480"/>
        <w:rPr>
          <w:rFonts w:hint="eastAsia"/>
          <w:color w:val="000000"/>
        </w:rPr>
      </w:pPr>
      <w:r>
        <w:rPr>
          <w:rFonts w:hint="eastAsia" w:ascii="Songti SC" w:hAnsi="Songti SC" w:eastAsia="Songti SC" w:cs="Songti SC"/>
          <w:color w:val="000000"/>
        </w:rPr>
        <w:t>账户管理功能变化：向账户管理员介绍信息化环境下平台系统的账户注册、修改、注销等操作流程的变化，包括新系统中用户身份验证方式的调整，以及批量账户操作的新方法。</w:t>
      </w:r>
    </w:p>
    <w:p w14:paraId="0E526980">
      <w:pPr>
        <w:pStyle w:val="30"/>
        <w:spacing w:beforeLines="0" w:afterLines="0" w:line="360" w:lineRule="auto"/>
        <w:ind w:firstLine="480"/>
        <w:rPr>
          <w:rFonts w:hint="eastAsia"/>
          <w:color w:val="000000"/>
        </w:rPr>
      </w:pPr>
      <w:r>
        <w:rPr>
          <w:rFonts w:hint="eastAsia" w:ascii="Songti SC" w:hAnsi="Songti SC" w:eastAsia="Songti SC" w:cs="Songti SC"/>
          <w:color w:val="000000"/>
        </w:rPr>
        <w:t>用户就餐权限管理：多维度权限分配（按卡类型、成本单位、部门等组合设置就餐权限）。培训账户管理员掌握新系统的权限管理功能，使其能够准确为不同用户分配正确的就餐权限，保障系统使用的安全性。</w:t>
      </w:r>
    </w:p>
    <w:p w14:paraId="0AA61BE2">
      <w:pPr>
        <w:pStyle w:val="5"/>
        <w:rPr>
          <w:rFonts w:hint="eastAsia"/>
          <w:color w:val="000000"/>
        </w:rPr>
      </w:pPr>
      <w:r>
        <w:rPr>
          <w:rFonts w:hint="eastAsia" w:ascii="Songti SC" w:hAnsi="Songti SC" w:eastAsia="Songti SC" w:cs="Songti SC"/>
          <w:color w:val="000000"/>
        </w:rPr>
        <w:t>餐厅管理员</w:t>
      </w:r>
    </w:p>
    <w:p w14:paraId="2188726A">
      <w:pPr>
        <w:ind w:firstLine="480"/>
        <w:rPr>
          <w:rFonts w:hint="eastAsia"/>
          <w:color w:val="000000"/>
        </w:rPr>
      </w:pPr>
      <w:r>
        <w:rPr>
          <w:rFonts w:hint="eastAsia" w:ascii="Songti SC" w:hAnsi="Songti SC" w:eastAsia="Songti SC" w:cs="Songti SC"/>
          <w:color w:val="000000"/>
        </w:rPr>
        <w:t>培训重点：设备管理、消费数据分析</w:t>
      </w:r>
    </w:p>
    <w:p w14:paraId="0A9A00A9">
      <w:pPr>
        <w:pStyle w:val="30"/>
        <w:spacing w:beforeLines="0" w:afterLines="0" w:line="360" w:lineRule="auto"/>
        <w:ind w:firstLine="480"/>
        <w:rPr>
          <w:rFonts w:hint="eastAsia"/>
          <w:color w:val="000000"/>
        </w:rPr>
      </w:pPr>
      <w:r>
        <w:rPr>
          <w:rFonts w:hint="eastAsia" w:ascii="Songti SC" w:hAnsi="Songti SC" w:eastAsia="Songti SC" w:cs="Songti SC"/>
          <w:color w:val="000000"/>
        </w:rPr>
        <w:t>食堂消费系统操作流程：全面介绍平台的使用方法，包括人脸识别设备的操作、消费记录查询等。通过实际操作演示和模拟练习，让食堂工作人员熟悉系统的各个功能模块，提高操作熟练度。</w:t>
      </w:r>
    </w:p>
    <w:p w14:paraId="5118170E">
      <w:pPr>
        <w:pStyle w:val="30"/>
        <w:spacing w:beforeLines="0" w:afterLines="0" w:line="360" w:lineRule="auto"/>
        <w:ind w:firstLine="480"/>
        <w:rPr>
          <w:rFonts w:hint="eastAsia"/>
          <w:color w:val="000000"/>
        </w:rPr>
      </w:pPr>
      <w:r>
        <w:rPr>
          <w:rFonts w:hint="eastAsia" w:ascii="Songti SC" w:hAnsi="Songti SC" w:eastAsia="Songti SC" w:cs="Songti SC"/>
          <w:color w:val="000000"/>
        </w:rPr>
        <w:t>设备故障处理：培训餐厅工作人员如何处理常见的设备故障，如人脸识别失败、充值异常等情况。教授故障排查的方法和步骤，以及如何及时反馈问题给技术支持人员，确保设备的正常运行。</w:t>
      </w:r>
    </w:p>
    <w:p w14:paraId="24394EC0">
      <w:pPr>
        <w:pStyle w:val="30"/>
        <w:spacing w:beforeLines="0" w:afterLines="0" w:line="360" w:lineRule="auto"/>
        <w:ind w:firstLine="480"/>
        <w:rPr>
          <w:rFonts w:hint="eastAsia"/>
          <w:color w:val="000000"/>
        </w:rPr>
      </w:pPr>
      <w:r>
        <w:rPr>
          <w:rFonts w:hint="eastAsia" w:ascii="Songti SC" w:hAnsi="Songti SC" w:eastAsia="Songti SC" w:cs="Songti SC"/>
          <w:color w:val="000000"/>
        </w:rPr>
        <w:t>消费数据统计与分析：帮助餐厅管理员了解新系统中餐厅消费数据的查询与统计功能，包括如何利用实时交易数据进行后厨备餐与菜品制作，如根据消费趋势分析制定菜品采购计划等。</w:t>
      </w:r>
    </w:p>
    <w:p w14:paraId="458EED59">
      <w:pPr>
        <w:pStyle w:val="5"/>
        <w:rPr>
          <w:rFonts w:hint="eastAsia"/>
          <w:color w:val="000000"/>
        </w:rPr>
      </w:pPr>
      <w:r>
        <w:rPr>
          <w:rFonts w:hint="eastAsia" w:ascii="Songti SC" w:hAnsi="Songti SC" w:eastAsia="Songti SC" w:cs="Songti SC"/>
          <w:color w:val="000000"/>
        </w:rPr>
        <w:t>系统运维人员</w:t>
      </w:r>
    </w:p>
    <w:p w14:paraId="173441C2">
      <w:pPr>
        <w:ind w:firstLine="480"/>
        <w:rPr>
          <w:rFonts w:hint="eastAsia"/>
          <w:color w:val="000000"/>
        </w:rPr>
      </w:pPr>
      <w:r>
        <w:rPr>
          <w:rFonts w:hint="eastAsia" w:ascii="Songti SC" w:hAnsi="Songti SC" w:eastAsia="Songti SC" w:cs="Songti SC"/>
          <w:color w:val="000000"/>
        </w:rPr>
        <w:t>培训重点：现有运行环境运维、故障应急</w:t>
      </w:r>
    </w:p>
    <w:p w14:paraId="4ACB5B76">
      <w:pPr>
        <w:pStyle w:val="30"/>
        <w:spacing w:beforeLines="0" w:afterLines="0" w:line="360" w:lineRule="auto"/>
        <w:ind w:firstLine="480"/>
        <w:rPr>
          <w:rFonts w:hint="eastAsia"/>
          <w:color w:val="000000"/>
        </w:rPr>
      </w:pPr>
      <w:r>
        <w:rPr>
          <w:rFonts w:ascii="Songti SC" w:hAnsi="Songti SC" w:eastAsia="Songti SC" w:cs="Songti SC"/>
          <w:color w:val="000000"/>
        </w:rPr>
        <w:t>信息化运维基础：服务器操作系统常用命令与日志分析。数据库备份恢复与故障切换实操。</w:t>
      </w:r>
    </w:p>
    <w:p w14:paraId="7680893E">
      <w:pPr>
        <w:pStyle w:val="30"/>
        <w:spacing w:beforeLines="0" w:afterLines="0" w:line="360" w:lineRule="auto"/>
        <w:ind w:firstLine="480"/>
        <w:rPr>
          <w:rFonts w:hint="eastAsia"/>
          <w:color w:val="000000"/>
        </w:rPr>
      </w:pPr>
      <w:r>
        <w:rPr>
          <w:rFonts w:hint="eastAsia" w:ascii="Songti SC" w:hAnsi="Songti SC" w:eastAsia="Songti SC" w:cs="Songti SC"/>
          <w:color w:val="000000"/>
        </w:rPr>
        <w:t>高可用保障：入口及应用双节点的故障摘除与接管验证，数据库主备同步监控与故障切换验证。</w:t>
      </w:r>
    </w:p>
    <w:p w14:paraId="3C1E0563">
      <w:pPr>
        <w:pStyle w:val="30"/>
        <w:spacing w:beforeLines="0" w:afterLines="0" w:line="360" w:lineRule="auto"/>
        <w:ind w:firstLine="480"/>
        <w:rPr>
          <w:rFonts w:hint="eastAsia"/>
          <w:color w:val="000000"/>
        </w:rPr>
      </w:pPr>
      <w:r>
        <w:rPr>
          <w:rFonts w:hint="eastAsia" w:ascii="Songti SC" w:hAnsi="Songti SC" w:eastAsia="Songti SC" w:cs="Songti SC"/>
          <w:color w:val="000000"/>
        </w:rPr>
        <w:t>升级后系统架构与操作：介绍应用服务、数据库、应用中间件、接口、日志、备份和监控等组成，培训系统管理员掌握系统启停、配置检查、备份恢复和故障处置方法。</w:t>
      </w:r>
    </w:p>
    <w:p w14:paraId="66C17629">
      <w:pPr>
        <w:pStyle w:val="30"/>
        <w:spacing w:beforeLines="0" w:afterLines="0" w:line="360" w:lineRule="auto"/>
        <w:ind w:firstLine="480"/>
        <w:rPr>
          <w:rFonts w:hint="eastAsia"/>
          <w:color w:val="000000"/>
        </w:rPr>
      </w:pPr>
      <w:r>
        <w:rPr>
          <w:rFonts w:hint="eastAsia" w:ascii="Songti SC" w:hAnsi="Songti SC" w:eastAsia="Songti SC" w:cs="Songti SC"/>
          <w:color w:val="000000"/>
        </w:rPr>
        <w:t>数据库备份与恢复：教授数据库备份和恢复的方法和技巧。系统管理员应熟悉数据库的备份策略，定期进行备份操作，并能够在需要时快速恢复数据库。培训还应包括数据库的优化和维护，以提高数据库的性能和可靠性。</w:t>
      </w:r>
    </w:p>
    <w:p w14:paraId="26DF02E0">
      <w:pPr>
        <w:pStyle w:val="30"/>
        <w:spacing w:beforeLines="0" w:afterLines="0" w:line="360" w:lineRule="auto"/>
        <w:ind w:firstLine="480"/>
        <w:rPr>
          <w:rFonts w:hint="eastAsia"/>
          <w:color w:val="000000"/>
        </w:rPr>
      </w:pPr>
      <w:r>
        <w:rPr>
          <w:rFonts w:hint="eastAsia" w:ascii="Songti SC" w:hAnsi="Songti SC" w:eastAsia="Songti SC" w:cs="Songti SC"/>
          <w:color w:val="000000"/>
        </w:rPr>
        <w:t>安全策略配置：讲解安全策略的制定和配置方法。系统管理员需要了解网络安全、数据安全和系统安全的重要性，并掌握相应的安全防护措施。培训内容包括防火墙设置、访问控制、加密技术等，以确保系统的安全性和保密性。</w:t>
      </w:r>
    </w:p>
    <w:p w14:paraId="547E0824">
      <w:pPr>
        <w:pStyle w:val="4"/>
        <w:rPr>
          <w:rFonts w:hint="eastAsia"/>
          <w:color w:val="000000"/>
        </w:rPr>
      </w:pPr>
      <w:bookmarkStart w:id="753" w:name="_Toc1192817826"/>
      <w:bookmarkStart w:id="754" w:name="_Toc417936701"/>
      <w:bookmarkStart w:id="755" w:name="_Toc654701476"/>
      <w:bookmarkStart w:id="756" w:name="_Toc27596"/>
      <w:r>
        <w:rPr>
          <w:rFonts w:hint="eastAsia" w:ascii="Songti SC" w:hAnsi="Songti SC" w:eastAsia="Songti SC" w:cs="Songti SC"/>
          <w:color w:val="000000"/>
        </w:rPr>
        <w:t>培训方式</w:t>
      </w:r>
      <w:bookmarkEnd w:id="753"/>
      <w:bookmarkEnd w:id="754"/>
      <w:bookmarkEnd w:id="755"/>
      <w:bookmarkEnd w:id="756"/>
    </w:p>
    <w:p w14:paraId="020B32D6">
      <w:pPr>
        <w:pStyle w:val="5"/>
        <w:rPr>
          <w:rFonts w:hint="eastAsia"/>
          <w:color w:val="000000"/>
        </w:rPr>
      </w:pPr>
      <w:r>
        <w:rPr>
          <w:rFonts w:hint="eastAsia" w:ascii="Songti SC" w:hAnsi="Songti SC" w:eastAsia="Songti SC" w:cs="Songti SC"/>
          <w:color w:val="000000"/>
        </w:rPr>
        <w:t>集中培训</w:t>
      </w:r>
    </w:p>
    <w:p w14:paraId="02A9E27C">
      <w:pPr>
        <w:ind w:firstLine="480"/>
        <w:rPr>
          <w:rFonts w:hint="eastAsia"/>
          <w:color w:val="000000"/>
        </w:rPr>
      </w:pPr>
      <w:r>
        <w:rPr>
          <w:rFonts w:hint="eastAsia" w:ascii="Songti SC" w:hAnsi="Songti SC" w:eastAsia="Songti SC" w:cs="Songti SC"/>
          <w:color w:val="000000"/>
        </w:rPr>
        <w:t>1.培训组织：</w:t>
      </w:r>
    </w:p>
    <w:p w14:paraId="4A625F01">
      <w:pPr>
        <w:ind w:firstLine="480"/>
        <w:rPr>
          <w:rFonts w:hint="eastAsia"/>
          <w:color w:val="000000"/>
        </w:rPr>
      </w:pPr>
      <w:r>
        <w:rPr>
          <w:rFonts w:hint="eastAsia" w:ascii="Songti SC" w:hAnsi="Songti SC" w:eastAsia="Songti SC" w:cs="Songti SC"/>
          <w:color w:val="000000"/>
        </w:rPr>
        <w:t>本中心组织系统管理员、财务管理员、账户管理员及餐厅管理员分批参加培训，由承建单位按合同提供课程、操作演示和培训材料，并记录培训结果。</w:t>
      </w:r>
    </w:p>
    <w:p w14:paraId="3AE37D6E">
      <w:pPr>
        <w:ind w:firstLine="480"/>
        <w:rPr>
          <w:rFonts w:hint="eastAsia"/>
          <w:color w:val="000000"/>
        </w:rPr>
      </w:pPr>
      <w:r>
        <w:rPr>
          <w:rFonts w:hint="eastAsia" w:ascii="Songti SC" w:hAnsi="Songti SC" w:eastAsia="Songti SC" w:cs="Songti SC"/>
          <w:color w:val="000000"/>
        </w:rPr>
        <w:t>邀请专业的技术人员和培训讲师进行讲解和演示。培训讲师应具备丰富的实践经验和教学经验，能够深入浅出地讲解系统的功能和操作方法。</w:t>
      </w:r>
    </w:p>
    <w:p w14:paraId="444FAF84">
      <w:pPr>
        <w:ind w:firstLine="480"/>
        <w:rPr>
          <w:rFonts w:hint="eastAsia"/>
          <w:color w:val="000000"/>
        </w:rPr>
      </w:pPr>
      <w:r>
        <w:rPr>
          <w:rFonts w:hint="eastAsia" w:ascii="Songti SC" w:hAnsi="Songti SC" w:eastAsia="Songti SC" w:cs="Songti SC"/>
          <w:color w:val="000000"/>
        </w:rPr>
        <w:t>2.培训内容安排：</w:t>
      </w:r>
    </w:p>
    <w:p w14:paraId="400D2A87">
      <w:pPr>
        <w:ind w:firstLine="480"/>
        <w:rPr>
          <w:rFonts w:hint="eastAsia"/>
          <w:color w:val="000000"/>
        </w:rPr>
      </w:pPr>
      <w:r>
        <w:rPr>
          <w:rFonts w:hint="eastAsia" w:ascii="Songti SC" w:hAnsi="Songti SC" w:eastAsia="Songti SC" w:cs="Songti SC"/>
          <w:color w:val="000000"/>
        </w:rPr>
        <w:t>理论讲解：通过课堂讲授的方式，介绍系统的架构、功能、操作方法和安全策略等方面的知识。培训讲师可以结合实际案例进行分析，让培训对象更好地理解和掌握培训内容。</w:t>
      </w:r>
    </w:p>
    <w:p w14:paraId="54255322">
      <w:pPr>
        <w:ind w:firstLine="480"/>
        <w:rPr>
          <w:rFonts w:hint="eastAsia"/>
          <w:color w:val="000000"/>
        </w:rPr>
      </w:pPr>
      <w:r>
        <w:rPr>
          <w:rFonts w:hint="eastAsia" w:ascii="Songti SC" w:hAnsi="Songti SC" w:eastAsia="Songti SC" w:cs="Songti SC"/>
          <w:color w:val="000000"/>
        </w:rPr>
        <w:t>实际操作演示：安排实际操作演示环节，让培训对象亲身体验系统的操作流程。培训讲师可以在现场进行指导，解答培训对象的问题，提高培训效果。</w:t>
      </w:r>
    </w:p>
    <w:p w14:paraId="36F3343E">
      <w:pPr>
        <w:ind w:firstLine="480"/>
        <w:rPr>
          <w:rFonts w:hint="eastAsia"/>
          <w:color w:val="000000"/>
        </w:rPr>
      </w:pPr>
      <w:r>
        <w:rPr>
          <w:rFonts w:hint="eastAsia" w:ascii="Songti SC" w:hAnsi="Songti SC" w:eastAsia="Songti SC" w:cs="Songti SC"/>
          <w:color w:val="000000"/>
        </w:rPr>
        <w:t>案例分析与讨论：组织案例分析和讨论活动，让培训对象分析实际工作中遇到的问题，并提出解决方案。通过案例分析和讨论，提高培训对象的问题解决能力和团队协作能力。</w:t>
      </w:r>
    </w:p>
    <w:p w14:paraId="2B27EFCA">
      <w:pPr>
        <w:ind w:firstLine="480"/>
        <w:rPr>
          <w:rFonts w:hint="eastAsia"/>
          <w:color w:val="000000"/>
        </w:rPr>
      </w:pPr>
      <w:r>
        <w:rPr>
          <w:rFonts w:hint="eastAsia" w:ascii="Songti SC" w:hAnsi="Songti SC" w:eastAsia="Songti SC" w:cs="Songti SC"/>
          <w:color w:val="000000"/>
        </w:rPr>
        <w:t>3.培训效果评估：</w:t>
      </w:r>
    </w:p>
    <w:p w14:paraId="3626D3E0">
      <w:pPr>
        <w:ind w:firstLine="480"/>
        <w:rPr>
          <w:rFonts w:hint="eastAsia"/>
          <w:color w:val="000000"/>
        </w:rPr>
      </w:pPr>
      <w:r>
        <w:rPr>
          <w:rFonts w:hint="eastAsia" w:ascii="Songti SC" w:hAnsi="Songti SC" w:eastAsia="Songti SC" w:cs="Songti SC"/>
          <w:color w:val="000000"/>
        </w:rPr>
        <w:t>培训结束后，对培训效果进行评估。可以通过问卷调查、考试、实际操作考核等方式，了解培训对象对培训内容的掌握程度和培训效果的满意度。</w:t>
      </w:r>
    </w:p>
    <w:p w14:paraId="0A9B1AC2">
      <w:pPr>
        <w:ind w:firstLine="480"/>
        <w:rPr>
          <w:rFonts w:hint="eastAsia"/>
          <w:color w:val="000000"/>
        </w:rPr>
      </w:pPr>
      <w:r>
        <w:rPr>
          <w:rFonts w:hint="eastAsia" w:ascii="Songti SC" w:hAnsi="Songti SC" w:eastAsia="Songti SC" w:cs="Songti SC"/>
          <w:color w:val="000000"/>
        </w:rPr>
        <w:t>根据评估结果，对培训内容和培训方式进行调整和改进，提高培训质量和效果。</w:t>
      </w:r>
    </w:p>
    <w:p w14:paraId="7B5E4AE8">
      <w:pPr>
        <w:pStyle w:val="5"/>
        <w:rPr>
          <w:rFonts w:hint="eastAsia"/>
          <w:color w:val="000000"/>
        </w:rPr>
      </w:pPr>
      <w:r>
        <w:rPr>
          <w:rFonts w:hint="eastAsia" w:ascii="Songti SC" w:hAnsi="Songti SC" w:eastAsia="Songti SC" w:cs="Songti SC"/>
          <w:color w:val="000000"/>
        </w:rPr>
        <w:t>在线培训</w:t>
      </w:r>
    </w:p>
    <w:p w14:paraId="6B6C9C97">
      <w:pPr>
        <w:ind w:firstLine="480"/>
        <w:rPr>
          <w:rFonts w:hint="eastAsia"/>
          <w:color w:val="000000"/>
        </w:rPr>
      </w:pPr>
      <w:r>
        <w:rPr>
          <w:rFonts w:hint="eastAsia" w:ascii="Songti SC" w:hAnsi="Songti SC" w:eastAsia="Songti SC" w:cs="Songti SC"/>
          <w:color w:val="000000"/>
        </w:rPr>
        <w:t>1.培训平台建设：</w:t>
      </w:r>
    </w:p>
    <w:p w14:paraId="40C045DD">
      <w:pPr>
        <w:ind w:firstLine="480"/>
        <w:rPr>
          <w:rFonts w:hint="eastAsia"/>
          <w:color w:val="000000"/>
        </w:rPr>
      </w:pPr>
      <w:r>
        <w:rPr>
          <w:rFonts w:hint="eastAsia" w:ascii="Songti SC" w:hAnsi="Songti SC" w:eastAsia="Songti SC" w:cs="Songti SC"/>
          <w:color w:val="000000"/>
        </w:rPr>
        <w:t>制作在线培训课程，包括视频教程、文档资料、操作手册等，供培训对象随时学习。在线培训课程可以根据不同的培训对象和培训内容进行分类，方便培训对象快速找到所需的学习资源。</w:t>
      </w:r>
    </w:p>
    <w:p w14:paraId="2B45169D">
      <w:pPr>
        <w:ind w:firstLine="480"/>
        <w:rPr>
          <w:rFonts w:hint="eastAsia"/>
          <w:color w:val="000000"/>
        </w:rPr>
      </w:pPr>
      <w:r>
        <w:rPr>
          <w:rFonts w:hint="eastAsia" w:ascii="Songti SC" w:hAnsi="Songti SC" w:eastAsia="Songti SC" w:cs="Songti SC"/>
          <w:color w:val="000000"/>
        </w:rPr>
        <w:t>建立在线学习平台，提供学习进度跟踪和考核机制。培训对象可以在平台上观看视频教程、下载文档资料、进行在线测试等，平台可以记录培训对象的学习进度和考核成绩，方便培训管理和评估。</w:t>
      </w:r>
    </w:p>
    <w:p w14:paraId="14814B05">
      <w:pPr>
        <w:ind w:firstLine="480"/>
        <w:rPr>
          <w:rFonts w:hint="eastAsia"/>
          <w:color w:val="000000"/>
        </w:rPr>
      </w:pPr>
      <w:r>
        <w:rPr>
          <w:rFonts w:hint="eastAsia" w:ascii="Songti SC" w:hAnsi="Songti SC" w:eastAsia="Songti SC" w:cs="Songti SC"/>
          <w:color w:val="000000"/>
        </w:rPr>
        <w:t>2.培训内容更新：</w:t>
      </w:r>
    </w:p>
    <w:p w14:paraId="3F27CB52">
      <w:pPr>
        <w:ind w:firstLine="480"/>
        <w:rPr>
          <w:rFonts w:hint="eastAsia"/>
          <w:color w:val="000000"/>
        </w:rPr>
      </w:pPr>
      <w:r>
        <w:rPr>
          <w:rFonts w:hint="eastAsia" w:ascii="Songti SC" w:hAnsi="Songti SC" w:eastAsia="Songti SC" w:cs="Songti SC"/>
          <w:color w:val="000000"/>
        </w:rPr>
        <w:t>定期更新在线培训课程的内容，确保培训内容的时效性和准确性。随着系统的不断升级和改进，及时更新培训课程，让培训对象掌握最新的系统功能和操作方法。</w:t>
      </w:r>
    </w:p>
    <w:p w14:paraId="74AFCDB8">
      <w:pPr>
        <w:ind w:firstLine="480"/>
        <w:rPr>
          <w:rFonts w:hint="eastAsia"/>
          <w:color w:val="000000"/>
        </w:rPr>
      </w:pPr>
      <w:r>
        <w:rPr>
          <w:rFonts w:hint="eastAsia" w:ascii="Songti SC" w:hAnsi="Songti SC" w:eastAsia="Songti SC" w:cs="Songti SC"/>
          <w:color w:val="000000"/>
        </w:rPr>
        <w:t>鼓励培训对象反馈问题和建议，根据反馈意见对培训内容进行调整和改进，提高培训质量和效果。</w:t>
      </w:r>
    </w:p>
    <w:p w14:paraId="1774103F">
      <w:pPr>
        <w:ind w:firstLine="480"/>
        <w:rPr>
          <w:rFonts w:hint="eastAsia"/>
          <w:color w:val="000000"/>
        </w:rPr>
      </w:pPr>
      <w:r>
        <w:rPr>
          <w:rFonts w:hint="eastAsia" w:ascii="Songti SC" w:hAnsi="Songti SC" w:eastAsia="Songti SC" w:cs="Songti SC"/>
          <w:color w:val="000000"/>
        </w:rPr>
        <w:t>3.培训效果监督：</w:t>
      </w:r>
    </w:p>
    <w:p w14:paraId="5A9FF2DD">
      <w:pPr>
        <w:ind w:firstLine="480"/>
        <w:rPr>
          <w:rFonts w:hint="eastAsia"/>
          <w:color w:val="000000"/>
        </w:rPr>
      </w:pPr>
      <w:r>
        <w:rPr>
          <w:rFonts w:hint="eastAsia" w:ascii="Songti SC" w:hAnsi="Songti SC" w:eastAsia="Songti SC" w:cs="Songti SC"/>
          <w:color w:val="000000"/>
        </w:rPr>
        <w:t>定期对培训对象的学习进度和考核成绩进行监督和统计，了解培训对象的学习情况。对于学习进度较慢或考核成绩不理想的培训对象，可以通过邮件、短信等方式进行提醒和督促。</w:t>
      </w:r>
    </w:p>
    <w:p w14:paraId="4534E80B">
      <w:pPr>
        <w:ind w:firstLine="480"/>
        <w:rPr>
          <w:rFonts w:hint="eastAsia"/>
          <w:color w:val="000000"/>
        </w:rPr>
      </w:pPr>
      <w:r>
        <w:rPr>
          <w:rFonts w:hint="eastAsia" w:ascii="Songti SC" w:hAnsi="Songti SC" w:eastAsia="Songti SC" w:cs="Songti SC"/>
          <w:color w:val="000000"/>
        </w:rPr>
        <w:t>组织在线答疑活动，让培训对象在学习过程中遇到问题时能够及时得到解答。培训讲师可以定期在线答疑，解答培训对象的问题，提高培训效果。</w:t>
      </w:r>
    </w:p>
    <w:p w14:paraId="19B6CD15">
      <w:pPr>
        <w:pStyle w:val="5"/>
        <w:rPr>
          <w:rFonts w:hint="eastAsia"/>
          <w:color w:val="000000"/>
        </w:rPr>
      </w:pPr>
      <w:r>
        <w:rPr>
          <w:rFonts w:hint="eastAsia" w:ascii="Songti SC" w:hAnsi="Songti SC" w:eastAsia="Songti SC" w:cs="Songti SC"/>
          <w:color w:val="000000"/>
        </w:rPr>
        <w:t>现场指导</w:t>
      </w:r>
    </w:p>
    <w:p w14:paraId="14E6655D">
      <w:pPr>
        <w:ind w:firstLine="480"/>
        <w:rPr>
          <w:rFonts w:hint="eastAsia"/>
          <w:color w:val="000000"/>
        </w:rPr>
      </w:pPr>
      <w:r>
        <w:rPr>
          <w:rFonts w:hint="eastAsia" w:ascii="Songti SC" w:hAnsi="Songti SC" w:eastAsia="Songti SC" w:cs="Songti SC"/>
          <w:color w:val="000000"/>
        </w:rPr>
        <w:t>1.系统上线初期支持：</w:t>
      </w:r>
    </w:p>
    <w:p w14:paraId="65CB663E">
      <w:pPr>
        <w:ind w:firstLine="480"/>
        <w:rPr>
          <w:rFonts w:hint="eastAsia"/>
          <w:color w:val="000000"/>
        </w:rPr>
      </w:pPr>
      <w:r>
        <w:rPr>
          <w:rFonts w:hint="eastAsia" w:ascii="Songti SC" w:hAnsi="Songti SC" w:eastAsia="Songti SC" w:cs="Songti SC"/>
          <w:color w:val="000000"/>
        </w:rPr>
        <w:t>在系统上线初期，安排技术人员到管理员操作现场或餐厅现场进行指导，帮助管理人员和就餐人员解决实际操作中遇到的问题。技术人员可以在现场进行一对一的指导，也可以组织小型的培训讲座，针对常见问题进行讲解和演示。</w:t>
      </w:r>
    </w:p>
    <w:p w14:paraId="471E40F9">
      <w:pPr>
        <w:ind w:firstLine="480"/>
        <w:rPr>
          <w:rFonts w:hint="eastAsia"/>
          <w:color w:val="000000"/>
        </w:rPr>
      </w:pPr>
      <w:r>
        <w:rPr>
          <w:rFonts w:hint="eastAsia" w:ascii="Songti SC" w:hAnsi="Songti SC" w:eastAsia="Songti SC" w:cs="Songti SC"/>
          <w:color w:val="000000"/>
        </w:rPr>
        <w:t>现场指导应持续一段时间，直到培训对象能够熟练使用新系统为止。在现场指导过程中，技术人员应及时收集培训对象的反馈意见，对系统进行优化和改进，提高用户体验。</w:t>
      </w:r>
    </w:p>
    <w:p w14:paraId="6EAF723C">
      <w:pPr>
        <w:ind w:firstLine="480"/>
        <w:rPr>
          <w:rFonts w:hint="eastAsia"/>
          <w:color w:val="000000"/>
        </w:rPr>
      </w:pPr>
      <w:r>
        <w:rPr>
          <w:rFonts w:hint="eastAsia" w:ascii="Songti SC" w:hAnsi="Songti SC" w:eastAsia="Songti SC" w:cs="Songti SC"/>
          <w:color w:val="000000"/>
        </w:rPr>
        <w:t>2.日常问题处理：</w:t>
      </w:r>
    </w:p>
    <w:p w14:paraId="5BBE6992">
      <w:pPr>
        <w:ind w:firstLine="480"/>
        <w:rPr>
          <w:rFonts w:hint="eastAsia"/>
          <w:color w:val="000000"/>
        </w:rPr>
      </w:pPr>
      <w:r>
        <w:rPr>
          <w:rFonts w:hint="eastAsia" w:ascii="Songti SC" w:hAnsi="Songti SC" w:eastAsia="Songti SC" w:cs="Songti SC"/>
          <w:color w:val="000000"/>
        </w:rPr>
        <w:t>建立日常问题处理机制，当系统管理人员在使用系统过程中遇到问题时，可以及时联系技术支持人员进行处理。技术支持人员可以通过电话、邮件、远程协助等方式进行问题处理，确保问题能够及时得到解决。</w:t>
      </w:r>
    </w:p>
    <w:p w14:paraId="32E4F6F5">
      <w:pPr>
        <w:ind w:firstLine="480"/>
        <w:rPr>
          <w:rFonts w:hint="eastAsia"/>
          <w:color w:val="000000"/>
        </w:rPr>
      </w:pPr>
      <w:r>
        <w:rPr>
          <w:rFonts w:hint="eastAsia" w:ascii="Songti SC" w:hAnsi="Songti SC" w:eastAsia="Songti SC" w:cs="Songti SC"/>
          <w:color w:val="000000"/>
        </w:rPr>
        <w:t>对于一些复杂的问题，可以安排技术人员到现场进行处理。技术人员在处理问题的同时，可以对培训对象进行再次培训，提高培训效果。</w:t>
      </w:r>
      <w:r>
        <w:rPr>
          <w:rFonts w:hint="eastAsia" w:ascii="Songti SC" w:hAnsi="Songti SC" w:eastAsia="Songti SC" w:cs="Songti SC"/>
          <w:color w:val="000000"/>
        </w:rPr>
        <w:br w:type="page"/>
      </w:r>
    </w:p>
    <w:p w14:paraId="14E2E495">
      <w:pPr>
        <w:pStyle w:val="2"/>
        <w:rPr>
          <w:rFonts w:hint="eastAsia"/>
          <w:color w:val="000000"/>
        </w:rPr>
      </w:pPr>
      <w:bookmarkStart w:id="757" w:name="_Toc259694544"/>
      <w:bookmarkStart w:id="758" w:name="_Toc12422"/>
      <w:bookmarkStart w:id="759" w:name="_Toc2008983551"/>
      <w:bookmarkStart w:id="760" w:name="_Toc271804423"/>
      <w:bookmarkStart w:id="761" w:name="_Toc251627939"/>
      <w:bookmarkStart w:id="762" w:name="_Toc245968969"/>
      <w:bookmarkStart w:id="763" w:name="_Toc259782114"/>
      <w:bookmarkStart w:id="764" w:name="_Toc1990608017"/>
      <w:bookmarkStart w:id="765" w:name="_Toc66881493"/>
      <w:bookmarkStart w:id="766" w:name="_Toc929356837"/>
      <w:r>
        <w:rPr>
          <w:rFonts w:hint="eastAsia" w:ascii="Songti SC" w:hAnsi="Songti SC" w:eastAsia="Songti SC" w:cs="Songti SC"/>
          <w:color w:val="000000"/>
        </w:rPr>
        <w:t>项目实施方案及进度</w:t>
      </w:r>
      <w:bookmarkEnd w:id="757"/>
      <w:bookmarkEnd w:id="758"/>
      <w:bookmarkEnd w:id="759"/>
      <w:bookmarkEnd w:id="760"/>
      <w:bookmarkEnd w:id="761"/>
      <w:bookmarkEnd w:id="762"/>
      <w:bookmarkEnd w:id="763"/>
      <w:bookmarkEnd w:id="764"/>
      <w:bookmarkEnd w:id="765"/>
      <w:bookmarkEnd w:id="766"/>
    </w:p>
    <w:p w14:paraId="5F67D7DB">
      <w:pPr>
        <w:pStyle w:val="3"/>
        <w:rPr>
          <w:rFonts w:hint="eastAsia"/>
          <w:color w:val="000000"/>
        </w:rPr>
      </w:pPr>
      <w:bookmarkStart w:id="767" w:name="_Toc66881494"/>
      <w:bookmarkStart w:id="768" w:name="_Toc259782115"/>
      <w:bookmarkStart w:id="769" w:name="_Toc1051794828"/>
      <w:bookmarkStart w:id="770" w:name="_Toc251627940"/>
      <w:bookmarkStart w:id="771" w:name="_Toc259694545"/>
      <w:bookmarkStart w:id="772" w:name="_Toc5495"/>
      <w:bookmarkStart w:id="773" w:name="_Toc101159876"/>
      <w:bookmarkStart w:id="774" w:name="_Toc271804424"/>
      <w:bookmarkStart w:id="775" w:name="_Toc501205106"/>
      <w:r>
        <w:rPr>
          <w:rFonts w:hint="eastAsia" w:ascii="Songti SC" w:hAnsi="Songti SC" w:eastAsia="Songti SC" w:cs="Songti SC"/>
          <w:color w:val="000000"/>
        </w:rPr>
        <w:t>项目建设期</w:t>
      </w:r>
      <w:bookmarkEnd w:id="767"/>
      <w:bookmarkEnd w:id="768"/>
      <w:bookmarkEnd w:id="769"/>
      <w:bookmarkEnd w:id="770"/>
      <w:bookmarkEnd w:id="771"/>
      <w:bookmarkEnd w:id="772"/>
      <w:bookmarkEnd w:id="773"/>
      <w:bookmarkEnd w:id="774"/>
      <w:bookmarkEnd w:id="775"/>
    </w:p>
    <w:p w14:paraId="2DD0E173">
      <w:pPr>
        <w:ind w:firstLine="480"/>
        <w:rPr>
          <w:rFonts w:hint="eastAsia"/>
          <w:color w:val="000000"/>
        </w:rPr>
      </w:pPr>
      <w:r>
        <w:rPr>
          <w:rFonts w:ascii="Songti SC" w:hAnsi="Songti SC" w:eastAsia="Songti SC" w:cs="Songti SC"/>
          <w:color w:val="000000"/>
        </w:rPr>
        <w:t>本项目建设周期按约45天测算，进度安排以项目启动后第1天至第45天进行控制，实际启动时间、现场配合条件和上线窗口以建设单位确认结果为准。</w:t>
      </w:r>
    </w:p>
    <w:p w14:paraId="4165BA0A">
      <w:pPr>
        <w:pStyle w:val="3"/>
        <w:rPr>
          <w:rFonts w:hint="eastAsia"/>
          <w:color w:val="000000"/>
        </w:rPr>
      </w:pPr>
      <w:bookmarkStart w:id="776" w:name="_Toc66881495"/>
      <w:bookmarkStart w:id="777" w:name="_Toc10363"/>
      <w:bookmarkStart w:id="778" w:name="_Toc969492285"/>
      <w:bookmarkStart w:id="779" w:name="_Toc1577775739"/>
      <w:bookmarkStart w:id="780" w:name="_Toc1323353008"/>
      <w:r>
        <w:rPr>
          <w:rFonts w:hint="eastAsia" w:ascii="Songti SC" w:hAnsi="Songti SC" w:eastAsia="Songti SC" w:cs="Songti SC"/>
          <w:color w:val="000000"/>
        </w:rPr>
        <w:t>实施进度计划</w:t>
      </w:r>
      <w:bookmarkEnd w:id="776"/>
      <w:bookmarkEnd w:id="777"/>
      <w:bookmarkEnd w:id="778"/>
      <w:bookmarkEnd w:id="779"/>
      <w:bookmarkEnd w:id="780"/>
    </w:p>
    <w:p w14:paraId="769EF37C">
      <w:pPr>
        <w:ind w:firstLine="480"/>
        <w:rPr>
          <w:rFonts w:hint="eastAsia"/>
          <w:color w:val="000000"/>
        </w:rPr>
      </w:pPr>
      <w:r>
        <w:rPr>
          <w:rFonts w:ascii="Songti SC" w:hAnsi="Songti SC" w:eastAsia="Songti SC" w:cs="Songti SC"/>
          <w:color w:val="000000"/>
        </w:rPr>
        <w:t>食堂消费系统升级改造项目建设周期按约 45 天测算，具体进度安排如下：</w:t>
      </w:r>
    </w:p>
    <w:p w14:paraId="4AEFE4CA">
      <w:pPr>
        <w:pStyle w:val="14"/>
        <w:spacing w:line="360" w:lineRule="auto"/>
        <w:rPr>
          <w:rFonts w:hint="eastAsia" w:cs="宋体"/>
          <w:color w:val="000000"/>
        </w:rPr>
      </w:pPr>
      <w:r>
        <w:rPr>
          <w:rFonts w:hint="eastAsia" w:ascii="Songti SC" w:hAnsi="Songti SC" w:eastAsia="Songti SC" w:cs="Songti SC"/>
          <w:color w:val="000000"/>
        </w:rPr>
        <w:t>表</w:t>
      </w:r>
      <w:r>
        <w:rPr>
          <w:rFonts w:ascii="Songti SC" w:hAnsi="Songti SC" w:eastAsia="Songti SC" w:cs="Songti SC"/>
          <w:color w:val="000000"/>
        </w:rPr>
        <w:fldChar w:fldCharType="begin"/>
      </w:r>
      <w:r>
        <w:rPr>
          <w:rFonts w:ascii="Songti SC" w:hAnsi="Songti SC" w:eastAsia="Songti SC" w:cs="Songti SC"/>
          <w:color w:val="000000"/>
        </w:rPr>
        <w:instrText xml:space="preserve"> </w:instrText>
      </w:r>
      <w:r>
        <w:rPr>
          <w:rFonts w:hint="eastAsia" w:ascii="Songti SC" w:hAnsi="Songti SC" w:eastAsia="Songti SC" w:cs="Songti SC"/>
          <w:color w:val="000000"/>
        </w:rPr>
        <w:instrText xml:space="preserve">STYLEREF 1 \s</w:instrText>
      </w:r>
      <w:r>
        <w:rPr>
          <w:rFonts w:ascii="Songti SC" w:hAnsi="Songti SC" w:eastAsia="Songti SC" w:cs="Songti SC"/>
          <w:color w:val="000000"/>
        </w:rPr>
        <w:instrText xml:space="preserve"> </w:instrText>
      </w:r>
      <w:r>
        <w:rPr>
          <w:rFonts w:ascii="Songti SC" w:hAnsi="Songti SC" w:eastAsia="Songti SC" w:cs="Songti SC"/>
          <w:color w:val="000000"/>
        </w:rPr>
        <w:fldChar w:fldCharType="separate"/>
      </w:r>
      <w:r>
        <w:rPr>
          <w:rFonts w:hint="eastAsia" w:ascii="Songti SC" w:hAnsi="Songti SC" w:eastAsia="Songti SC" w:cs="Songti SC"/>
          <w:color w:val="000000"/>
        </w:rPr>
        <w:t>10</w:t>
      </w:r>
      <w:r>
        <w:rPr>
          <w:rFonts w:ascii="Songti SC" w:hAnsi="Songti SC" w:eastAsia="Songti SC" w:cs="Songti SC"/>
          <w:color w:val="000000"/>
        </w:rPr>
        <w:fldChar w:fldCharType="end"/>
      </w:r>
      <w:r>
        <w:rPr>
          <w:rFonts w:ascii="Songti SC" w:hAnsi="Songti SC" w:eastAsia="Songti SC" w:cs="Songti SC"/>
          <w:color w:val="000000"/>
        </w:rPr>
        <w:t>.</w:t>
      </w:r>
      <w:r>
        <w:rPr>
          <w:rFonts w:ascii="Songti SC" w:hAnsi="Songti SC" w:eastAsia="Songti SC" w:cs="Songti SC"/>
          <w:color w:val="000000"/>
        </w:rPr>
        <w:fldChar w:fldCharType="begin"/>
      </w:r>
      <w:r>
        <w:rPr>
          <w:rFonts w:ascii="Songti SC" w:hAnsi="Songti SC" w:eastAsia="Songti SC" w:cs="Songti SC"/>
          <w:color w:val="000000"/>
        </w:rPr>
        <w:instrText xml:space="preserve"> </w:instrText>
      </w:r>
      <w:r>
        <w:rPr>
          <w:rFonts w:hint="eastAsia" w:ascii="Songti SC" w:hAnsi="Songti SC" w:eastAsia="Songti SC" w:cs="Songti SC"/>
          <w:color w:val="000000"/>
        </w:rPr>
        <w:instrText xml:space="preserve">SEQ 表 \* ARABIC \s 1</w:instrText>
      </w:r>
      <w:r>
        <w:rPr>
          <w:rFonts w:ascii="Songti SC" w:hAnsi="Songti SC" w:eastAsia="Songti SC" w:cs="Songti SC"/>
          <w:color w:val="000000"/>
        </w:rPr>
        <w:instrText xml:space="preserve"> </w:instrText>
      </w:r>
      <w:r>
        <w:rPr>
          <w:rFonts w:ascii="Songti SC" w:hAnsi="Songti SC" w:eastAsia="Songti SC" w:cs="Songti SC"/>
          <w:color w:val="000000"/>
        </w:rPr>
        <w:fldChar w:fldCharType="separate"/>
      </w:r>
      <w:r>
        <w:rPr>
          <w:rFonts w:hint="eastAsia" w:ascii="Songti SC" w:hAnsi="Songti SC" w:eastAsia="Songti SC" w:cs="Songti SC"/>
          <w:color w:val="000000"/>
        </w:rPr>
        <w:t>1</w:t>
      </w:r>
      <w:r>
        <w:rPr>
          <w:rFonts w:ascii="Songti SC" w:hAnsi="Songti SC" w:eastAsia="Songti SC" w:cs="Songti SC"/>
          <w:color w:val="000000"/>
        </w:rPr>
        <w:fldChar w:fldCharType="end"/>
      </w:r>
      <w:r>
        <w:rPr>
          <w:rFonts w:hint="eastAsia" w:ascii="Songti SC" w:hAnsi="Songti SC" w:eastAsia="Songti SC" w:cs="Songti SC"/>
          <w:color w:val="000000"/>
        </w:rPr>
        <w:t>实施进度计划表</w:t>
      </w:r>
    </w:p>
    <w:tbl>
      <w:tblPr>
        <w:tblStyle w:val="61"/>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39"/>
        <w:gridCol w:w="1923"/>
        <w:gridCol w:w="1894"/>
        <w:gridCol w:w="1892"/>
        <w:gridCol w:w="1974"/>
      </w:tblGrid>
      <w:tr w14:paraId="535DC90D">
        <w:tc>
          <w:tcPr>
            <w:tcW w:w="492" w:type="pct"/>
          </w:tcPr>
          <w:p w14:paraId="70290640">
            <w:pPr>
              <w:ind w:firstLine="0" w:firstLineChars="0"/>
              <w:jc w:val="center"/>
              <w:rPr>
                <w:rFonts w:hint="eastAsia"/>
                <w:color w:val="000000"/>
              </w:rPr>
            </w:pPr>
            <w:r>
              <w:rPr>
                <w:rFonts w:ascii="Songti SC" w:hAnsi="Songti SC" w:eastAsia="Songti SC" w:cs="Songti SC"/>
                <w:b/>
                <w:color w:val="000000"/>
              </w:rPr>
              <w:t>序号</w:t>
            </w:r>
          </w:p>
        </w:tc>
        <w:tc>
          <w:tcPr>
            <w:tcW w:w="1128" w:type="pct"/>
          </w:tcPr>
          <w:p w14:paraId="70E1C287">
            <w:pPr>
              <w:ind w:firstLine="0" w:firstLineChars="0"/>
              <w:jc w:val="center"/>
              <w:rPr>
                <w:rFonts w:hint="eastAsia"/>
                <w:color w:val="000000"/>
              </w:rPr>
            </w:pPr>
            <w:r>
              <w:rPr>
                <w:rFonts w:ascii="Songti SC" w:hAnsi="Songti SC" w:eastAsia="Songti SC" w:cs="Songti SC"/>
                <w:b/>
                <w:color w:val="000000"/>
              </w:rPr>
              <w:t>实施阶段</w:t>
            </w:r>
          </w:p>
        </w:tc>
        <w:tc>
          <w:tcPr>
            <w:tcW w:w="1111" w:type="pct"/>
          </w:tcPr>
          <w:p w14:paraId="1FF0A9DC">
            <w:pPr>
              <w:ind w:firstLine="0" w:firstLineChars="0"/>
              <w:jc w:val="center"/>
              <w:rPr>
                <w:rFonts w:hint="eastAsia"/>
                <w:color w:val="000000"/>
              </w:rPr>
            </w:pPr>
            <w:r>
              <w:rPr>
                <w:rFonts w:ascii="Songti SC" w:hAnsi="Songti SC" w:eastAsia="Songti SC" w:cs="Songti SC"/>
                <w:b/>
                <w:color w:val="000000"/>
              </w:rPr>
              <w:t>计划天数</w:t>
            </w:r>
          </w:p>
        </w:tc>
        <w:tc>
          <w:tcPr>
            <w:tcW w:w="1110" w:type="pct"/>
          </w:tcPr>
          <w:p w14:paraId="6EB1174A">
            <w:pPr>
              <w:ind w:firstLine="0" w:firstLineChars="0"/>
              <w:jc w:val="center"/>
              <w:rPr>
                <w:rFonts w:hint="eastAsia"/>
                <w:color w:val="000000"/>
              </w:rPr>
            </w:pPr>
            <w:r>
              <w:rPr>
                <w:rFonts w:ascii="Songti SC" w:hAnsi="Songti SC" w:eastAsia="Songti SC" w:cs="Songti SC"/>
                <w:b/>
                <w:color w:val="000000"/>
              </w:rPr>
              <w:t>实施内容</w:t>
            </w:r>
          </w:p>
        </w:tc>
        <w:tc>
          <w:tcPr>
            <w:tcW w:w="1158" w:type="pct"/>
          </w:tcPr>
          <w:p w14:paraId="1AD75ED5">
            <w:pPr>
              <w:ind w:firstLine="0" w:firstLineChars="0"/>
              <w:jc w:val="center"/>
              <w:rPr>
                <w:rFonts w:hint="eastAsia"/>
                <w:color w:val="000000"/>
              </w:rPr>
            </w:pPr>
            <w:r>
              <w:rPr>
                <w:rFonts w:ascii="Songti SC" w:hAnsi="Songti SC" w:eastAsia="Songti SC" w:cs="Songti SC"/>
                <w:b/>
                <w:color w:val="000000"/>
              </w:rPr>
              <w:t>阶段成果</w:t>
            </w:r>
          </w:p>
        </w:tc>
      </w:tr>
      <w:tr w14:paraId="7A9805D3">
        <w:tc>
          <w:tcPr>
            <w:tcW w:w="492" w:type="pct"/>
          </w:tcPr>
          <w:p w14:paraId="4FF6CFFD">
            <w:pPr>
              <w:ind w:firstLine="0" w:firstLineChars="0"/>
              <w:jc w:val="center"/>
              <w:rPr>
                <w:rFonts w:hint="eastAsia"/>
                <w:color w:val="000000"/>
              </w:rPr>
            </w:pPr>
            <w:r>
              <w:rPr>
                <w:rFonts w:ascii="Songti SC" w:hAnsi="Songti SC" w:eastAsia="Songti SC" w:cs="Songti SC"/>
                <w:color w:val="000000"/>
              </w:rPr>
              <w:t>1</w:t>
            </w:r>
          </w:p>
        </w:tc>
        <w:tc>
          <w:tcPr>
            <w:tcW w:w="1128" w:type="pct"/>
          </w:tcPr>
          <w:p w14:paraId="4A95F5B3">
            <w:pPr>
              <w:ind w:firstLine="0" w:firstLineChars="0"/>
              <w:rPr>
                <w:rFonts w:hint="eastAsia"/>
                <w:color w:val="000000"/>
              </w:rPr>
            </w:pPr>
            <w:r>
              <w:rPr>
                <w:rFonts w:ascii="Songti SC" w:hAnsi="Songti SC" w:eastAsia="Songti SC" w:cs="Songti SC"/>
                <w:color w:val="000000"/>
              </w:rPr>
              <w:t>项目启动与范围确认</w:t>
            </w:r>
          </w:p>
        </w:tc>
        <w:tc>
          <w:tcPr>
            <w:tcW w:w="1111" w:type="pct"/>
          </w:tcPr>
          <w:p w14:paraId="75FFB73B">
            <w:pPr>
              <w:ind w:firstLine="0" w:firstLineChars="0"/>
              <w:rPr>
                <w:rFonts w:hint="eastAsia"/>
                <w:color w:val="000000"/>
              </w:rPr>
            </w:pPr>
            <w:r>
              <w:rPr>
                <w:rFonts w:ascii="Songti SC" w:hAnsi="Songti SC" w:eastAsia="Songti SC" w:cs="Songti SC"/>
                <w:color w:val="000000"/>
              </w:rPr>
              <w:t>第1-3天</w:t>
            </w:r>
          </w:p>
          <w:p w14:paraId="6E253F27">
            <w:pPr>
              <w:ind w:firstLine="0" w:firstLineChars="0"/>
              <w:rPr>
                <w:rFonts w:hint="eastAsia"/>
                <w:color w:val="000000"/>
              </w:rPr>
            </w:pPr>
            <w:r>
              <w:rPr>
                <w:rFonts w:ascii="Songti SC" w:hAnsi="Songti SC" w:eastAsia="Songti SC" w:cs="Songti SC"/>
                <w:color w:val="000000"/>
              </w:rPr>
              <w:t>（3天）</w:t>
            </w:r>
          </w:p>
        </w:tc>
        <w:tc>
          <w:tcPr>
            <w:tcW w:w="1110" w:type="pct"/>
          </w:tcPr>
          <w:p w14:paraId="25F4AA97">
            <w:pPr>
              <w:ind w:firstLine="0" w:firstLineChars="0"/>
              <w:rPr>
                <w:rFonts w:hint="eastAsia"/>
                <w:color w:val="000000"/>
              </w:rPr>
            </w:pPr>
            <w:r>
              <w:rPr>
                <w:rFonts w:ascii="Songti SC" w:hAnsi="Songti SC" w:eastAsia="Songti SC" w:cs="Songti SC"/>
                <w:color w:val="000000"/>
              </w:rPr>
              <w:t>组建项目团队，确认实施范围、17个区域点位、55台人脸识别消费机清单、源系统版本、数据库清单、接口清单、数据承接窗口、上线窗口、回退方案和验收口径。</w:t>
            </w:r>
          </w:p>
        </w:tc>
        <w:tc>
          <w:tcPr>
            <w:tcW w:w="1158" w:type="pct"/>
          </w:tcPr>
          <w:p w14:paraId="36411A3A">
            <w:pPr>
              <w:ind w:firstLine="0" w:firstLineChars="0"/>
              <w:rPr>
                <w:rFonts w:hint="eastAsia"/>
                <w:color w:val="000000"/>
              </w:rPr>
            </w:pPr>
            <w:r>
              <w:rPr>
                <w:rFonts w:ascii="Songti SC" w:hAnsi="Songti SC" w:eastAsia="Songti SC" w:cs="Songti SC"/>
                <w:color w:val="000000"/>
              </w:rPr>
              <w:t>项目启动纪要、实施计划、范围确认表、风险清单</w:t>
            </w:r>
          </w:p>
        </w:tc>
      </w:tr>
      <w:tr w14:paraId="41A37846">
        <w:tc>
          <w:tcPr>
            <w:tcW w:w="492" w:type="pct"/>
          </w:tcPr>
          <w:p w14:paraId="352458ED">
            <w:pPr>
              <w:ind w:firstLine="0" w:firstLineChars="0"/>
              <w:jc w:val="center"/>
              <w:rPr>
                <w:rFonts w:hint="eastAsia"/>
                <w:color w:val="000000"/>
              </w:rPr>
            </w:pPr>
            <w:r>
              <w:rPr>
                <w:rFonts w:ascii="Songti SC" w:hAnsi="Songti SC" w:eastAsia="Songti SC" w:cs="Songti SC"/>
                <w:color w:val="000000"/>
              </w:rPr>
              <w:t>2</w:t>
            </w:r>
          </w:p>
        </w:tc>
        <w:tc>
          <w:tcPr>
            <w:tcW w:w="1128" w:type="pct"/>
          </w:tcPr>
          <w:p w14:paraId="4E745DE1">
            <w:pPr>
              <w:ind w:firstLine="0" w:firstLineChars="0"/>
              <w:rPr>
                <w:rFonts w:hint="eastAsia"/>
                <w:color w:val="000000"/>
              </w:rPr>
            </w:pPr>
            <w:r>
              <w:rPr>
                <w:rFonts w:ascii="Songti SC" w:hAnsi="Songti SC" w:eastAsia="Songti SC" w:cs="Songti SC"/>
                <w:color w:val="000000"/>
              </w:rPr>
              <w:t>现有基础软件环境搭建</w:t>
            </w:r>
          </w:p>
        </w:tc>
        <w:tc>
          <w:tcPr>
            <w:tcW w:w="1111" w:type="pct"/>
          </w:tcPr>
          <w:p w14:paraId="61425C26">
            <w:pPr>
              <w:ind w:firstLine="0" w:firstLineChars="0"/>
              <w:rPr>
                <w:rFonts w:hint="eastAsia"/>
                <w:color w:val="000000"/>
              </w:rPr>
            </w:pPr>
            <w:r>
              <w:rPr>
                <w:rFonts w:ascii="Songti SC" w:hAnsi="Songti SC" w:eastAsia="Songti SC" w:cs="Songti SC"/>
                <w:color w:val="000000"/>
              </w:rPr>
              <w:t>第4-8天</w:t>
            </w:r>
          </w:p>
          <w:p w14:paraId="49D60EB9">
            <w:pPr>
              <w:ind w:firstLine="0" w:firstLineChars="0"/>
              <w:rPr>
                <w:rFonts w:hint="eastAsia"/>
                <w:color w:val="000000"/>
              </w:rPr>
            </w:pPr>
            <w:r>
              <w:rPr>
                <w:rFonts w:ascii="Songti SC" w:hAnsi="Songti SC" w:eastAsia="Songti SC" w:cs="Songti SC"/>
                <w:color w:val="000000"/>
              </w:rPr>
              <w:t>（5天）</w:t>
            </w:r>
          </w:p>
        </w:tc>
        <w:tc>
          <w:tcPr>
            <w:tcW w:w="1110" w:type="pct"/>
          </w:tcPr>
          <w:p w14:paraId="33FF9EC8">
            <w:pPr>
              <w:ind w:firstLine="0" w:firstLineChars="0"/>
              <w:rPr>
                <w:rFonts w:hint="eastAsia"/>
                <w:color w:val="000000"/>
              </w:rPr>
            </w:pPr>
            <w:r>
              <w:rPr>
                <w:rFonts w:ascii="Songti SC" w:hAnsi="Songti SC" w:eastAsia="Songti SC" w:cs="Songti SC"/>
                <w:color w:val="000000"/>
              </w:rPr>
              <w:t>部署服务器操作系统、数据库主备环境、应用中间件和基础网络、安全、日志、备份、监控配置，完成基础连通性验证。</w:t>
            </w:r>
          </w:p>
        </w:tc>
        <w:tc>
          <w:tcPr>
            <w:tcW w:w="1158" w:type="pct"/>
          </w:tcPr>
          <w:p w14:paraId="707B34BF">
            <w:pPr>
              <w:ind w:firstLine="0" w:firstLineChars="0"/>
              <w:rPr>
                <w:rFonts w:hint="eastAsia"/>
                <w:color w:val="000000"/>
              </w:rPr>
            </w:pPr>
            <w:r>
              <w:rPr>
                <w:rFonts w:ascii="Songti SC" w:hAnsi="Songti SC" w:eastAsia="Songti SC" w:cs="Songti SC"/>
                <w:color w:val="000000"/>
              </w:rPr>
              <w:t>环境部署记录、基础配置清单、连通性验证记录</w:t>
            </w:r>
          </w:p>
        </w:tc>
      </w:tr>
      <w:tr w14:paraId="66397246">
        <w:tc>
          <w:tcPr>
            <w:tcW w:w="492" w:type="pct"/>
          </w:tcPr>
          <w:p w14:paraId="3749FD0E">
            <w:pPr>
              <w:ind w:firstLine="0" w:firstLineChars="0"/>
              <w:jc w:val="center"/>
              <w:rPr>
                <w:rFonts w:hint="eastAsia"/>
                <w:color w:val="000000"/>
              </w:rPr>
            </w:pPr>
            <w:r>
              <w:rPr>
                <w:rFonts w:ascii="Songti SC" w:hAnsi="Songti SC" w:eastAsia="Songti SC" w:cs="Songti SC"/>
                <w:color w:val="000000"/>
              </w:rPr>
              <w:t>3</w:t>
            </w:r>
          </w:p>
        </w:tc>
        <w:tc>
          <w:tcPr>
            <w:tcW w:w="1128" w:type="pct"/>
          </w:tcPr>
          <w:p w14:paraId="2C7DE3F2">
            <w:pPr>
              <w:ind w:firstLine="0" w:firstLineChars="0"/>
              <w:rPr>
                <w:rFonts w:hint="eastAsia"/>
                <w:color w:val="000000"/>
              </w:rPr>
            </w:pPr>
            <w:r>
              <w:rPr>
                <w:rFonts w:ascii="Songti SC" w:hAnsi="Songti SC" w:eastAsia="Songti SC" w:cs="Songti SC"/>
                <w:color w:val="000000"/>
              </w:rPr>
              <w:t>数据库适配与校验脚本开发</w:t>
            </w:r>
          </w:p>
        </w:tc>
        <w:tc>
          <w:tcPr>
            <w:tcW w:w="1111" w:type="pct"/>
          </w:tcPr>
          <w:p w14:paraId="749E76EE">
            <w:pPr>
              <w:ind w:firstLine="0" w:firstLineChars="0"/>
              <w:rPr>
                <w:rFonts w:hint="eastAsia"/>
                <w:color w:val="000000"/>
              </w:rPr>
            </w:pPr>
            <w:r>
              <w:rPr>
                <w:rFonts w:ascii="Songti SC" w:hAnsi="Songti SC" w:eastAsia="Songti SC" w:cs="Songti SC"/>
                <w:color w:val="000000"/>
              </w:rPr>
              <w:t>第9-16天</w:t>
            </w:r>
          </w:p>
          <w:p w14:paraId="7E457541">
            <w:pPr>
              <w:ind w:firstLine="0" w:firstLineChars="0"/>
              <w:rPr>
                <w:rFonts w:hint="eastAsia"/>
                <w:color w:val="000000"/>
              </w:rPr>
            </w:pPr>
            <w:r>
              <w:rPr>
                <w:rFonts w:ascii="Songti SC" w:hAnsi="Songti SC" w:eastAsia="Songti SC" w:cs="Songti SC"/>
                <w:color w:val="000000"/>
              </w:rPr>
              <w:t>（8天）</w:t>
            </w:r>
          </w:p>
        </w:tc>
        <w:tc>
          <w:tcPr>
            <w:tcW w:w="1110" w:type="pct"/>
          </w:tcPr>
          <w:p w14:paraId="49B034ED">
            <w:pPr>
              <w:ind w:firstLine="0" w:firstLineChars="0"/>
              <w:rPr>
                <w:rFonts w:hint="eastAsia"/>
                <w:color w:val="000000"/>
              </w:rPr>
            </w:pPr>
            <w:r>
              <w:rPr>
                <w:rFonts w:ascii="Songti SC" w:hAnsi="Songti SC" w:eastAsia="Songti SC" w:cs="Songti SC"/>
                <w:color w:val="000000"/>
              </w:rPr>
              <w:t>完成SQL Server 2014历史数据向GBase 8s V8.8迁移，并完成PHP产品数据访问层的驱动、SQL语法、事务、分页、日期时间、字符集和索引适配，形成迁移与校验脚本。</w:t>
            </w:r>
          </w:p>
        </w:tc>
        <w:tc>
          <w:tcPr>
            <w:tcW w:w="1158" w:type="pct"/>
          </w:tcPr>
          <w:p w14:paraId="07EB3ABF">
            <w:pPr>
              <w:ind w:firstLine="0" w:firstLineChars="0"/>
              <w:rPr>
                <w:rFonts w:hint="eastAsia"/>
                <w:color w:val="000000"/>
              </w:rPr>
            </w:pPr>
            <w:r>
              <w:rPr>
                <w:rFonts w:ascii="Songti SC" w:hAnsi="Songti SC" w:eastAsia="Songti SC" w:cs="Songti SC"/>
                <w:color w:val="000000"/>
              </w:rPr>
              <w:t>数据库适配说明、迁移/校验脚本、核心表核验规则</w:t>
            </w:r>
          </w:p>
        </w:tc>
      </w:tr>
      <w:tr w14:paraId="1EC863B4">
        <w:tc>
          <w:tcPr>
            <w:tcW w:w="492" w:type="pct"/>
          </w:tcPr>
          <w:p w14:paraId="44E1CCCF">
            <w:pPr>
              <w:ind w:firstLine="0" w:firstLineChars="0"/>
              <w:jc w:val="center"/>
              <w:rPr>
                <w:rFonts w:hint="eastAsia"/>
                <w:color w:val="000000"/>
              </w:rPr>
            </w:pPr>
            <w:r>
              <w:rPr>
                <w:rFonts w:ascii="Songti SC" w:hAnsi="Songti SC" w:eastAsia="Songti SC" w:cs="Songti SC"/>
                <w:color w:val="000000"/>
              </w:rPr>
              <w:t>4</w:t>
            </w:r>
          </w:p>
        </w:tc>
        <w:tc>
          <w:tcPr>
            <w:tcW w:w="1128" w:type="pct"/>
          </w:tcPr>
          <w:p w14:paraId="257AF1D3">
            <w:pPr>
              <w:ind w:firstLine="0" w:firstLineChars="0"/>
              <w:rPr>
                <w:rFonts w:hint="eastAsia"/>
                <w:color w:val="000000"/>
              </w:rPr>
            </w:pPr>
            <w:r>
              <w:rPr>
                <w:rFonts w:ascii="Songti SC" w:hAnsi="Songti SC" w:eastAsia="Songti SC" w:cs="Songti SC"/>
                <w:color w:val="000000"/>
              </w:rPr>
              <w:t>平台软件与接口适配联调</w:t>
            </w:r>
          </w:p>
        </w:tc>
        <w:tc>
          <w:tcPr>
            <w:tcW w:w="1111" w:type="pct"/>
          </w:tcPr>
          <w:p w14:paraId="789BF035">
            <w:pPr>
              <w:ind w:firstLine="0" w:firstLineChars="0"/>
              <w:rPr>
                <w:rFonts w:hint="eastAsia"/>
                <w:color w:val="000000"/>
              </w:rPr>
            </w:pPr>
            <w:r>
              <w:rPr>
                <w:rFonts w:ascii="Songti SC" w:hAnsi="Songti SC" w:eastAsia="Songti SC" w:cs="Songti SC"/>
                <w:color w:val="000000"/>
              </w:rPr>
              <w:t>第17-27天</w:t>
            </w:r>
          </w:p>
          <w:p w14:paraId="115B292D">
            <w:pPr>
              <w:ind w:firstLine="0" w:firstLineChars="0"/>
              <w:rPr>
                <w:rFonts w:hint="eastAsia"/>
                <w:color w:val="000000"/>
              </w:rPr>
            </w:pPr>
            <w:r>
              <w:rPr>
                <w:rFonts w:ascii="Songti SC" w:hAnsi="Songti SC" w:eastAsia="Songti SC" w:cs="Songti SC"/>
                <w:color w:val="000000"/>
              </w:rPr>
              <w:t>（11天）</w:t>
            </w:r>
          </w:p>
        </w:tc>
        <w:tc>
          <w:tcPr>
            <w:tcW w:w="1110" w:type="pct"/>
          </w:tcPr>
          <w:p w14:paraId="71476A01">
            <w:pPr>
              <w:ind w:firstLine="0" w:firstLineChars="0"/>
              <w:rPr>
                <w:rFonts w:hint="eastAsia"/>
                <w:color w:val="000000"/>
              </w:rPr>
            </w:pPr>
            <w:r>
              <w:rPr>
                <w:rFonts w:ascii="Songti SC" w:hAnsi="Songti SC" w:eastAsia="Songti SC" w:cs="Songti SC"/>
                <w:color w:val="000000"/>
              </w:rPr>
              <w:t>完成后台端、餐厅端、用户端、消费机端、工商银行充值接口、提现退款、报表统计和设备交易链路适配联调。</w:t>
            </w:r>
          </w:p>
        </w:tc>
        <w:tc>
          <w:tcPr>
            <w:tcW w:w="1158" w:type="pct"/>
          </w:tcPr>
          <w:p w14:paraId="5BBA8D37">
            <w:pPr>
              <w:ind w:firstLine="0" w:firstLineChars="0"/>
              <w:rPr>
                <w:rFonts w:hint="eastAsia"/>
                <w:color w:val="000000"/>
              </w:rPr>
            </w:pPr>
            <w:r>
              <w:rPr>
                <w:rFonts w:ascii="Songti SC" w:hAnsi="Songti SC" w:eastAsia="Songti SC" w:cs="Songti SC"/>
                <w:color w:val="000000"/>
              </w:rPr>
              <w:t>联调记录、接口测试记录、问题整改清单</w:t>
            </w:r>
          </w:p>
        </w:tc>
      </w:tr>
      <w:tr w14:paraId="1FBDD555">
        <w:tc>
          <w:tcPr>
            <w:tcW w:w="492" w:type="pct"/>
          </w:tcPr>
          <w:p w14:paraId="08A5B960">
            <w:pPr>
              <w:ind w:firstLine="0" w:firstLineChars="0"/>
              <w:jc w:val="center"/>
              <w:rPr>
                <w:rFonts w:hint="eastAsia"/>
                <w:color w:val="000000"/>
              </w:rPr>
            </w:pPr>
            <w:r>
              <w:rPr>
                <w:rFonts w:ascii="Songti SC" w:hAnsi="Songti SC" w:eastAsia="Songti SC" w:cs="Songti SC"/>
                <w:color w:val="000000"/>
              </w:rPr>
              <w:t>5</w:t>
            </w:r>
          </w:p>
        </w:tc>
        <w:tc>
          <w:tcPr>
            <w:tcW w:w="1128" w:type="pct"/>
          </w:tcPr>
          <w:p w14:paraId="58C54834">
            <w:pPr>
              <w:ind w:firstLine="0" w:firstLineChars="0"/>
              <w:rPr>
                <w:rFonts w:hint="eastAsia"/>
                <w:color w:val="000000"/>
              </w:rPr>
            </w:pPr>
            <w:r>
              <w:rPr>
                <w:rFonts w:ascii="Songti SC" w:hAnsi="Songti SC" w:eastAsia="Songti SC" w:cs="Songti SC"/>
                <w:color w:val="000000"/>
              </w:rPr>
              <w:t>硬件功能适配与现场验证</w:t>
            </w:r>
          </w:p>
        </w:tc>
        <w:tc>
          <w:tcPr>
            <w:tcW w:w="1111" w:type="pct"/>
          </w:tcPr>
          <w:p w14:paraId="236FD2CD">
            <w:pPr>
              <w:ind w:firstLine="0" w:firstLineChars="0"/>
              <w:rPr>
                <w:rFonts w:hint="eastAsia"/>
                <w:color w:val="000000"/>
              </w:rPr>
            </w:pPr>
            <w:r>
              <w:rPr>
                <w:rFonts w:ascii="Songti SC" w:hAnsi="Songti SC" w:eastAsia="Songti SC" w:cs="Songti SC"/>
                <w:color w:val="000000"/>
              </w:rPr>
              <w:t>第20-</w:t>
            </w:r>
            <w:r>
              <w:rPr>
                <w:rFonts w:hint="eastAsia" w:ascii="Songti SC" w:hAnsi="Songti SC" w:eastAsia="Songti SC" w:cs="Songti SC"/>
                <w:color w:val="000000"/>
                <w:lang w:val="en-US" w:eastAsia="zh-CN"/>
              </w:rPr>
              <w:t>24</w:t>
            </w:r>
            <w:r>
              <w:rPr>
                <w:rFonts w:ascii="Songti SC" w:hAnsi="Songti SC" w:eastAsia="Songti SC" w:cs="Songti SC"/>
                <w:color w:val="000000"/>
              </w:rPr>
              <w:t>天</w:t>
            </w:r>
          </w:p>
          <w:p w14:paraId="13F6C922">
            <w:pPr>
              <w:ind w:firstLine="0" w:firstLineChars="0"/>
              <w:rPr>
                <w:rFonts w:hint="eastAsia"/>
                <w:color w:val="000000"/>
              </w:rPr>
            </w:pPr>
            <w:r>
              <w:rPr>
                <w:rFonts w:ascii="Songti SC" w:hAnsi="Songti SC" w:eastAsia="Songti SC" w:cs="Songti SC"/>
                <w:color w:val="000000"/>
              </w:rPr>
              <w:t>（穿插实施）</w:t>
            </w:r>
          </w:p>
        </w:tc>
        <w:tc>
          <w:tcPr>
            <w:tcW w:w="1110" w:type="pct"/>
          </w:tcPr>
          <w:p w14:paraId="7D8EDBD7">
            <w:pPr>
              <w:ind w:firstLine="0" w:firstLineChars="0"/>
              <w:rPr>
                <w:rFonts w:hint="eastAsia"/>
                <w:color w:val="000000"/>
              </w:rPr>
            </w:pPr>
            <w:r>
              <w:rPr>
                <w:rFonts w:ascii="Songti SC" w:hAnsi="Songti SC" w:eastAsia="Songti SC" w:cs="Songti SC"/>
                <w:color w:val="000000"/>
              </w:rPr>
              <w:t>对</w:t>
            </w:r>
            <w:r>
              <w:rPr>
                <w:rFonts w:hint="eastAsia" w:ascii="Songti SC" w:hAnsi="Songti SC" w:eastAsia="Songti SC" w:cs="Songti SC"/>
                <w:color w:val="000000"/>
              </w:rPr>
              <w:t>区政府</w:t>
            </w:r>
            <w:r>
              <w:rPr>
                <w:rFonts w:hint="eastAsia" w:ascii="Songti SC" w:hAnsi="Songti SC" w:eastAsia="Songti SC" w:cs="Songti SC"/>
                <w:color w:val="000000"/>
                <w:lang w:eastAsia="zh-CN"/>
              </w:rPr>
              <w:t>、</w:t>
            </w:r>
            <w:r>
              <w:rPr>
                <w:rFonts w:hint="eastAsia" w:ascii="Songti SC" w:hAnsi="Songti SC" w:eastAsia="Songti SC" w:cs="Songti SC"/>
                <w:color w:val="000000"/>
              </w:rPr>
              <w:t>城指中心</w:t>
            </w:r>
            <w:r>
              <w:rPr>
                <w:rFonts w:hint="eastAsia" w:ascii="Songti SC" w:hAnsi="Songti SC" w:eastAsia="Songti SC" w:cs="Songti SC"/>
                <w:color w:val="000000"/>
                <w:lang w:eastAsia="zh-CN"/>
              </w:rPr>
              <w:t>、</w:t>
            </w:r>
            <w:r>
              <w:rPr>
                <w:rFonts w:hint="eastAsia" w:ascii="Songti SC" w:hAnsi="Songti SC" w:eastAsia="Songti SC" w:cs="Songti SC"/>
                <w:color w:val="000000"/>
              </w:rPr>
              <w:t>桐城办公区</w:t>
            </w:r>
            <w:r>
              <w:rPr>
                <w:rFonts w:hint="eastAsia" w:ascii="Songti SC" w:hAnsi="Songti SC" w:eastAsia="Songti SC" w:cs="Songti SC"/>
                <w:color w:val="000000"/>
                <w:lang w:eastAsia="zh-CN"/>
              </w:rPr>
              <w:t>、</w:t>
            </w:r>
            <w:r>
              <w:rPr>
                <w:rFonts w:hint="eastAsia" w:ascii="Songti SC" w:hAnsi="Songti SC" w:eastAsia="Songti SC" w:cs="Songti SC"/>
                <w:color w:val="000000"/>
              </w:rPr>
              <w:t>清城办公区</w:t>
            </w:r>
            <w:r>
              <w:rPr>
                <w:rFonts w:hint="eastAsia" w:ascii="Songti SC" w:hAnsi="Songti SC" w:eastAsia="Songti SC" w:cs="Songti SC"/>
                <w:color w:val="000000"/>
                <w:lang w:eastAsia="zh-CN"/>
              </w:rPr>
              <w:t>、</w:t>
            </w:r>
            <w:r>
              <w:rPr>
                <w:rFonts w:hint="eastAsia" w:ascii="Songti SC" w:hAnsi="Songti SC" w:eastAsia="Songti SC" w:cs="Songti SC"/>
                <w:color w:val="000000"/>
              </w:rPr>
              <w:t>第六办公区</w:t>
            </w:r>
            <w:r>
              <w:rPr>
                <w:rFonts w:hint="eastAsia" w:ascii="Songti SC" w:hAnsi="Songti SC" w:eastAsia="Songti SC" w:cs="Songti SC"/>
                <w:color w:val="000000"/>
                <w:lang w:eastAsia="zh-CN"/>
              </w:rPr>
              <w:t>、</w:t>
            </w:r>
            <w:r>
              <w:rPr>
                <w:rFonts w:hint="eastAsia" w:ascii="Songti SC" w:hAnsi="Songti SC" w:eastAsia="Songti SC" w:cs="Songti SC"/>
                <w:color w:val="000000"/>
              </w:rPr>
              <w:t>第七办公区</w:t>
            </w:r>
            <w:r>
              <w:rPr>
                <w:rFonts w:hint="eastAsia" w:ascii="Songti SC" w:hAnsi="Songti SC" w:eastAsia="Songti SC" w:cs="Songti SC"/>
                <w:color w:val="000000"/>
                <w:lang w:val="en-US" w:eastAsia="zh-CN"/>
              </w:rPr>
              <w:t>的</w:t>
            </w:r>
            <w:r>
              <w:rPr>
                <w:rFonts w:ascii="Songti SC" w:hAnsi="Songti SC" w:eastAsia="Songti SC" w:cs="Songti SC"/>
                <w:color w:val="000000"/>
              </w:rPr>
              <w:t>消费机开展点位核验、参数配置、通信测试、交易确认、余额更新、离线记录同步和异常日志回传验证。</w:t>
            </w:r>
          </w:p>
        </w:tc>
        <w:tc>
          <w:tcPr>
            <w:tcW w:w="1158" w:type="pct"/>
          </w:tcPr>
          <w:p w14:paraId="6C94B3AD">
            <w:pPr>
              <w:ind w:firstLine="0" w:firstLineChars="0"/>
              <w:rPr>
                <w:rFonts w:hint="eastAsia"/>
                <w:color w:val="000000"/>
              </w:rPr>
            </w:pPr>
            <w:r>
              <w:rPr>
                <w:rFonts w:ascii="Songti SC" w:hAnsi="Songti SC" w:eastAsia="Songti SC" w:cs="Songti SC"/>
                <w:color w:val="000000"/>
              </w:rPr>
              <w:t>点位核验表、终端联调记录、现场问题闭环表</w:t>
            </w:r>
          </w:p>
        </w:tc>
      </w:tr>
      <w:tr w14:paraId="72350376">
        <w:tc>
          <w:tcPr>
            <w:tcW w:w="492" w:type="pct"/>
            <w:shd w:val="clear" w:color="auto" w:fill="auto"/>
            <w:vAlign w:val="top"/>
          </w:tcPr>
          <w:p w14:paraId="1498E845">
            <w:pPr>
              <w:ind w:firstLine="0" w:firstLineChars="0"/>
              <w:jc w:val="center"/>
              <w:rPr>
                <w:rFonts w:hint="eastAsia" w:ascii="宋体" w:hAnsi="宋体" w:eastAsia="宋体" w:cs="宋体"/>
                <w:color w:val="000000"/>
                <w:kern w:val="2"/>
                <w:sz w:val="24"/>
                <w:szCs w:val="24"/>
                <w:lang w:val="en-US" w:eastAsia="zh-CN" w:bidi="ar-SA"/>
              </w:rPr>
            </w:pPr>
            <w:r>
              <w:rPr>
                <w:rFonts w:ascii="Songti SC" w:hAnsi="Songti SC" w:eastAsia="Songti SC" w:cs="Songti SC"/>
                <w:color w:val="000000"/>
              </w:rPr>
              <w:t>5</w:t>
            </w:r>
          </w:p>
        </w:tc>
        <w:tc>
          <w:tcPr>
            <w:tcW w:w="1128" w:type="pct"/>
            <w:shd w:val="clear" w:color="auto" w:fill="auto"/>
            <w:vAlign w:val="top"/>
          </w:tcPr>
          <w:p w14:paraId="60B28C4F">
            <w:pPr>
              <w:ind w:firstLine="0" w:firstLineChars="0"/>
              <w:rPr>
                <w:rFonts w:hint="eastAsia" w:ascii="宋体" w:hAnsi="宋体" w:eastAsia="宋体" w:cs="宋体"/>
                <w:color w:val="000000"/>
                <w:kern w:val="2"/>
                <w:sz w:val="24"/>
                <w:szCs w:val="24"/>
                <w:lang w:val="en-US" w:eastAsia="zh-CN" w:bidi="ar-SA"/>
              </w:rPr>
            </w:pPr>
            <w:r>
              <w:rPr>
                <w:rFonts w:ascii="Songti SC" w:hAnsi="Songti SC" w:eastAsia="Songti SC" w:cs="Songti SC"/>
                <w:color w:val="000000"/>
              </w:rPr>
              <w:t>硬件功能适配与现场验证</w:t>
            </w:r>
          </w:p>
        </w:tc>
        <w:tc>
          <w:tcPr>
            <w:tcW w:w="1111" w:type="pct"/>
            <w:shd w:val="clear" w:color="auto" w:fill="auto"/>
            <w:vAlign w:val="top"/>
          </w:tcPr>
          <w:p w14:paraId="216B0D80">
            <w:pPr>
              <w:ind w:firstLine="0" w:firstLineChars="0"/>
              <w:rPr>
                <w:rFonts w:hint="eastAsia"/>
                <w:color w:val="000000"/>
              </w:rPr>
            </w:pPr>
            <w:r>
              <w:rPr>
                <w:rFonts w:ascii="Songti SC" w:hAnsi="Songti SC" w:eastAsia="Songti SC" w:cs="Songti SC"/>
                <w:color w:val="000000"/>
              </w:rPr>
              <w:t>第2</w:t>
            </w:r>
            <w:r>
              <w:rPr>
                <w:rFonts w:hint="eastAsia" w:ascii="Songti SC" w:hAnsi="Songti SC" w:eastAsia="Songti SC" w:cs="Songti SC"/>
                <w:color w:val="000000"/>
                <w:lang w:val="en-US" w:eastAsia="zh-CN"/>
              </w:rPr>
              <w:t>5</w:t>
            </w:r>
            <w:r>
              <w:rPr>
                <w:rFonts w:ascii="Songti SC" w:hAnsi="Songti SC" w:eastAsia="Songti SC" w:cs="Songti SC"/>
                <w:color w:val="000000"/>
              </w:rPr>
              <w:t>-3</w:t>
            </w:r>
            <w:r>
              <w:rPr>
                <w:rFonts w:hint="eastAsia" w:ascii="Songti SC" w:hAnsi="Songti SC" w:eastAsia="Songti SC" w:cs="Songti SC"/>
                <w:color w:val="000000"/>
                <w:lang w:val="en-US" w:eastAsia="zh-CN"/>
              </w:rPr>
              <w:t>7</w:t>
            </w:r>
            <w:r>
              <w:rPr>
                <w:rFonts w:ascii="Songti SC" w:hAnsi="Songti SC" w:eastAsia="Songti SC" w:cs="Songti SC"/>
                <w:color w:val="000000"/>
              </w:rPr>
              <w:t>天</w:t>
            </w:r>
          </w:p>
          <w:p w14:paraId="07368A6B">
            <w:pPr>
              <w:ind w:firstLine="0" w:firstLineChars="0"/>
              <w:rPr>
                <w:rFonts w:hint="eastAsia" w:ascii="宋体" w:hAnsi="宋体" w:eastAsia="宋体" w:cs="宋体"/>
                <w:color w:val="000000"/>
                <w:kern w:val="2"/>
                <w:sz w:val="24"/>
                <w:szCs w:val="24"/>
                <w:lang w:val="en-US" w:eastAsia="zh-CN" w:bidi="ar-SA"/>
              </w:rPr>
            </w:pPr>
            <w:r>
              <w:rPr>
                <w:rFonts w:ascii="Songti SC" w:hAnsi="Songti SC" w:eastAsia="Songti SC" w:cs="Songti SC"/>
                <w:color w:val="000000"/>
              </w:rPr>
              <w:t>（穿插实施）</w:t>
            </w:r>
          </w:p>
        </w:tc>
        <w:tc>
          <w:tcPr>
            <w:tcW w:w="1110" w:type="pct"/>
            <w:shd w:val="clear" w:color="auto" w:fill="auto"/>
            <w:vAlign w:val="top"/>
          </w:tcPr>
          <w:p w14:paraId="6A97D8EA">
            <w:pPr>
              <w:ind w:firstLine="0" w:firstLineChars="0"/>
              <w:rPr>
                <w:rFonts w:hint="eastAsia" w:ascii="宋体" w:hAnsi="宋体" w:eastAsia="宋体" w:cs="宋体"/>
                <w:color w:val="000000"/>
                <w:kern w:val="2"/>
                <w:sz w:val="24"/>
                <w:szCs w:val="24"/>
                <w:lang w:val="en-US" w:eastAsia="zh-CN" w:bidi="ar-SA"/>
              </w:rPr>
            </w:pPr>
            <w:r>
              <w:rPr>
                <w:rFonts w:ascii="Songti SC" w:hAnsi="Songti SC" w:eastAsia="Songti SC" w:cs="Songti SC"/>
                <w:color w:val="000000"/>
              </w:rPr>
              <w:t>对</w:t>
            </w:r>
            <w:r>
              <w:rPr>
                <w:rFonts w:hint="eastAsia" w:ascii="Songti SC" w:hAnsi="Songti SC" w:eastAsia="Songti SC" w:cs="Songti SC"/>
                <w:color w:val="000000"/>
              </w:rPr>
              <w:t>市场局</w:t>
            </w:r>
            <w:r>
              <w:rPr>
                <w:rFonts w:hint="eastAsia" w:ascii="Songti SC" w:hAnsi="Songti SC" w:eastAsia="Songti SC" w:cs="Songti SC"/>
                <w:color w:val="000000"/>
                <w:lang w:eastAsia="zh-CN"/>
              </w:rPr>
              <w:t>、</w:t>
            </w:r>
            <w:r>
              <w:rPr>
                <w:rFonts w:hint="eastAsia" w:ascii="Songti SC" w:hAnsi="Songti SC" w:eastAsia="Songti SC" w:cs="Songti SC"/>
                <w:color w:val="000000"/>
              </w:rPr>
              <w:t>住建委</w:t>
            </w:r>
            <w:r>
              <w:rPr>
                <w:rFonts w:hint="eastAsia" w:ascii="Songti SC" w:hAnsi="Songti SC" w:eastAsia="Songti SC" w:cs="Songti SC"/>
                <w:color w:val="000000"/>
                <w:lang w:eastAsia="zh-CN"/>
              </w:rPr>
              <w:t>、</w:t>
            </w:r>
            <w:r>
              <w:rPr>
                <w:rFonts w:hint="eastAsia" w:ascii="Songti SC" w:hAnsi="Songti SC" w:eastAsia="Songti SC" w:cs="Songti SC"/>
                <w:color w:val="000000"/>
              </w:rPr>
              <w:t>统计局</w:t>
            </w:r>
            <w:r>
              <w:rPr>
                <w:rFonts w:hint="eastAsia" w:ascii="Songti SC" w:hAnsi="Songti SC" w:eastAsia="Songti SC" w:cs="Songti SC"/>
                <w:color w:val="000000"/>
                <w:lang w:eastAsia="zh-CN"/>
              </w:rPr>
              <w:t>、</w:t>
            </w:r>
            <w:r>
              <w:rPr>
                <w:rFonts w:hint="eastAsia" w:ascii="Songti SC" w:hAnsi="Songti SC" w:eastAsia="Songti SC" w:cs="Songti SC"/>
                <w:color w:val="000000"/>
              </w:rPr>
              <w:t>交通局</w:t>
            </w:r>
            <w:r>
              <w:rPr>
                <w:rFonts w:hint="eastAsia" w:ascii="Songti SC" w:hAnsi="Songti SC" w:eastAsia="Songti SC" w:cs="Songti SC"/>
                <w:color w:val="000000"/>
                <w:lang w:eastAsia="zh-CN"/>
              </w:rPr>
              <w:t>、</w:t>
            </w:r>
            <w:r>
              <w:rPr>
                <w:rFonts w:hint="eastAsia" w:ascii="Songti SC" w:hAnsi="Songti SC" w:eastAsia="Songti SC" w:cs="Songti SC"/>
                <w:color w:val="000000"/>
              </w:rPr>
              <w:t>信访办</w:t>
            </w:r>
            <w:r>
              <w:rPr>
                <w:rFonts w:hint="eastAsia" w:ascii="Songti SC" w:hAnsi="Songti SC" w:eastAsia="Songti SC" w:cs="Songti SC"/>
                <w:color w:val="000000"/>
                <w:lang w:eastAsia="zh-CN"/>
              </w:rPr>
              <w:t>、</w:t>
            </w:r>
            <w:r>
              <w:rPr>
                <w:rFonts w:hint="eastAsia" w:ascii="Songti SC" w:hAnsi="Songti SC" w:eastAsia="Songti SC" w:cs="Songti SC"/>
                <w:color w:val="000000"/>
              </w:rPr>
              <w:t>经信局</w:t>
            </w:r>
            <w:r>
              <w:rPr>
                <w:rFonts w:hint="eastAsia" w:ascii="Songti SC" w:hAnsi="Songti SC" w:eastAsia="Songti SC" w:cs="Songti SC"/>
                <w:color w:val="000000"/>
                <w:lang w:val="en-US" w:eastAsia="zh-CN"/>
              </w:rPr>
              <w:t>的</w:t>
            </w:r>
            <w:r>
              <w:rPr>
                <w:rFonts w:ascii="Songti SC" w:hAnsi="Songti SC" w:eastAsia="Songti SC" w:cs="Songti SC"/>
                <w:color w:val="000000"/>
              </w:rPr>
              <w:t>消费机开展点位核验、参数配置、通信测试、交易确认、余额更新、离线记录同步和异常日志回传验证。</w:t>
            </w:r>
          </w:p>
        </w:tc>
        <w:tc>
          <w:tcPr>
            <w:tcW w:w="1158" w:type="pct"/>
            <w:shd w:val="clear" w:color="auto" w:fill="auto"/>
            <w:vAlign w:val="top"/>
          </w:tcPr>
          <w:p w14:paraId="17151AD4">
            <w:pPr>
              <w:ind w:firstLine="0" w:firstLineChars="0"/>
              <w:rPr>
                <w:rFonts w:hint="eastAsia" w:ascii="宋体" w:hAnsi="宋体" w:eastAsia="宋体" w:cs="宋体"/>
                <w:color w:val="000000"/>
                <w:kern w:val="2"/>
                <w:sz w:val="24"/>
                <w:szCs w:val="24"/>
                <w:lang w:val="en-US" w:eastAsia="zh-CN" w:bidi="ar-SA"/>
              </w:rPr>
            </w:pPr>
            <w:r>
              <w:rPr>
                <w:rFonts w:ascii="Songti SC" w:hAnsi="Songti SC" w:eastAsia="Songti SC" w:cs="Songti SC"/>
                <w:color w:val="000000"/>
              </w:rPr>
              <w:t>点位核验表、终端联调记录、现场问题闭环表</w:t>
            </w:r>
          </w:p>
        </w:tc>
      </w:tr>
      <w:tr w14:paraId="4359E81F">
        <w:tc>
          <w:tcPr>
            <w:tcW w:w="492" w:type="pct"/>
            <w:shd w:val="clear" w:color="auto" w:fill="auto"/>
            <w:vAlign w:val="top"/>
          </w:tcPr>
          <w:p w14:paraId="466CBB98">
            <w:pPr>
              <w:ind w:firstLine="0" w:firstLineChars="0"/>
              <w:jc w:val="center"/>
              <w:rPr>
                <w:rFonts w:hint="eastAsia" w:ascii="宋体" w:hAnsi="宋体" w:eastAsia="宋体" w:cs="宋体"/>
                <w:color w:val="000000"/>
                <w:kern w:val="2"/>
                <w:sz w:val="24"/>
                <w:szCs w:val="24"/>
                <w:lang w:val="en-US" w:eastAsia="zh-CN" w:bidi="ar-SA"/>
              </w:rPr>
            </w:pPr>
            <w:r>
              <w:rPr>
                <w:rFonts w:ascii="Songti SC" w:hAnsi="Songti SC" w:eastAsia="Songti SC" w:cs="Songti SC"/>
                <w:color w:val="000000"/>
              </w:rPr>
              <w:t>5</w:t>
            </w:r>
          </w:p>
        </w:tc>
        <w:tc>
          <w:tcPr>
            <w:tcW w:w="1128" w:type="pct"/>
            <w:shd w:val="clear" w:color="auto" w:fill="auto"/>
            <w:vAlign w:val="top"/>
          </w:tcPr>
          <w:p w14:paraId="196E12CE">
            <w:pPr>
              <w:ind w:firstLine="0" w:firstLineChars="0"/>
              <w:rPr>
                <w:rFonts w:hint="eastAsia" w:ascii="宋体" w:hAnsi="宋体" w:eastAsia="宋体" w:cs="宋体"/>
                <w:color w:val="000000"/>
                <w:kern w:val="2"/>
                <w:sz w:val="24"/>
                <w:szCs w:val="24"/>
                <w:lang w:val="en-US" w:eastAsia="zh-CN" w:bidi="ar-SA"/>
              </w:rPr>
            </w:pPr>
            <w:r>
              <w:rPr>
                <w:rFonts w:ascii="Songti SC" w:hAnsi="Songti SC" w:eastAsia="Songti SC" w:cs="Songti SC"/>
                <w:color w:val="000000"/>
              </w:rPr>
              <w:t>硬件功能适配与现场验证</w:t>
            </w:r>
          </w:p>
        </w:tc>
        <w:tc>
          <w:tcPr>
            <w:tcW w:w="1111" w:type="pct"/>
            <w:shd w:val="clear" w:color="auto" w:fill="auto"/>
            <w:vAlign w:val="top"/>
          </w:tcPr>
          <w:p w14:paraId="45DF39ED">
            <w:pPr>
              <w:ind w:firstLine="0" w:firstLineChars="0"/>
              <w:rPr>
                <w:rFonts w:hint="eastAsia"/>
                <w:color w:val="000000"/>
              </w:rPr>
            </w:pPr>
            <w:r>
              <w:rPr>
                <w:rFonts w:ascii="Songti SC" w:hAnsi="Songti SC" w:eastAsia="Songti SC" w:cs="Songti SC"/>
                <w:color w:val="000000"/>
              </w:rPr>
              <w:t>第2</w:t>
            </w:r>
            <w:r>
              <w:rPr>
                <w:rFonts w:hint="eastAsia" w:ascii="Songti SC" w:hAnsi="Songti SC" w:eastAsia="Songti SC" w:cs="Songti SC"/>
                <w:color w:val="000000"/>
                <w:lang w:val="en-US" w:eastAsia="zh-CN"/>
              </w:rPr>
              <w:t>8</w:t>
            </w:r>
            <w:r>
              <w:rPr>
                <w:rFonts w:ascii="Songti SC" w:hAnsi="Songti SC" w:eastAsia="Songti SC" w:cs="Songti SC"/>
                <w:color w:val="000000"/>
              </w:rPr>
              <w:t>-30天</w:t>
            </w:r>
          </w:p>
          <w:p w14:paraId="211094A9">
            <w:pPr>
              <w:ind w:firstLine="0" w:firstLineChars="0"/>
              <w:rPr>
                <w:rFonts w:hint="eastAsia" w:ascii="宋体" w:hAnsi="宋体" w:eastAsia="宋体" w:cs="宋体"/>
                <w:color w:val="000000"/>
                <w:kern w:val="2"/>
                <w:sz w:val="24"/>
                <w:szCs w:val="24"/>
                <w:lang w:val="en-US" w:eastAsia="zh-CN" w:bidi="ar-SA"/>
              </w:rPr>
            </w:pPr>
            <w:r>
              <w:rPr>
                <w:rFonts w:ascii="Songti SC" w:hAnsi="Songti SC" w:eastAsia="Songti SC" w:cs="Songti SC"/>
                <w:color w:val="000000"/>
              </w:rPr>
              <w:t>（穿插实施）</w:t>
            </w:r>
          </w:p>
        </w:tc>
        <w:tc>
          <w:tcPr>
            <w:tcW w:w="1110" w:type="pct"/>
            <w:shd w:val="clear" w:color="auto" w:fill="auto"/>
            <w:vAlign w:val="top"/>
          </w:tcPr>
          <w:p w14:paraId="1D2E7CC9">
            <w:pPr>
              <w:ind w:firstLine="0" w:firstLineChars="0"/>
              <w:rPr>
                <w:rFonts w:hint="eastAsia" w:ascii="宋体" w:hAnsi="宋体" w:eastAsia="宋体" w:cs="宋体"/>
                <w:color w:val="000000"/>
                <w:kern w:val="2"/>
                <w:sz w:val="24"/>
                <w:szCs w:val="24"/>
                <w:lang w:val="en-US" w:eastAsia="zh-CN" w:bidi="ar-SA"/>
              </w:rPr>
            </w:pPr>
            <w:r>
              <w:rPr>
                <w:rFonts w:ascii="Songti SC" w:hAnsi="Songti SC" w:eastAsia="Songti SC" w:cs="Songti SC"/>
                <w:color w:val="000000"/>
              </w:rPr>
              <w:t>对</w:t>
            </w:r>
            <w:r>
              <w:rPr>
                <w:rFonts w:hint="eastAsia" w:ascii="Songti SC" w:hAnsi="Songti SC" w:eastAsia="Songti SC" w:cs="Songti SC"/>
                <w:color w:val="000000"/>
              </w:rPr>
              <w:t>统战办公区</w:t>
            </w:r>
            <w:r>
              <w:rPr>
                <w:rFonts w:hint="eastAsia" w:ascii="Songti SC" w:hAnsi="Songti SC" w:eastAsia="Songti SC" w:cs="Songti SC"/>
                <w:color w:val="000000"/>
                <w:lang w:eastAsia="zh-CN"/>
              </w:rPr>
              <w:t>、</w:t>
            </w:r>
            <w:r>
              <w:rPr>
                <w:rFonts w:hint="eastAsia" w:ascii="Songti SC" w:hAnsi="Songti SC" w:eastAsia="Songti SC" w:cs="Songti SC"/>
                <w:color w:val="000000"/>
              </w:rPr>
              <w:t>生态环境局</w:t>
            </w:r>
            <w:r>
              <w:rPr>
                <w:rFonts w:hint="eastAsia" w:ascii="Songti SC" w:hAnsi="Songti SC" w:eastAsia="Songti SC" w:cs="Songti SC"/>
                <w:color w:val="000000"/>
                <w:lang w:eastAsia="zh-CN"/>
              </w:rPr>
              <w:t>、</w:t>
            </w:r>
            <w:r>
              <w:rPr>
                <w:rFonts w:hint="eastAsia" w:ascii="Songti SC" w:hAnsi="Songti SC" w:eastAsia="Songti SC" w:cs="Songti SC"/>
                <w:color w:val="000000"/>
              </w:rPr>
              <w:t>民政局</w:t>
            </w:r>
            <w:r>
              <w:rPr>
                <w:rFonts w:hint="eastAsia" w:ascii="Songti SC" w:hAnsi="Songti SC" w:eastAsia="Songti SC" w:cs="Songti SC"/>
                <w:color w:val="000000"/>
                <w:lang w:eastAsia="zh-CN"/>
              </w:rPr>
              <w:t>、</w:t>
            </w:r>
            <w:r>
              <w:rPr>
                <w:rFonts w:hint="eastAsia" w:ascii="Songti SC" w:hAnsi="Songti SC" w:eastAsia="Songti SC" w:cs="Songti SC"/>
                <w:color w:val="000000"/>
              </w:rPr>
              <w:t>区政协</w:t>
            </w:r>
            <w:r>
              <w:rPr>
                <w:rFonts w:hint="eastAsia" w:ascii="Songti SC" w:hAnsi="Songti SC" w:eastAsia="Songti SC" w:cs="Songti SC"/>
                <w:color w:val="000000"/>
                <w:lang w:eastAsia="zh-CN"/>
              </w:rPr>
              <w:t>、</w:t>
            </w:r>
            <w:r>
              <w:rPr>
                <w:rFonts w:hint="eastAsia" w:ascii="Songti SC" w:hAnsi="Songti SC" w:eastAsia="Songti SC" w:cs="Songti SC"/>
                <w:color w:val="000000"/>
              </w:rPr>
              <w:t>第八办公区</w:t>
            </w:r>
            <w:r>
              <w:rPr>
                <w:rFonts w:hint="eastAsia" w:ascii="Songti SC" w:hAnsi="Songti SC" w:eastAsia="Songti SC" w:cs="Songti SC"/>
                <w:color w:val="000000"/>
                <w:lang w:val="en-US" w:eastAsia="zh-CN"/>
              </w:rPr>
              <w:t>的</w:t>
            </w:r>
            <w:r>
              <w:rPr>
                <w:rFonts w:ascii="Songti SC" w:hAnsi="Songti SC" w:eastAsia="Songti SC" w:cs="Songti SC"/>
                <w:color w:val="000000"/>
              </w:rPr>
              <w:t>消费机开展点位核验、参数配置、通信测试、交易确认、余额更新、离线记录同步和异常日志回传验证。</w:t>
            </w:r>
          </w:p>
        </w:tc>
        <w:tc>
          <w:tcPr>
            <w:tcW w:w="1158" w:type="pct"/>
            <w:shd w:val="clear" w:color="auto" w:fill="auto"/>
            <w:vAlign w:val="top"/>
          </w:tcPr>
          <w:p w14:paraId="7A6E75AC">
            <w:pPr>
              <w:ind w:firstLine="0" w:firstLineChars="0"/>
              <w:rPr>
                <w:rFonts w:hint="eastAsia" w:ascii="宋体" w:hAnsi="宋体" w:eastAsia="宋体" w:cs="宋体"/>
                <w:color w:val="000000"/>
                <w:kern w:val="2"/>
                <w:sz w:val="24"/>
                <w:szCs w:val="24"/>
                <w:lang w:val="en-US" w:eastAsia="zh-CN" w:bidi="ar-SA"/>
              </w:rPr>
            </w:pPr>
            <w:r>
              <w:rPr>
                <w:rFonts w:ascii="Songti SC" w:hAnsi="Songti SC" w:eastAsia="Songti SC" w:cs="Songti SC"/>
                <w:color w:val="000000"/>
              </w:rPr>
              <w:t>点位核验表、终端联调记录、现场问题闭环表</w:t>
            </w:r>
          </w:p>
        </w:tc>
      </w:tr>
      <w:tr w14:paraId="724F0327">
        <w:tc>
          <w:tcPr>
            <w:tcW w:w="492" w:type="pct"/>
          </w:tcPr>
          <w:p w14:paraId="50ADDD7E">
            <w:pPr>
              <w:ind w:firstLine="0" w:firstLineChars="0"/>
              <w:jc w:val="center"/>
              <w:rPr>
                <w:rFonts w:hint="eastAsia"/>
                <w:color w:val="000000"/>
              </w:rPr>
            </w:pPr>
            <w:r>
              <w:rPr>
                <w:rFonts w:ascii="Songti SC" w:hAnsi="Songti SC" w:eastAsia="Songti SC" w:cs="Songti SC"/>
                <w:color w:val="000000"/>
              </w:rPr>
              <w:t>6</w:t>
            </w:r>
          </w:p>
        </w:tc>
        <w:tc>
          <w:tcPr>
            <w:tcW w:w="1128" w:type="pct"/>
          </w:tcPr>
          <w:p w14:paraId="39170CC8">
            <w:pPr>
              <w:ind w:firstLine="0" w:firstLineChars="0"/>
              <w:rPr>
                <w:rFonts w:hint="eastAsia"/>
                <w:color w:val="000000"/>
              </w:rPr>
            </w:pPr>
            <w:r>
              <w:rPr>
                <w:rFonts w:ascii="Songti SC" w:hAnsi="Songti SC" w:eastAsia="Songti SC" w:cs="Songti SC"/>
                <w:color w:val="000000"/>
              </w:rPr>
              <w:t>功能、性能、安全与兼容测试</w:t>
            </w:r>
          </w:p>
        </w:tc>
        <w:tc>
          <w:tcPr>
            <w:tcW w:w="1111" w:type="pct"/>
          </w:tcPr>
          <w:p w14:paraId="44521E9C">
            <w:pPr>
              <w:ind w:firstLine="0" w:firstLineChars="0"/>
              <w:rPr>
                <w:rFonts w:hint="eastAsia"/>
                <w:color w:val="000000"/>
              </w:rPr>
            </w:pPr>
            <w:r>
              <w:rPr>
                <w:rFonts w:ascii="Songti SC" w:hAnsi="Songti SC" w:eastAsia="Songti SC" w:cs="Songti SC"/>
                <w:color w:val="000000"/>
              </w:rPr>
              <w:t>第28-34天</w:t>
            </w:r>
          </w:p>
          <w:p w14:paraId="1D6D2B3A">
            <w:pPr>
              <w:ind w:firstLine="0" w:firstLineChars="0"/>
              <w:rPr>
                <w:rFonts w:hint="eastAsia"/>
                <w:color w:val="000000"/>
              </w:rPr>
            </w:pPr>
            <w:r>
              <w:rPr>
                <w:rFonts w:ascii="Songti SC" w:hAnsi="Songti SC" w:eastAsia="Songti SC" w:cs="Songti SC"/>
                <w:color w:val="000000"/>
              </w:rPr>
              <w:t>（7天）</w:t>
            </w:r>
          </w:p>
        </w:tc>
        <w:tc>
          <w:tcPr>
            <w:tcW w:w="1110" w:type="pct"/>
          </w:tcPr>
          <w:p w14:paraId="002020C6">
            <w:pPr>
              <w:ind w:firstLine="0" w:firstLineChars="0"/>
              <w:rPr>
                <w:rFonts w:hint="eastAsia"/>
                <w:color w:val="000000"/>
              </w:rPr>
            </w:pPr>
            <w:r>
              <w:rPr>
                <w:rFonts w:ascii="Songti SC" w:hAnsi="Songti SC" w:eastAsia="Songti SC" w:cs="Songti SC"/>
                <w:color w:val="000000"/>
              </w:rPr>
              <w:t>开展功能回归、浏览器和用户端兼容、消费机交易、接口对账、数据库主备切换、连接数、慢SQL、高峰交易压力和安全策略测试。</w:t>
            </w:r>
          </w:p>
        </w:tc>
        <w:tc>
          <w:tcPr>
            <w:tcW w:w="1158" w:type="pct"/>
          </w:tcPr>
          <w:p w14:paraId="6B95F117">
            <w:pPr>
              <w:ind w:firstLine="480"/>
              <w:rPr>
                <w:rFonts w:hint="eastAsia"/>
                <w:color w:val="000000"/>
              </w:rPr>
            </w:pPr>
            <w:r>
              <w:rPr>
                <w:rFonts w:ascii="Songti SC" w:hAnsi="Songti SC" w:eastAsia="Songti SC" w:cs="Songti SC"/>
                <w:color w:val="000000"/>
              </w:rPr>
              <w:t>测试报告、性能验证记录、安全检查记录</w:t>
            </w:r>
          </w:p>
        </w:tc>
      </w:tr>
      <w:tr w14:paraId="6FC3D229">
        <w:tc>
          <w:tcPr>
            <w:tcW w:w="492" w:type="pct"/>
          </w:tcPr>
          <w:p w14:paraId="5C38EAE0">
            <w:pPr>
              <w:ind w:firstLine="0" w:firstLineChars="0"/>
              <w:jc w:val="center"/>
              <w:rPr>
                <w:rFonts w:hint="eastAsia"/>
                <w:color w:val="000000"/>
              </w:rPr>
            </w:pPr>
            <w:r>
              <w:rPr>
                <w:rFonts w:ascii="Songti SC" w:hAnsi="Songti SC" w:eastAsia="Songti SC" w:cs="Songti SC"/>
                <w:color w:val="000000"/>
              </w:rPr>
              <w:t>7</w:t>
            </w:r>
          </w:p>
        </w:tc>
        <w:tc>
          <w:tcPr>
            <w:tcW w:w="1128" w:type="pct"/>
          </w:tcPr>
          <w:p w14:paraId="0E976905">
            <w:pPr>
              <w:ind w:firstLine="0" w:firstLineChars="0"/>
              <w:rPr>
                <w:rFonts w:hint="eastAsia"/>
                <w:color w:val="000000"/>
              </w:rPr>
            </w:pPr>
            <w:r>
              <w:rPr>
                <w:rFonts w:ascii="Songti SC" w:hAnsi="Songti SC" w:eastAsia="Songti SC" w:cs="Songti SC"/>
                <w:color w:val="000000"/>
              </w:rPr>
              <w:t>数据一致性验证与人员信息核验</w:t>
            </w:r>
          </w:p>
        </w:tc>
        <w:tc>
          <w:tcPr>
            <w:tcW w:w="1111" w:type="pct"/>
          </w:tcPr>
          <w:p w14:paraId="61A4AFE5">
            <w:pPr>
              <w:ind w:firstLine="0" w:firstLineChars="0"/>
              <w:rPr>
                <w:rFonts w:hint="eastAsia"/>
                <w:color w:val="000000"/>
              </w:rPr>
            </w:pPr>
            <w:r>
              <w:rPr>
                <w:rFonts w:ascii="Songti SC" w:hAnsi="Songti SC" w:eastAsia="Songti SC" w:cs="Songti SC"/>
                <w:color w:val="000000"/>
              </w:rPr>
              <w:t>第35-38天</w:t>
            </w:r>
          </w:p>
          <w:p w14:paraId="05FCBE2F">
            <w:pPr>
              <w:ind w:firstLine="0" w:firstLineChars="0"/>
              <w:rPr>
                <w:rFonts w:hint="eastAsia"/>
                <w:color w:val="000000"/>
              </w:rPr>
            </w:pPr>
            <w:r>
              <w:rPr>
                <w:rFonts w:ascii="Songti SC" w:hAnsi="Songti SC" w:eastAsia="Songti SC" w:cs="Songti SC"/>
                <w:color w:val="000000"/>
              </w:rPr>
              <w:t>（4天）</w:t>
            </w:r>
          </w:p>
        </w:tc>
        <w:tc>
          <w:tcPr>
            <w:tcW w:w="1110" w:type="pct"/>
          </w:tcPr>
          <w:p w14:paraId="4C18CA52">
            <w:pPr>
              <w:ind w:firstLine="0" w:firstLineChars="0"/>
              <w:rPr>
                <w:rFonts w:hint="eastAsia"/>
                <w:color w:val="000000"/>
              </w:rPr>
            </w:pPr>
            <w:r>
              <w:rPr>
                <w:rFonts w:ascii="Songti SC" w:hAnsi="Songti SC" w:eastAsia="Songti SC" w:cs="Songti SC"/>
                <w:color w:val="000000"/>
              </w:rPr>
              <w:t>核验人员、账户、菜品、菜单、订单、充值、消费、补贴、提现和权限等核心业务数据，校验记录数、金额字段、账户余额、交易流水和关联关系。</w:t>
            </w:r>
          </w:p>
        </w:tc>
        <w:tc>
          <w:tcPr>
            <w:tcW w:w="1158" w:type="pct"/>
          </w:tcPr>
          <w:p w14:paraId="6E167CEF">
            <w:pPr>
              <w:ind w:firstLine="0" w:firstLineChars="0"/>
              <w:rPr>
                <w:rFonts w:hint="eastAsia"/>
                <w:color w:val="000000"/>
              </w:rPr>
            </w:pPr>
            <w:r>
              <w:rPr>
                <w:rFonts w:ascii="Songti SC" w:hAnsi="Songti SC" w:eastAsia="Songti SC" w:cs="Songti SC"/>
                <w:color w:val="000000"/>
              </w:rPr>
              <w:t>数据校验记录、人员信息核验记录、差异处理清单</w:t>
            </w:r>
          </w:p>
        </w:tc>
      </w:tr>
      <w:tr w14:paraId="53654958">
        <w:tc>
          <w:tcPr>
            <w:tcW w:w="492" w:type="pct"/>
          </w:tcPr>
          <w:p w14:paraId="46625A1E">
            <w:pPr>
              <w:ind w:firstLine="0" w:firstLineChars="0"/>
              <w:jc w:val="center"/>
              <w:rPr>
                <w:rFonts w:hint="eastAsia"/>
                <w:color w:val="000000"/>
              </w:rPr>
            </w:pPr>
            <w:r>
              <w:rPr>
                <w:rFonts w:ascii="Songti SC" w:hAnsi="Songti SC" w:eastAsia="Songti SC" w:cs="Songti SC"/>
                <w:color w:val="000000"/>
              </w:rPr>
              <w:t>8</w:t>
            </w:r>
          </w:p>
        </w:tc>
        <w:tc>
          <w:tcPr>
            <w:tcW w:w="1128" w:type="pct"/>
          </w:tcPr>
          <w:p w14:paraId="4628080A">
            <w:pPr>
              <w:ind w:firstLine="0" w:firstLineChars="0"/>
              <w:rPr>
                <w:rFonts w:hint="eastAsia"/>
                <w:color w:val="000000"/>
              </w:rPr>
            </w:pPr>
            <w:r>
              <w:rPr>
                <w:rFonts w:ascii="Songti SC" w:hAnsi="Songti SC" w:eastAsia="Songti SC" w:cs="Songti SC"/>
                <w:color w:val="000000"/>
              </w:rPr>
              <w:t>系统切换与试运行</w:t>
            </w:r>
          </w:p>
        </w:tc>
        <w:tc>
          <w:tcPr>
            <w:tcW w:w="1111" w:type="pct"/>
          </w:tcPr>
          <w:p w14:paraId="08C94AFE">
            <w:pPr>
              <w:ind w:firstLine="0" w:firstLineChars="0"/>
              <w:rPr>
                <w:rFonts w:hint="eastAsia"/>
                <w:color w:val="000000"/>
              </w:rPr>
            </w:pPr>
            <w:r>
              <w:rPr>
                <w:rFonts w:ascii="Songti SC" w:hAnsi="Songti SC" w:eastAsia="Songti SC" w:cs="Songti SC"/>
                <w:color w:val="000000"/>
              </w:rPr>
              <w:t>第39-43天</w:t>
            </w:r>
          </w:p>
          <w:p w14:paraId="2D4EA035">
            <w:pPr>
              <w:ind w:firstLine="0" w:firstLineChars="0"/>
              <w:rPr>
                <w:rFonts w:hint="eastAsia"/>
                <w:color w:val="000000"/>
              </w:rPr>
            </w:pPr>
            <w:r>
              <w:rPr>
                <w:rFonts w:ascii="Songti SC" w:hAnsi="Songti SC" w:eastAsia="Songti SC" w:cs="Songti SC"/>
                <w:color w:val="000000"/>
              </w:rPr>
              <w:t>（5天）</w:t>
            </w:r>
          </w:p>
        </w:tc>
        <w:tc>
          <w:tcPr>
            <w:tcW w:w="1110" w:type="pct"/>
          </w:tcPr>
          <w:p w14:paraId="3C64D1FE">
            <w:pPr>
              <w:ind w:firstLine="0" w:firstLineChars="0"/>
              <w:rPr>
                <w:rFonts w:hint="eastAsia"/>
                <w:color w:val="000000"/>
              </w:rPr>
            </w:pPr>
            <w:r>
              <w:rPr>
                <w:rFonts w:ascii="Songti SC" w:hAnsi="Songti SC" w:eastAsia="Songti SC" w:cs="Songti SC"/>
                <w:color w:val="000000"/>
              </w:rPr>
              <w:t>按切换方案执行正式切换、应用切换、接口验证、终端验证和试运行监控，及时处理发现的问题。</w:t>
            </w:r>
          </w:p>
        </w:tc>
        <w:tc>
          <w:tcPr>
            <w:tcW w:w="1158" w:type="pct"/>
          </w:tcPr>
          <w:p w14:paraId="02D8D4B8">
            <w:pPr>
              <w:ind w:firstLine="0" w:firstLineChars="0"/>
              <w:rPr>
                <w:rFonts w:hint="eastAsia"/>
                <w:color w:val="000000"/>
              </w:rPr>
            </w:pPr>
            <w:r>
              <w:rPr>
                <w:rFonts w:ascii="Songti SC" w:hAnsi="Songti SC" w:eastAsia="Songti SC" w:cs="Songti SC"/>
                <w:color w:val="000000"/>
              </w:rPr>
              <w:t>切换记录、试运行记录、问题闭环表</w:t>
            </w:r>
          </w:p>
        </w:tc>
      </w:tr>
      <w:tr w14:paraId="47D4BEBB">
        <w:tc>
          <w:tcPr>
            <w:tcW w:w="492" w:type="pct"/>
          </w:tcPr>
          <w:p w14:paraId="6FBB9F24">
            <w:pPr>
              <w:ind w:firstLine="0" w:firstLineChars="0"/>
              <w:jc w:val="center"/>
              <w:rPr>
                <w:rFonts w:hint="eastAsia"/>
                <w:color w:val="000000"/>
              </w:rPr>
            </w:pPr>
            <w:r>
              <w:rPr>
                <w:rFonts w:ascii="Songti SC" w:hAnsi="Songti SC" w:eastAsia="Songti SC" w:cs="Songti SC"/>
                <w:color w:val="000000"/>
              </w:rPr>
              <w:t>9</w:t>
            </w:r>
          </w:p>
        </w:tc>
        <w:tc>
          <w:tcPr>
            <w:tcW w:w="1128" w:type="pct"/>
          </w:tcPr>
          <w:p w14:paraId="0BD527AF">
            <w:pPr>
              <w:ind w:firstLine="0" w:firstLineChars="0"/>
              <w:rPr>
                <w:rFonts w:hint="eastAsia"/>
                <w:color w:val="000000"/>
              </w:rPr>
            </w:pPr>
            <w:r>
              <w:rPr>
                <w:rFonts w:ascii="Songti SC" w:hAnsi="Songti SC" w:eastAsia="Songti SC" w:cs="Songti SC"/>
                <w:color w:val="000000"/>
              </w:rPr>
              <w:t>验收准备与项目收尾</w:t>
            </w:r>
          </w:p>
        </w:tc>
        <w:tc>
          <w:tcPr>
            <w:tcW w:w="1111" w:type="pct"/>
          </w:tcPr>
          <w:p w14:paraId="0B6024F1">
            <w:pPr>
              <w:ind w:firstLine="0" w:firstLineChars="0"/>
              <w:rPr>
                <w:rFonts w:hint="eastAsia"/>
                <w:color w:val="000000"/>
              </w:rPr>
            </w:pPr>
            <w:r>
              <w:rPr>
                <w:rFonts w:ascii="Songti SC" w:hAnsi="Songti SC" w:eastAsia="Songti SC" w:cs="Songti SC"/>
                <w:color w:val="000000"/>
              </w:rPr>
              <w:t>第44-45天（2天）</w:t>
            </w:r>
          </w:p>
        </w:tc>
        <w:tc>
          <w:tcPr>
            <w:tcW w:w="1110" w:type="pct"/>
          </w:tcPr>
          <w:p w14:paraId="0275E628">
            <w:pPr>
              <w:ind w:firstLine="0" w:firstLineChars="0"/>
              <w:rPr>
                <w:rFonts w:hint="eastAsia"/>
                <w:color w:val="000000"/>
              </w:rPr>
            </w:pPr>
            <w:r>
              <w:rPr>
                <w:rFonts w:ascii="Songti SC" w:hAnsi="Songti SC" w:eastAsia="Songti SC" w:cs="Songti SC"/>
                <w:color w:val="000000"/>
              </w:rPr>
              <w:t>整理部署文档、适配说明、数据校验记录、测试报告、培训材料、</w:t>
            </w:r>
            <w:r>
              <w:rPr>
                <w:rFonts w:hint="eastAsia" w:ascii="Songti SC" w:hAnsi="Songti SC" w:eastAsia="Songti SC" w:cs="Songti SC"/>
                <w:color w:val="000000"/>
              </w:rPr>
              <w:t>网络安全等级保护测评</w:t>
            </w:r>
            <w:r>
              <w:rPr>
                <w:rFonts w:ascii="Songti SC" w:hAnsi="Songti SC" w:eastAsia="Songti SC" w:cs="Songti SC"/>
                <w:color w:val="000000"/>
              </w:rPr>
              <w:t>和商用密码应用安全性评估支撑材料，完成验收准备。</w:t>
            </w:r>
          </w:p>
        </w:tc>
        <w:tc>
          <w:tcPr>
            <w:tcW w:w="1158" w:type="pct"/>
          </w:tcPr>
          <w:p w14:paraId="000B2D47">
            <w:pPr>
              <w:ind w:firstLine="0" w:firstLineChars="0"/>
              <w:rPr>
                <w:rFonts w:hint="eastAsia"/>
                <w:color w:val="000000"/>
              </w:rPr>
            </w:pPr>
            <w:r>
              <w:rPr>
                <w:rFonts w:ascii="Songti SC" w:hAnsi="Songti SC" w:eastAsia="Songti SC" w:cs="Songti SC"/>
                <w:color w:val="000000"/>
              </w:rPr>
              <w:t>验收资料、培训材料、归档清单</w:t>
            </w:r>
          </w:p>
        </w:tc>
      </w:tr>
    </w:tbl>
    <w:p w14:paraId="4D1681D0">
      <w:pPr>
        <w:ind w:firstLine="480"/>
        <w:rPr>
          <w:rFonts w:hint="eastAsia"/>
          <w:color w:val="000000"/>
        </w:rPr>
      </w:pPr>
    </w:p>
    <w:p w14:paraId="44F8F9F3">
      <w:pPr>
        <w:ind w:firstLine="480"/>
        <w:rPr>
          <w:rFonts w:hint="eastAsia"/>
          <w:color w:val="000000"/>
        </w:rPr>
      </w:pPr>
    </w:p>
    <w:p w14:paraId="1E99A7F6">
      <w:pPr>
        <w:ind w:firstLine="480"/>
        <w:rPr>
          <w:rFonts w:hint="eastAsia"/>
          <w:color w:val="000000"/>
        </w:rPr>
      </w:pPr>
    </w:p>
    <w:p w14:paraId="07CD4331">
      <w:pPr>
        <w:ind w:firstLine="480"/>
        <w:rPr>
          <w:rFonts w:hint="eastAsia"/>
          <w:color w:val="000000"/>
        </w:rPr>
      </w:pPr>
      <w:r>
        <w:rPr>
          <w:rFonts w:hint="eastAsia" w:ascii="Songti SC" w:hAnsi="Songti SC" w:eastAsia="Songti SC" w:cs="Songti SC"/>
          <w:color w:val="000000"/>
        </w:rPr>
        <w:br w:type="page"/>
      </w:r>
    </w:p>
    <w:p w14:paraId="68975277">
      <w:pPr>
        <w:pStyle w:val="2"/>
        <w:rPr>
          <w:rFonts w:hint="eastAsia"/>
          <w:color w:val="000000"/>
        </w:rPr>
      </w:pPr>
      <w:bookmarkStart w:id="781" w:name="_Toc259694547"/>
      <w:bookmarkStart w:id="782" w:name="_Toc1298404206"/>
      <w:bookmarkStart w:id="783" w:name="_Toc259782117"/>
      <w:bookmarkStart w:id="784" w:name="_Toc66881496"/>
      <w:bookmarkStart w:id="785" w:name="_Toc22612"/>
      <w:bookmarkStart w:id="786" w:name="_Toc105873477"/>
      <w:bookmarkStart w:id="787" w:name="_Toc271804426"/>
      <w:bookmarkStart w:id="788" w:name="_Toc548772217"/>
      <w:r>
        <w:rPr>
          <w:rFonts w:hint="eastAsia" w:ascii="Songti SC" w:hAnsi="Songti SC" w:eastAsia="Songti SC" w:cs="Songti SC"/>
          <w:color w:val="000000"/>
        </w:rPr>
        <w:t>投资概算及资金来源</w:t>
      </w:r>
      <w:bookmarkEnd w:id="781"/>
      <w:bookmarkEnd w:id="782"/>
      <w:bookmarkEnd w:id="783"/>
      <w:bookmarkEnd w:id="784"/>
      <w:bookmarkEnd w:id="785"/>
      <w:bookmarkEnd w:id="786"/>
      <w:bookmarkEnd w:id="787"/>
      <w:bookmarkEnd w:id="788"/>
    </w:p>
    <w:p w14:paraId="10438AC1">
      <w:pPr>
        <w:pStyle w:val="3"/>
        <w:rPr>
          <w:rFonts w:hint="eastAsia"/>
          <w:color w:val="000000"/>
        </w:rPr>
      </w:pPr>
      <w:bookmarkStart w:id="789" w:name="_Toc259782118"/>
      <w:bookmarkStart w:id="790" w:name="_Toc66881497"/>
      <w:bookmarkStart w:id="791" w:name="_Toc245968973"/>
      <w:bookmarkStart w:id="792" w:name="_Toc1698153075"/>
      <w:bookmarkStart w:id="793" w:name="_Toc1299068223"/>
      <w:bookmarkStart w:id="794" w:name="_Toc259694548"/>
      <w:bookmarkStart w:id="795" w:name="_Toc17098"/>
      <w:bookmarkStart w:id="796" w:name="_Toc271804427"/>
      <w:bookmarkStart w:id="797" w:name="_Toc1919870901"/>
      <w:r>
        <w:rPr>
          <w:rFonts w:ascii="Songti SC" w:hAnsi="Songti SC" w:eastAsia="Songti SC" w:cs="Songti SC"/>
          <w:color w:val="000000"/>
        </w:rPr>
        <w:t>投资概算编制说明</w:t>
      </w:r>
      <w:bookmarkEnd w:id="789"/>
      <w:bookmarkEnd w:id="790"/>
      <w:bookmarkEnd w:id="791"/>
      <w:bookmarkEnd w:id="792"/>
      <w:bookmarkEnd w:id="793"/>
      <w:bookmarkEnd w:id="794"/>
      <w:bookmarkEnd w:id="795"/>
      <w:bookmarkEnd w:id="796"/>
      <w:bookmarkEnd w:id="797"/>
    </w:p>
    <w:p w14:paraId="0A2EDAB2">
      <w:pPr>
        <w:ind w:firstLine="480"/>
        <w:rPr>
          <w:rFonts w:hint="eastAsia"/>
          <w:color w:val="000000"/>
        </w:rPr>
      </w:pPr>
      <w:r>
        <w:rPr>
          <w:rFonts w:hint="eastAsia" w:ascii="Songti SC" w:hAnsi="Songti SC" w:eastAsia="Songti SC" w:cs="Songti SC"/>
          <w:color w:val="000000"/>
        </w:rPr>
        <w:t>网络安全等级保护测评费用、商用密码应用安全性评估及相关整改验证费用应作为工程建设其他费或配套安全服务费用单独列示，避免与应用开发、目标国产基础软件兼容适配费用混同。</w:t>
      </w:r>
    </w:p>
    <w:p w14:paraId="42888434">
      <w:pPr>
        <w:ind w:firstLine="480"/>
        <w:rPr>
          <w:rFonts w:hint="eastAsia"/>
          <w:color w:val="000000"/>
        </w:rPr>
      </w:pPr>
      <w:r>
        <w:rPr>
          <w:rFonts w:hint="eastAsia" w:ascii="Songti SC" w:hAnsi="Songti SC" w:eastAsia="Songti SC" w:cs="Songti SC"/>
          <w:color w:val="000000"/>
        </w:rPr>
        <w:t>1、应用开发工作量的估算主要参考历史同类项目估算，应用开发等工作的人工费用标准，参考当前市场情况，根据职责不同，按市场标准估算。</w:t>
      </w:r>
    </w:p>
    <w:p w14:paraId="0A4498CF">
      <w:pPr>
        <w:ind w:firstLine="480"/>
        <w:rPr>
          <w:rFonts w:hint="eastAsia"/>
          <w:color w:val="000000"/>
        </w:rPr>
      </w:pPr>
      <w:r>
        <w:rPr>
          <w:rFonts w:hint="eastAsia" w:ascii="Songti SC" w:hAnsi="Songti SC" w:eastAsia="Songti SC" w:cs="Songti SC"/>
          <w:color w:val="000000"/>
        </w:rPr>
        <w:t>2、设备及系统软件价格按合同价计取；</w:t>
      </w:r>
    </w:p>
    <w:p w14:paraId="04A6EF7B">
      <w:pPr>
        <w:ind w:firstLine="480"/>
        <w:rPr>
          <w:rFonts w:hint="eastAsia"/>
          <w:color w:val="000000"/>
        </w:rPr>
      </w:pPr>
      <w:r>
        <w:rPr>
          <w:rFonts w:ascii="Songti SC" w:hAnsi="Songti SC" w:eastAsia="Songti SC" w:cs="Songti SC"/>
          <w:color w:val="000000"/>
        </w:rPr>
        <w:t>3、</w:t>
      </w:r>
      <w:r>
        <w:rPr>
          <w:rFonts w:hint="eastAsia" w:ascii="Songti SC" w:hAnsi="Songti SC" w:eastAsia="Songti SC" w:cs="Songti SC"/>
          <w:color w:val="000000"/>
        </w:rPr>
        <w:t>网络安全等级保护</w:t>
      </w:r>
      <w:r>
        <w:rPr>
          <w:rFonts w:ascii="Songti SC" w:hAnsi="Songti SC" w:eastAsia="Songti SC" w:cs="Songti SC"/>
          <w:color w:val="000000"/>
        </w:rPr>
        <w:t>测评、商用密码应用安全性评估服务按照行业计算标准予以申报。</w:t>
      </w:r>
    </w:p>
    <w:p w14:paraId="133DF097">
      <w:pPr>
        <w:pStyle w:val="3"/>
        <w:rPr>
          <w:rFonts w:hint="eastAsia"/>
          <w:color w:val="000000"/>
        </w:rPr>
      </w:pPr>
      <w:bookmarkStart w:id="798" w:name="_Toc259694549"/>
      <w:bookmarkStart w:id="799" w:name="_Toc801062895"/>
      <w:bookmarkStart w:id="800" w:name="_Toc245968974"/>
      <w:bookmarkStart w:id="801" w:name="_Toc271804428"/>
      <w:bookmarkStart w:id="802" w:name="_Toc259782119"/>
      <w:bookmarkStart w:id="803" w:name="_Toc66881498"/>
      <w:bookmarkStart w:id="804" w:name="_Toc1328436932"/>
      <w:bookmarkStart w:id="805" w:name="_Toc14169"/>
      <w:bookmarkStart w:id="806" w:name="_Toc2120868559"/>
      <w:r>
        <w:rPr>
          <w:rFonts w:hint="eastAsia" w:ascii="Songti SC" w:hAnsi="Songti SC" w:eastAsia="Songti SC" w:cs="Songti SC"/>
          <w:color w:val="000000"/>
          <w:lang w:eastAsia="zh-CN"/>
        </w:rPr>
        <w:t>本项目投资概算</w:t>
      </w:r>
      <w:bookmarkEnd w:id="798"/>
      <w:bookmarkEnd w:id="799"/>
      <w:bookmarkEnd w:id="800"/>
      <w:bookmarkEnd w:id="801"/>
      <w:bookmarkEnd w:id="802"/>
      <w:bookmarkEnd w:id="803"/>
      <w:bookmarkEnd w:id="804"/>
      <w:bookmarkEnd w:id="805"/>
      <w:bookmarkEnd w:id="806"/>
    </w:p>
    <w:p w14:paraId="4A439F74">
      <w:pPr>
        <w:pStyle w:val="4"/>
        <w:rPr>
          <w:rFonts w:hint="eastAsia"/>
          <w:color w:val="000000"/>
        </w:rPr>
      </w:pPr>
      <w:bookmarkStart w:id="807" w:name="_Toc889093222"/>
      <w:bookmarkStart w:id="808" w:name="_Toc1504298207"/>
      <w:bookmarkStart w:id="809" w:name="_Toc1799521912"/>
      <w:r>
        <w:rPr>
          <w:rFonts w:hint="eastAsia" w:ascii="Songti SC" w:hAnsi="Songti SC" w:eastAsia="Songti SC" w:cs="Songti SC"/>
          <w:color w:val="000000"/>
        </w:rPr>
        <w:t>总投资概算</w:t>
      </w:r>
      <w:bookmarkEnd w:id="807"/>
      <w:bookmarkEnd w:id="808"/>
      <w:bookmarkEnd w:id="809"/>
    </w:p>
    <w:p w14:paraId="1F4913BD">
      <w:pPr>
        <w:ind w:firstLine="480"/>
        <w:rPr>
          <w:rFonts w:hint="eastAsia"/>
          <w:color w:val="000000"/>
        </w:rPr>
      </w:pPr>
      <w:r>
        <w:rPr>
          <w:rFonts w:hint="eastAsia" w:ascii="Songti SC" w:hAnsi="Songti SC" w:eastAsia="Songti SC" w:cs="Songti SC"/>
          <w:color w:val="000000"/>
        </w:rPr>
        <w:t>本项目投资概算为106.13万元，其中工程费87.13万元，工程建设其他费为19万元，项目拟申请区级财政资金解决。投资概算见下表：</w:t>
      </w:r>
    </w:p>
    <w:p w14:paraId="5186F108">
      <w:pPr>
        <w:pStyle w:val="14"/>
        <w:keepNext/>
        <w:spacing w:line="360" w:lineRule="auto"/>
        <w:rPr>
          <w:rFonts w:hint="eastAsia" w:cs="宋体"/>
          <w:color w:val="000000"/>
          <w:szCs w:val="21"/>
        </w:rPr>
      </w:pPr>
      <w:r>
        <w:rPr>
          <w:rFonts w:ascii="Songti SC" w:hAnsi="Songti SC" w:eastAsia="Songti SC" w:cs="Songti SC"/>
          <w:color w:val="000000"/>
          <w:szCs w:val="21"/>
        </w:rPr>
        <w:t>表</w:t>
      </w:r>
      <w:r>
        <w:rPr>
          <w:rFonts w:ascii="Songti SC" w:hAnsi="Songti SC" w:eastAsia="Songti SC" w:cs="Songti SC"/>
          <w:color w:val="000000"/>
          <w:szCs w:val="21"/>
        </w:rPr>
        <w:fldChar w:fldCharType="begin"/>
      </w:r>
      <w:r>
        <w:rPr>
          <w:rFonts w:ascii="Songti SC" w:hAnsi="Songti SC" w:eastAsia="Songti SC" w:cs="Songti SC"/>
          <w:color w:val="000000"/>
          <w:szCs w:val="21"/>
        </w:rPr>
        <w:instrText xml:space="preserve"> STYLEREF 1 \s </w:instrText>
      </w:r>
      <w:r>
        <w:rPr>
          <w:rFonts w:ascii="Songti SC" w:hAnsi="Songti SC" w:eastAsia="Songti SC" w:cs="Songti SC"/>
          <w:color w:val="000000"/>
          <w:szCs w:val="21"/>
        </w:rPr>
        <w:fldChar w:fldCharType="separate"/>
      </w:r>
      <w:r>
        <w:rPr>
          <w:rFonts w:ascii="Songti SC" w:hAnsi="Songti SC" w:eastAsia="Songti SC" w:cs="Songti SC"/>
          <w:color w:val="000000"/>
          <w:szCs w:val="21"/>
        </w:rPr>
        <w:t>11</w:t>
      </w:r>
      <w:r>
        <w:rPr>
          <w:rFonts w:ascii="Songti SC" w:hAnsi="Songti SC" w:eastAsia="Songti SC" w:cs="Songti SC"/>
          <w:color w:val="000000"/>
          <w:szCs w:val="21"/>
        </w:rPr>
        <w:fldChar w:fldCharType="end"/>
      </w:r>
      <w:r>
        <w:rPr>
          <w:rFonts w:ascii="Songti SC" w:hAnsi="Songti SC" w:eastAsia="Songti SC" w:cs="Songti SC"/>
          <w:color w:val="000000"/>
          <w:szCs w:val="21"/>
        </w:rPr>
        <w:t>.</w:t>
      </w:r>
      <w:r>
        <w:rPr>
          <w:rFonts w:ascii="Songti SC" w:hAnsi="Songti SC" w:eastAsia="Songti SC" w:cs="Songti SC"/>
          <w:color w:val="000000"/>
          <w:szCs w:val="21"/>
        </w:rPr>
        <w:fldChar w:fldCharType="begin"/>
      </w:r>
      <w:r>
        <w:rPr>
          <w:rFonts w:ascii="Songti SC" w:hAnsi="Songti SC" w:eastAsia="Songti SC" w:cs="Songti SC"/>
          <w:color w:val="000000"/>
          <w:szCs w:val="21"/>
        </w:rPr>
        <w:instrText xml:space="preserve"> SEQ 表 \* ARABIC \s 1 </w:instrText>
      </w:r>
      <w:r>
        <w:rPr>
          <w:rFonts w:ascii="Songti SC" w:hAnsi="Songti SC" w:eastAsia="Songti SC" w:cs="Songti SC"/>
          <w:color w:val="000000"/>
          <w:szCs w:val="21"/>
        </w:rPr>
        <w:fldChar w:fldCharType="separate"/>
      </w:r>
      <w:r>
        <w:rPr>
          <w:rFonts w:ascii="Songti SC" w:hAnsi="Songti SC" w:eastAsia="Songti SC" w:cs="Songti SC"/>
          <w:color w:val="000000"/>
          <w:szCs w:val="21"/>
        </w:rPr>
        <w:t>1</w:t>
      </w:r>
      <w:r>
        <w:rPr>
          <w:rFonts w:ascii="Songti SC" w:hAnsi="Songti SC" w:eastAsia="Songti SC" w:cs="Songti SC"/>
          <w:color w:val="000000"/>
          <w:szCs w:val="21"/>
        </w:rPr>
        <w:fldChar w:fldCharType="end"/>
      </w:r>
      <w:r>
        <w:rPr>
          <w:rFonts w:ascii="Songti SC" w:hAnsi="Songti SC" w:eastAsia="Songti SC" w:cs="Songti SC"/>
          <w:color w:val="000000"/>
          <w:szCs w:val="21"/>
        </w:rPr>
        <w:t>投资概算总表</w:t>
      </w:r>
    </w:p>
    <w:p w14:paraId="40D9A2A9">
      <w:pPr>
        <w:ind w:firstLine="0" w:firstLineChars="0"/>
        <w:jc w:val="right"/>
        <w:rPr>
          <w:rFonts w:hint="eastAsia"/>
          <w:b/>
          <w:bCs/>
          <w:color w:val="000000"/>
          <w:sz w:val="21"/>
          <w:szCs w:val="21"/>
        </w:rPr>
      </w:pPr>
      <w:r>
        <w:rPr>
          <w:rFonts w:hint="eastAsia" w:ascii="Songti SC" w:hAnsi="Songti SC" w:eastAsia="Songti SC" w:cs="Songti SC"/>
          <w:b/>
          <w:bCs/>
          <w:color w:val="000000"/>
          <w:sz w:val="21"/>
          <w:szCs w:val="21"/>
        </w:rPr>
        <w:t>单位：万元</w:t>
      </w:r>
    </w:p>
    <w:tbl>
      <w:tblPr>
        <w:tblStyle w:val="60"/>
        <w:tblW w:w="5000" w:type="pct"/>
        <w:tblInd w:w="0" w:type="dxa"/>
        <w:tblLayout w:type="autofit"/>
        <w:tblCellMar>
          <w:top w:w="0" w:type="dxa"/>
          <w:left w:w="108" w:type="dxa"/>
          <w:bottom w:w="0" w:type="dxa"/>
          <w:right w:w="108" w:type="dxa"/>
        </w:tblCellMar>
      </w:tblPr>
      <w:tblGrid>
        <w:gridCol w:w="961"/>
        <w:gridCol w:w="2966"/>
        <w:gridCol w:w="1602"/>
        <w:gridCol w:w="1311"/>
        <w:gridCol w:w="1682"/>
      </w:tblGrid>
      <w:tr w14:paraId="583AC54F">
        <w:trPr>
          <w:trHeight w:val="580" w:hRule="atLeast"/>
        </w:trPr>
        <w:tc>
          <w:tcPr>
            <w:tcW w:w="564" w:type="pct"/>
            <w:tcBorders>
              <w:top w:val="single" w:color="auto" w:sz="4" w:space="0"/>
              <w:left w:val="single" w:color="auto" w:sz="4" w:space="0"/>
              <w:bottom w:val="single" w:color="auto" w:sz="4" w:space="0"/>
              <w:right w:val="single" w:color="auto" w:sz="4" w:space="0"/>
            </w:tcBorders>
            <w:vAlign w:val="center"/>
          </w:tcPr>
          <w:p w14:paraId="3472DF2D">
            <w:pPr>
              <w:widowControl/>
              <w:spacing w:line="240" w:lineRule="auto"/>
              <w:ind w:firstLine="0" w:firstLineChars="0"/>
              <w:jc w:val="center"/>
              <w:rPr>
                <w:rFonts w:hint="eastAsia"/>
                <w:b/>
                <w:bCs/>
                <w:color w:val="000000"/>
                <w:kern w:val="0"/>
                <w:sz w:val="21"/>
                <w:szCs w:val="21"/>
              </w:rPr>
            </w:pPr>
            <w:r>
              <w:rPr>
                <w:rFonts w:ascii="Songti SC" w:hAnsi="Songti SC" w:eastAsia="Songti SC" w:cs="Songti SC"/>
                <w:b/>
                <w:color w:val="000000"/>
                <w:sz w:val="21"/>
                <w:szCs w:val="21"/>
              </w:rPr>
              <w:t>序号</w:t>
            </w:r>
          </w:p>
        </w:tc>
        <w:tc>
          <w:tcPr>
            <w:tcW w:w="1740" w:type="pct"/>
            <w:tcBorders>
              <w:top w:val="single" w:color="auto" w:sz="4" w:space="0"/>
              <w:left w:val="nil"/>
              <w:bottom w:val="single" w:color="auto" w:sz="4" w:space="0"/>
              <w:right w:val="single" w:color="auto" w:sz="4" w:space="0"/>
            </w:tcBorders>
            <w:vAlign w:val="center"/>
          </w:tcPr>
          <w:p w14:paraId="35E88010">
            <w:pPr>
              <w:widowControl/>
              <w:spacing w:line="240" w:lineRule="auto"/>
              <w:ind w:firstLine="0" w:firstLineChars="0"/>
              <w:jc w:val="left"/>
              <w:rPr>
                <w:rFonts w:hint="eastAsia"/>
                <w:b/>
                <w:bCs/>
                <w:color w:val="000000"/>
                <w:kern w:val="0"/>
                <w:sz w:val="21"/>
                <w:szCs w:val="21"/>
              </w:rPr>
            </w:pPr>
            <w:r>
              <w:rPr>
                <w:rFonts w:ascii="Songti SC" w:hAnsi="Songti SC" w:eastAsia="Songti SC" w:cs="Songti SC"/>
                <w:b/>
                <w:color w:val="000000"/>
                <w:sz w:val="21"/>
                <w:szCs w:val="21"/>
              </w:rPr>
              <w:t>建设内容</w:t>
            </w:r>
          </w:p>
        </w:tc>
        <w:tc>
          <w:tcPr>
            <w:tcW w:w="940" w:type="pct"/>
            <w:tcBorders>
              <w:top w:val="single" w:color="auto" w:sz="4" w:space="0"/>
              <w:left w:val="nil"/>
              <w:bottom w:val="single" w:color="auto" w:sz="4" w:space="0"/>
              <w:right w:val="single" w:color="auto" w:sz="4" w:space="0"/>
            </w:tcBorders>
            <w:vAlign w:val="center"/>
          </w:tcPr>
          <w:p w14:paraId="3385C0ED">
            <w:pPr>
              <w:widowControl/>
              <w:spacing w:line="240" w:lineRule="auto"/>
              <w:ind w:firstLine="0" w:firstLineChars="0"/>
              <w:jc w:val="center"/>
              <w:rPr>
                <w:rFonts w:hint="eastAsia"/>
                <w:b/>
                <w:bCs/>
                <w:color w:val="000000"/>
                <w:kern w:val="0"/>
                <w:sz w:val="21"/>
                <w:szCs w:val="21"/>
              </w:rPr>
            </w:pPr>
            <w:r>
              <w:rPr>
                <w:rFonts w:hint="eastAsia" w:ascii="Songti SC" w:hAnsi="Songti SC" w:eastAsia="Songti SC" w:cs="Songti SC"/>
                <w:b/>
                <w:bCs/>
                <w:color w:val="000000"/>
                <w:sz w:val="21"/>
                <w:szCs w:val="21"/>
              </w:rPr>
              <w:t>投资费用</w:t>
            </w:r>
          </w:p>
        </w:tc>
        <w:tc>
          <w:tcPr>
            <w:tcW w:w="769" w:type="pct"/>
            <w:tcBorders>
              <w:top w:val="single" w:color="auto" w:sz="4" w:space="0"/>
              <w:left w:val="nil"/>
              <w:bottom w:val="single" w:color="auto" w:sz="4" w:space="0"/>
              <w:right w:val="single" w:color="auto" w:sz="4" w:space="0"/>
            </w:tcBorders>
            <w:vAlign w:val="center"/>
          </w:tcPr>
          <w:p w14:paraId="2D471925">
            <w:pPr>
              <w:widowControl/>
              <w:spacing w:line="240" w:lineRule="auto"/>
              <w:ind w:firstLine="0" w:firstLineChars="0"/>
              <w:jc w:val="center"/>
              <w:rPr>
                <w:rFonts w:hint="eastAsia"/>
                <w:b/>
                <w:bCs/>
                <w:color w:val="000000"/>
                <w:kern w:val="0"/>
                <w:sz w:val="21"/>
                <w:szCs w:val="21"/>
              </w:rPr>
            </w:pPr>
            <w:r>
              <w:rPr>
                <w:rFonts w:ascii="Songti SC" w:hAnsi="Songti SC" w:eastAsia="Songti SC" w:cs="Songti SC"/>
                <w:b/>
                <w:color w:val="000000"/>
                <w:sz w:val="21"/>
                <w:szCs w:val="21"/>
              </w:rPr>
              <w:t>所占比例</w:t>
            </w:r>
          </w:p>
        </w:tc>
        <w:tc>
          <w:tcPr>
            <w:tcW w:w="987" w:type="pct"/>
            <w:tcBorders>
              <w:top w:val="single" w:color="auto" w:sz="4" w:space="0"/>
              <w:left w:val="nil"/>
              <w:bottom w:val="single" w:color="auto" w:sz="4" w:space="0"/>
              <w:right w:val="single" w:color="auto" w:sz="4" w:space="0"/>
            </w:tcBorders>
            <w:vAlign w:val="center"/>
          </w:tcPr>
          <w:p w14:paraId="1B9C5A24">
            <w:pPr>
              <w:widowControl/>
              <w:spacing w:line="240" w:lineRule="auto"/>
              <w:ind w:firstLine="0" w:firstLineChars="0"/>
              <w:jc w:val="left"/>
              <w:rPr>
                <w:rFonts w:hint="eastAsia"/>
                <w:b/>
                <w:bCs/>
                <w:color w:val="000000"/>
                <w:kern w:val="0"/>
                <w:sz w:val="21"/>
                <w:szCs w:val="21"/>
              </w:rPr>
            </w:pPr>
            <w:r>
              <w:rPr>
                <w:rFonts w:ascii="Songti SC" w:hAnsi="Songti SC" w:eastAsia="Songti SC" w:cs="Songti SC"/>
                <w:b/>
                <w:color w:val="000000"/>
                <w:sz w:val="21"/>
                <w:szCs w:val="21"/>
              </w:rPr>
              <w:t>备注</w:t>
            </w:r>
          </w:p>
        </w:tc>
      </w:tr>
      <w:tr w14:paraId="4A3DA54D">
        <w:trPr>
          <w:trHeight w:val="360" w:hRule="atLeast"/>
        </w:trPr>
        <w:tc>
          <w:tcPr>
            <w:tcW w:w="564" w:type="pct"/>
            <w:tcBorders>
              <w:top w:val="nil"/>
              <w:left w:val="single" w:color="auto" w:sz="4" w:space="0"/>
              <w:bottom w:val="single" w:color="auto" w:sz="4" w:space="0"/>
              <w:right w:val="single" w:color="auto" w:sz="4" w:space="0"/>
            </w:tcBorders>
            <w:vAlign w:val="center"/>
          </w:tcPr>
          <w:p w14:paraId="61B0444F">
            <w:pPr>
              <w:widowControl/>
              <w:spacing w:line="240" w:lineRule="auto"/>
              <w:ind w:firstLine="0" w:firstLineChars="0"/>
              <w:jc w:val="center"/>
              <w:rPr>
                <w:rFonts w:hint="eastAsia"/>
                <w:b/>
                <w:bCs/>
                <w:color w:val="000000"/>
                <w:kern w:val="0"/>
                <w:sz w:val="21"/>
                <w:szCs w:val="21"/>
              </w:rPr>
            </w:pPr>
            <w:r>
              <w:rPr>
                <w:rFonts w:ascii="Songti SC" w:hAnsi="Songti SC" w:eastAsia="Songti SC" w:cs="Songti SC"/>
                <w:b/>
                <w:bCs/>
                <w:color w:val="000000"/>
                <w:sz w:val="21"/>
                <w:szCs w:val="21"/>
              </w:rPr>
              <w:t>一</w:t>
            </w:r>
          </w:p>
        </w:tc>
        <w:tc>
          <w:tcPr>
            <w:tcW w:w="1740" w:type="pct"/>
            <w:tcBorders>
              <w:top w:val="nil"/>
              <w:left w:val="nil"/>
              <w:bottom w:val="single" w:color="auto" w:sz="4" w:space="0"/>
              <w:right w:val="single" w:color="auto" w:sz="4" w:space="0"/>
            </w:tcBorders>
            <w:vAlign w:val="center"/>
          </w:tcPr>
          <w:p w14:paraId="42397805">
            <w:pPr>
              <w:widowControl/>
              <w:spacing w:line="240" w:lineRule="auto"/>
              <w:ind w:firstLine="0" w:firstLineChars="0"/>
              <w:jc w:val="left"/>
              <w:rPr>
                <w:rFonts w:hint="eastAsia"/>
                <w:b/>
                <w:bCs/>
                <w:color w:val="000000"/>
                <w:kern w:val="0"/>
                <w:sz w:val="21"/>
                <w:szCs w:val="21"/>
              </w:rPr>
            </w:pPr>
            <w:r>
              <w:rPr>
                <w:rFonts w:ascii="Songti SC" w:hAnsi="Songti SC" w:eastAsia="Songti SC" w:cs="Songti SC"/>
                <w:b/>
                <w:bCs/>
                <w:color w:val="000000"/>
                <w:sz w:val="21"/>
                <w:szCs w:val="21"/>
              </w:rPr>
              <w:t>工程费</w:t>
            </w:r>
          </w:p>
        </w:tc>
        <w:tc>
          <w:tcPr>
            <w:tcW w:w="940" w:type="pct"/>
            <w:tcBorders>
              <w:top w:val="nil"/>
              <w:left w:val="nil"/>
              <w:bottom w:val="single" w:color="auto" w:sz="4" w:space="0"/>
              <w:right w:val="single" w:color="auto" w:sz="4" w:space="0"/>
            </w:tcBorders>
          </w:tcPr>
          <w:p w14:paraId="31BE322E">
            <w:pPr>
              <w:widowControl/>
              <w:spacing w:line="240" w:lineRule="auto"/>
              <w:ind w:firstLine="0" w:firstLineChars="0"/>
              <w:jc w:val="center"/>
              <w:rPr>
                <w:rFonts w:hint="eastAsia"/>
                <w:b/>
                <w:bCs/>
                <w:color w:val="000000"/>
                <w:kern w:val="0"/>
                <w:sz w:val="21"/>
                <w:szCs w:val="21"/>
              </w:rPr>
            </w:pPr>
            <w:r>
              <w:rPr>
                <w:rFonts w:hint="eastAsia" w:ascii="Songti SC" w:hAnsi="Songti SC" w:eastAsia="Songti SC" w:cs="Songti SC"/>
                <w:color w:val="000000"/>
                <w:sz w:val="21"/>
                <w:szCs w:val="21"/>
              </w:rPr>
              <w:t>87.13</w:t>
            </w:r>
          </w:p>
        </w:tc>
        <w:tc>
          <w:tcPr>
            <w:tcW w:w="769" w:type="pct"/>
            <w:tcBorders>
              <w:top w:val="nil"/>
              <w:left w:val="nil"/>
              <w:bottom w:val="single" w:color="auto" w:sz="4" w:space="0"/>
              <w:right w:val="single" w:color="auto" w:sz="4" w:space="0"/>
            </w:tcBorders>
          </w:tcPr>
          <w:p w14:paraId="6897EACC">
            <w:pPr>
              <w:widowControl/>
              <w:spacing w:line="240" w:lineRule="auto"/>
              <w:ind w:firstLine="0" w:firstLineChars="0"/>
              <w:jc w:val="center"/>
              <w:rPr>
                <w:rFonts w:hint="eastAsia"/>
                <w:b/>
                <w:bCs/>
                <w:color w:val="000000"/>
                <w:kern w:val="0"/>
                <w:sz w:val="21"/>
                <w:szCs w:val="21"/>
              </w:rPr>
            </w:pPr>
            <w:r>
              <w:rPr>
                <w:rFonts w:hint="eastAsia" w:ascii="Songti SC" w:hAnsi="Songti SC" w:eastAsia="Songti SC" w:cs="Songti SC"/>
                <w:color w:val="000000"/>
                <w:sz w:val="21"/>
                <w:szCs w:val="21"/>
              </w:rPr>
              <w:t>82.1%</w:t>
            </w:r>
          </w:p>
        </w:tc>
        <w:tc>
          <w:tcPr>
            <w:tcW w:w="987" w:type="pct"/>
            <w:tcBorders>
              <w:top w:val="nil"/>
              <w:left w:val="nil"/>
              <w:bottom w:val="single" w:color="auto" w:sz="4" w:space="0"/>
              <w:right w:val="single" w:color="auto" w:sz="4" w:space="0"/>
            </w:tcBorders>
            <w:vAlign w:val="center"/>
          </w:tcPr>
          <w:p w14:paraId="27177704">
            <w:pPr>
              <w:widowControl/>
              <w:spacing w:line="240" w:lineRule="auto"/>
              <w:ind w:firstLine="0" w:firstLineChars="0"/>
              <w:jc w:val="left"/>
              <w:rPr>
                <w:rFonts w:hint="eastAsia"/>
                <w:b/>
                <w:bCs/>
                <w:color w:val="000000"/>
                <w:kern w:val="0"/>
                <w:sz w:val="21"/>
                <w:szCs w:val="21"/>
              </w:rPr>
            </w:pPr>
          </w:p>
        </w:tc>
      </w:tr>
      <w:tr w14:paraId="28B2EB09">
        <w:trPr>
          <w:trHeight w:val="360" w:hRule="atLeast"/>
        </w:trPr>
        <w:tc>
          <w:tcPr>
            <w:tcW w:w="564" w:type="pct"/>
            <w:tcBorders>
              <w:top w:val="nil"/>
              <w:left w:val="single" w:color="auto" w:sz="4" w:space="0"/>
              <w:bottom w:val="single" w:color="auto" w:sz="4" w:space="0"/>
              <w:right w:val="single" w:color="auto" w:sz="4" w:space="0"/>
            </w:tcBorders>
            <w:vAlign w:val="center"/>
          </w:tcPr>
          <w:p w14:paraId="39FB5470">
            <w:pPr>
              <w:widowControl/>
              <w:spacing w:line="240" w:lineRule="auto"/>
              <w:ind w:firstLine="0" w:firstLineChars="0"/>
              <w:jc w:val="center"/>
              <w:rPr>
                <w:rFonts w:hint="eastAsia"/>
                <w:color w:val="000000"/>
                <w:kern w:val="0"/>
                <w:sz w:val="21"/>
                <w:szCs w:val="21"/>
              </w:rPr>
            </w:pPr>
            <w:r>
              <w:rPr>
                <w:rFonts w:ascii="Songti SC" w:hAnsi="Songti SC" w:eastAsia="Songti SC" w:cs="Songti SC"/>
                <w:color w:val="000000"/>
                <w:sz w:val="21"/>
                <w:szCs w:val="21"/>
              </w:rPr>
              <w:t>1</w:t>
            </w:r>
          </w:p>
        </w:tc>
        <w:tc>
          <w:tcPr>
            <w:tcW w:w="1740" w:type="pct"/>
            <w:tcBorders>
              <w:top w:val="nil"/>
              <w:left w:val="nil"/>
              <w:bottom w:val="single" w:color="auto" w:sz="4" w:space="0"/>
              <w:right w:val="single" w:color="auto" w:sz="4" w:space="0"/>
            </w:tcBorders>
            <w:vAlign w:val="center"/>
          </w:tcPr>
          <w:p w14:paraId="79E321E1">
            <w:pPr>
              <w:widowControl/>
              <w:spacing w:line="240" w:lineRule="auto"/>
              <w:ind w:firstLine="0" w:firstLineChars="0"/>
              <w:jc w:val="left"/>
              <w:rPr>
                <w:rFonts w:hint="eastAsia"/>
                <w:color w:val="000000"/>
                <w:kern w:val="0"/>
                <w:sz w:val="21"/>
                <w:szCs w:val="21"/>
              </w:rPr>
            </w:pPr>
            <w:r>
              <w:rPr>
                <w:rFonts w:ascii="Songti SC" w:hAnsi="Songti SC" w:eastAsia="Songti SC" w:cs="Songti SC"/>
                <w:color w:val="000000"/>
                <w:sz w:val="21"/>
                <w:szCs w:val="21"/>
              </w:rPr>
              <w:t>系统适配升级</w:t>
            </w:r>
          </w:p>
        </w:tc>
        <w:tc>
          <w:tcPr>
            <w:tcW w:w="940" w:type="pct"/>
            <w:tcBorders>
              <w:top w:val="nil"/>
              <w:left w:val="nil"/>
              <w:bottom w:val="single" w:color="auto" w:sz="4" w:space="0"/>
              <w:right w:val="single" w:color="auto" w:sz="4" w:space="0"/>
            </w:tcBorders>
            <w:noWrap/>
          </w:tcPr>
          <w:p w14:paraId="1997A2BC">
            <w:pPr>
              <w:widowControl/>
              <w:spacing w:line="240" w:lineRule="auto"/>
              <w:ind w:firstLine="0" w:firstLineChars="0"/>
              <w:jc w:val="center"/>
              <w:rPr>
                <w:rFonts w:hint="eastAsia"/>
                <w:color w:val="000000"/>
                <w:kern w:val="0"/>
                <w:sz w:val="21"/>
                <w:szCs w:val="21"/>
              </w:rPr>
            </w:pPr>
            <w:r>
              <w:rPr>
                <w:rFonts w:hint="eastAsia" w:ascii="Songti SC" w:hAnsi="Songti SC" w:eastAsia="Songti SC" w:cs="Songti SC"/>
                <w:color w:val="000000"/>
                <w:sz w:val="21"/>
                <w:szCs w:val="21"/>
              </w:rPr>
              <w:t>67.63</w:t>
            </w:r>
          </w:p>
        </w:tc>
        <w:tc>
          <w:tcPr>
            <w:tcW w:w="769" w:type="pct"/>
            <w:tcBorders>
              <w:top w:val="nil"/>
              <w:left w:val="nil"/>
              <w:bottom w:val="single" w:color="auto" w:sz="4" w:space="0"/>
              <w:right w:val="single" w:color="auto" w:sz="4" w:space="0"/>
            </w:tcBorders>
          </w:tcPr>
          <w:p w14:paraId="694AD2A6">
            <w:pPr>
              <w:widowControl/>
              <w:spacing w:line="240" w:lineRule="auto"/>
              <w:ind w:firstLine="0" w:firstLineChars="0"/>
              <w:jc w:val="center"/>
              <w:rPr>
                <w:rFonts w:hint="eastAsia"/>
                <w:color w:val="000000"/>
                <w:kern w:val="0"/>
                <w:sz w:val="21"/>
                <w:szCs w:val="21"/>
              </w:rPr>
            </w:pPr>
            <w:r>
              <w:rPr>
                <w:rFonts w:hint="eastAsia" w:ascii="Songti SC" w:hAnsi="Songti SC" w:eastAsia="Songti SC" w:cs="Songti SC"/>
                <w:color w:val="000000"/>
                <w:sz w:val="21"/>
                <w:szCs w:val="21"/>
              </w:rPr>
              <w:t>63.72%</w:t>
            </w:r>
          </w:p>
        </w:tc>
        <w:tc>
          <w:tcPr>
            <w:tcW w:w="987" w:type="pct"/>
            <w:tcBorders>
              <w:top w:val="nil"/>
              <w:left w:val="nil"/>
              <w:bottom w:val="single" w:color="auto" w:sz="4" w:space="0"/>
              <w:right w:val="single" w:color="auto" w:sz="4" w:space="0"/>
            </w:tcBorders>
            <w:vAlign w:val="center"/>
          </w:tcPr>
          <w:p w14:paraId="768007AA">
            <w:pPr>
              <w:widowControl/>
              <w:spacing w:line="240" w:lineRule="auto"/>
              <w:ind w:firstLine="0" w:firstLineChars="0"/>
              <w:jc w:val="left"/>
              <w:rPr>
                <w:rFonts w:hint="eastAsia"/>
                <w:color w:val="000000"/>
                <w:kern w:val="0"/>
                <w:sz w:val="21"/>
                <w:szCs w:val="21"/>
              </w:rPr>
            </w:pPr>
          </w:p>
        </w:tc>
      </w:tr>
      <w:tr w14:paraId="11C55BA1">
        <w:trPr>
          <w:trHeight w:val="360" w:hRule="atLeast"/>
        </w:trPr>
        <w:tc>
          <w:tcPr>
            <w:tcW w:w="564" w:type="pct"/>
            <w:tcBorders>
              <w:top w:val="nil"/>
              <w:left w:val="single" w:color="auto" w:sz="4" w:space="0"/>
              <w:bottom w:val="single" w:color="auto" w:sz="4" w:space="0"/>
              <w:right w:val="single" w:color="auto" w:sz="4" w:space="0"/>
            </w:tcBorders>
            <w:vAlign w:val="center"/>
          </w:tcPr>
          <w:p w14:paraId="72EF8FDC">
            <w:pPr>
              <w:widowControl/>
              <w:spacing w:line="240" w:lineRule="auto"/>
              <w:ind w:firstLine="0" w:firstLineChars="0"/>
              <w:jc w:val="center"/>
              <w:rPr>
                <w:rFonts w:hint="eastAsia"/>
                <w:b/>
                <w:bCs/>
                <w:color w:val="000000"/>
                <w:kern w:val="0"/>
                <w:sz w:val="21"/>
                <w:szCs w:val="21"/>
              </w:rPr>
            </w:pPr>
            <w:r>
              <w:rPr>
                <w:rFonts w:ascii="Songti SC" w:hAnsi="Songti SC" w:eastAsia="Songti SC" w:cs="Songti SC"/>
                <w:color w:val="000000"/>
                <w:sz w:val="21"/>
                <w:szCs w:val="21"/>
              </w:rPr>
              <w:t>1</w:t>
            </w:r>
          </w:p>
        </w:tc>
        <w:tc>
          <w:tcPr>
            <w:tcW w:w="1740" w:type="pct"/>
            <w:tcBorders>
              <w:top w:val="nil"/>
              <w:left w:val="nil"/>
              <w:bottom w:val="single" w:color="auto" w:sz="4" w:space="0"/>
              <w:right w:val="single" w:color="auto" w:sz="4" w:space="0"/>
            </w:tcBorders>
            <w:vAlign w:val="center"/>
          </w:tcPr>
          <w:p w14:paraId="6B6ED1B9">
            <w:pPr>
              <w:widowControl/>
              <w:spacing w:line="240" w:lineRule="auto"/>
              <w:ind w:firstLine="0" w:firstLineChars="0"/>
              <w:jc w:val="left"/>
              <w:rPr>
                <w:rFonts w:hint="eastAsia"/>
                <w:b/>
                <w:bCs/>
                <w:color w:val="000000"/>
                <w:kern w:val="0"/>
                <w:sz w:val="21"/>
                <w:szCs w:val="21"/>
              </w:rPr>
            </w:pPr>
            <w:r>
              <w:rPr>
                <w:rFonts w:ascii="Songti SC" w:hAnsi="Songti SC" w:eastAsia="Songti SC" w:cs="Songti SC"/>
                <w:color w:val="000000"/>
                <w:sz w:val="21"/>
                <w:szCs w:val="21"/>
              </w:rPr>
              <w:t>基础软件购置</w:t>
            </w:r>
          </w:p>
        </w:tc>
        <w:tc>
          <w:tcPr>
            <w:tcW w:w="940" w:type="pct"/>
            <w:tcBorders>
              <w:top w:val="nil"/>
              <w:left w:val="nil"/>
              <w:bottom w:val="single" w:color="auto" w:sz="4" w:space="0"/>
              <w:right w:val="single" w:color="auto" w:sz="4" w:space="0"/>
            </w:tcBorders>
            <w:noWrap/>
          </w:tcPr>
          <w:p w14:paraId="15708824">
            <w:pPr>
              <w:widowControl/>
              <w:spacing w:line="240" w:lineRule="auto"/>
              <w:ind w:firstLine="0" w:firstLineChars="0"/>
              <w:jc w:val="center"/>
              <w:rPr>
                <w:rFonts w:hint="eastAsia"/>
                <w:b/>
                <w:bCs/>
                <w:color w:val="000000"/>
                <w:kern w:val="0"/>
                <w:sz w:val="21"/>
                <w:szCs w:val="21"/>
              </w:rPr>
            </w:pPr>
            <w:r>
              <w:rPr>
                <w:rFonts w:hint="eastAsia" w:ascii="Songti SC" w:hAnsi="Songti SC" w:eastAsia="Songti SC" w:cs="Songti SC"/>
                <w:color w:val="000000"/>
                <w:sz w:val="21"/>
                <w:szCs w:val="21"/>
              </w:rPr>
              <w:t>19.5</w:t>
            </w:r>
          </w:p>
        </w:tc>
        <w:tc>
          <w:tcPr>
            <w:tcW w:w="769" w:type="pct"/>
            <w:tcBorders>
              <w:top w:val="nil"/>
              <w:left w:val="nil"/>
              <w:bottom w:val="single" w:color="auto" w:sz="4" w:space="0"/>
              <w:right w:val="single" w:color="auto" w:sz="4" w:space="0"/>
            </w:tcBorders>
          </w:tcPr>
          <w:p w14:paraId="19239024">
            <w:pPr>
              <w:widowControl/>
              <w:spacing w:line="240" w:lineRule="auto"/>
              <w:ind w:firstLine="0" w:firstLineChars="0"/>
              <w:jc w:val="center"/>
              <w:rPr>
                <w:rFonts w:hint="eastAsia"/>
                <w:b/>
                <w:bCs/>
                <w:color w:val="000000"/>
                <w:kern w:val="0"/>
                <w:sz w:val="21"/>
                <w:szCs w:val="21"/>
              </w:rPr>
            </w:pPr>
            <w:r>
              <w:rPr>
                <w:rFonts w:hint="eastAsia" w:ascii="Songti SC" w:hAnsi="Songti SC" w:eastAsia="Songti SC" w:cs="Songti SC"/>
                <w:color w:val="000000"/>
                <w:sz w:val="21"/>
                <w:szCs w:val="21"/>
              </w:rPr>
              <w:t>18.37%</w:t>
            </w:r>
          </w:p>
        </w:tc>
        <w:tc>
          <w:tcPr>
            <w:tcW w:w="987" w:type="pct"/>
            <w:tcBorders>
              <w:top w:val="nil"/>
              <w:left w:val="nil"/>
              <w:bottom w:val="single" w:color="auto" w:sz="4" w:space="0"/>
              <w:right w:val="single" w:color="auto" w:sz="4" w:space="0"/>
            </w:tcBorders>
            <w:vAlign w:val="center"/>
          </w:tcPr>
          <w:p w14:paraId="045D7E5D">
            <w:pPr>
              <w:widowControl/>
              <w:spacing w:line="240" w:lineRule="auto"/>
              <w:ind w:firstLine="0" w:firstLineChars="0"/>
              <w:jc w:val="left"/>
              <w:rPr>
                <w:rFonts w:hint="eastAsia"/>
                <w:color w:val="000000"/>
                <w:kern w:val="0"/>
                <w:sz w:val="21"/>
                <w:szCs w:val="21"/>
              </w:rPr>
            </w:pPr>
          </w:p>
        </w:tc>
      </w:tr>
      <w:tr w14:paraId="3D3ED768">
        <w:trPr>
          <w:trHeight w:val="381" w:hRule="atLeast"/>
        </w:trPr>
        <w:tc>
          <w:tcPr>
            <w:tcW w:w="564" w:type="pct"/>
            <w:tcBorders>
              <w:top w:val="nil"/>
              <w:left w:val="single" w:color="auto" w:sz="4" w:space="0"/>
              <w:bottom w:val="single" w:color="auto" w:sz="4" w:space="0"/>
              <w:right w:val="single" w:color="auto" w:sz="4" w:space="0"/>
            </w:tcBorders>
            <w:vAlign w:val="center"/>
          </w:tcPr>
          <w:p w14:paraId="5B58D88C">
            <w:pPr>
              <w:widowControl/>
              <w:spacing w:line="240" w:lineRule="auto"/>
              <w:ind w:firstLine="0" w:firstLineChars="0"/>
              <w:jc w:val="center"/>
              <w:rPr>
                <w:rFonts w:hint="eastAsia"/>
                <w:b/>
                <w:bCs/>
                <w:color w:val="000000"/>
                <w:kern w:val="0"/>
                <w:sz w:val="21"/>
                <w:szCs w:val="21"/>
              </w:rPr>
            </w:pPr>
            <w:r>
              <w:rPr>
                <w:rFonts w:ascii="Songti SC" w:hAnsi="Songti SC" w:eastAsia="Songti SC" w:cs="Songti SC"/>
                <w:b/>
                <w:color w:val="000000"/>
                <w:sz w:val="21"/>
                <w:szCs w:val="21"/>
              </w:rPr>
              <w:t>二</w:t>
            </w:r>
          </w:p>
        </w:tc>
        <w:tc>
          <w:tcPr>
            <w:tcW w:w="1740" w:type="pct"/>
            <w:tcBorders>
              <w:top w:val="nil"/>
              <w:left w:val="nil"/>
              <w:bottom w:val="single" w:color="auto" w:sz="4" w:space="0"/>
              <w:right w:val="single" w:color="auto" w:sz="4" w:space="0"/>
            </w:tcBorders>
            <w:vAlign w:val="center"/>
          </w:tcPr>
          <w:p w14:paraId="7A786160">
            <w:pPr>
              <w:widowControl/>
              <w:spacing w:line="240" w:lineRule="auto"/>
              <w:ind w:firstLine="0" w:firstLineChars="0"/>
              <w:jc w:val="left"/>
              <w:rPr>
                <w:rFonts w:hint="eastAsia"/>
                <w:b/>
                <w:bCs/>
                <w:color w:val="000000"/>
                <w:kern w:val="0"/>
                <w:sz w:val="21"/>
                <w:szCs w:val="21"/>
              </w:rPr>
            </w:pPr>
            <w:r>
              <w:rPr>
                <w:rFonts w:ascii="Songti SC" w:hAnsi="Songti SC" w:eastAsia="Songti SC" w:cs="Songti SC"/>
                <w:b/>
                <w:color w:val="000000"/>
                <w:sz w:val="21"/>
                <w:szCs w:val="21"/>
              </w:rPr>
              <w:t>工程建设其它费</w:t>
            </w:r>
          </w:p>
        </w:tc>
        <w:tc>
          <w:tcPr>
            <w:tcW w:w="940" w:type="pct"/>
            <w:tcBorders>
              <w:top w:val="nil"/>
              <w:left w:val="nil"/>
              <w:bottom w:val="single" w:color="auto" w:sz="4" w:space="0"/>
              <w:right w:val="single" w:color="auto" w:sz="4" w:space="0"/>
            </w:tcBorders>
          </w:tcPr>
          <w:p w14:paraId="773C9D01">
            <w:pPr>
              <w:widowControl/>
              <w:spacing w:line="240" w:lineRule="auto"/>
              <w:ind w:firstLine="0" w:firstLineChars="0"/>
              <w:jc w:val="center"/>
              <w:rPr>
                <w:rFonts w:hint="eastAsia"/>
                <w:b/>
                <w:bCs/>
                <w:color w:val="000000"/>
                <w:kern w:val="0"/>
                <w:sz w:val="21"/>
                <w:szCs w:val="21"/>
              </w:rPr>
            </w:pPr>
            <w:r>
              <w:rPr>
                <w:rFonts w:hint="eastAsia" w:ascii="Songti SC" w:hAnsi="Songti SC" w:eastAsia="Songti SC" w:cs="Songti SC"/>
                <w:color w:val="000000"/>
                <w:sz w:val="21"/>
                <w:szCs w:val="21"/>
              </w:rPr>
              <w:t xml:space="preserve">19 </w:t>
            </w:r>
          </w:p>
        </w:tc>
        <w:tc>
          <w:tcPr>
            <w:tcW w:w="769" w:type="pct"/>
            <w:tcBorders>
              <w:top w:val="nil"/>
              <w:left w:val="nil"/>
              <w:bottom w:val="single" w:color="auto" w:sz="4" w:space="0"/>
              <w:right w:val="single" w:color="auto" w:sz="4" w:space="0"/>
            </w:tcBorders>
          </w:tcPr>
          <w:p w14:paraId="6B601663">
            <w:pPr>
              <w:widowControl/>
              <w:spacing w:line="240" w:lineRule="auto"/>
              <w:ind w:firstLine="0" w:firstLineChars="0"/>
              <w:jc w:val="center"/>
              <w:rPr>
                <w:rFonts w:hint="eastAsia"/>
                <w:b/>
                <w:bCs/>
                <w:color w:val="000000"/>
                <w:kern w:val="0"/>
                <w:sz w:val="21"/>
                <w:szCs w:val="21"/>
              </w:rPr>
            </w:pPr>
            <w:r>
              <w:rPr>
                <w:rFonts w:hint="eastAsia" w:ascii="Songti SC" w:hAnsi="Songti SC" w:eastAsia="Songti SC" w:cs="Songti SC"/>
                <w:color w:val="000000"/>
                <w:sz w:val="21"/>
                <w:szCs w:val="21"/>
              </w:rPr>
              <w:t>17.9%</w:t>
            </w:r>
          </w:p>
        </w:tc>
        <w:tc>
          <w:tcPr>
            <w:tcW w:w="987" w:type="pct"/>
            <w:tcBorders>
              <w:top w:val="nil"/>
              <w:left w:val="nil"/>
              <w:bottom w:val="single" w:color="auto" w:sz="4" w:space="0"/>
              <w:right w:val="single" w:color="auto" w:sz="4" w:space="0"/>
            </w:tcBorders>
            <w:vAlign w:val="center"/>
          </w:tcPr>
          <w:p w14:paraId="6047CAE0">
            <w:pPr>
              <w:widowControl/>
              <w:spacing w:line="240" w:lineRule="auto"/>
              <w:ind w:firstLine="0" w:firstLineChars="0"/>
              <w:jc w:val="left"/>
              <w:rPr>
                <w:rFonts w:hint="eastAsia"/>
                <w:color w:val="000000"/>
                <w:kern w:val="0"/>
                <w:sz w:val="21"/>
                <w:szCs w:val="21"/>
              </w:rPr>
            </w:pPr>
          </w:p>
        </w:tc>
      </w:tr>
      <w:tr w14:paraId="024AD7A0">
        <w:trPr>
          <w:trHeight w:val="360" w:hRule="atLeast"/>
        </w:trPr>
        <w:tc>
          <w:tcPr>
            <w:tcW w:w="564" w:type="pct"/>
            <w:tcBorders>
              <w:top w:val="nil"/>
              <w:left w:val="single" w:color="auto" w:sz="4" w:space="0"/>
              <w:bottom w:val="single" w:color="auto" w:sz="4" w:space="0"/>
              <w:right w:val="single" w:color="auto" w:sz="4" w:space="0"/>
            </w:tcBorders>
            <w:vAlign w:val="center"/>
          </w:tcPr>
          <w:p w14:paraId="2EDA7711">
            <w:pPr>
              <w:widowControl/>
              <w:spacing w:line="240" w:lineRule="auto"/>
              <w:ind w:firstLine="0" w:firstLineChars="0"/>
              <w:jc w:val="center"/>
              <w:rPr>
                <w:rFonts w:hint="eastAsia"/>
                <w:color w:val="000000"/>
                <w:kern w:val="0"/>
                <w:sz w:val="21"/>
                <w:szCs w:val="21"/>
              </w:rPr>
            </w:pPr>
            <w:r>
              <w:rPr>
                <w:rFonts w:ascii="Songti SC" w:hAnsi="Songti SC" w:eastAsia="Songti SC" w:cs="Songti SC"/>
                <w:color w:val="000000"/>
                <w:sz w:val="21"/>
                <w:szCs w:val="21"/>
              </w:rPr>
              <w:t>1</w:t>
            </w:r>
          </w:p>
        </w:tc>
        <w:tc>
          <w:tcPr>
            <w:tcW w:w="1740" w:type="pct"/>
            <w:tcBorders>
              <w:top w:val="nil"/>
              <w:left w:val="nil"/>
              <w:bottom w:val="single" w:color="auto" w:sz="4" w:space="0"/>
              <w:right w:val="single" w:color="auto" w:sz="4" w:space="0"/>
            </w:tcBorders>
            <w:vAlign w:val="center"/>
          </w:tcPr>
          <w:p w14:paraId="0E168931">
            <w:pPr>
              <w:widowControl/>
              <w:spacing w:line="240" w:lineRule="auto"/>
              <w:ind w:firstLine="0" w:firstLineChars="0"/>
              <w:jc w:val="left"/>
              <w:rPr>
                <w:rFonts w:hint="eastAsia"/>
                <w:color w:val="000000"/>
                <w:kern w:val="0"/>
                <w:sz w:val="21"/>
                <w:szCs w:val="21"/>
              </w:rPr>
            </w:pPr>
            <w:r>
              <w:rPr>
                <w:rFonts w:ascii="Songti SC" w:hAnsi="Songti SC" w:eastAsia="Songti SC" w:cs="Songti SC"/>
                <w:color w:val="000000"/>
                <w:sz w:val="21"/>
                <w:szCs w:val="21"/>
              </w:rPr>
              <w:t>信息安全等保测评费</w:t>
            </w:r>
          </w:p>
        </w:tc>
        <w:tc>
          <w:tcPr>
            <w:tcW w:w="940" w:type="pct"/>
            <w:tcBorders>
              <w:top w:val="nil"/>
              <w:left w:val="nil"/>
              <w:bottom w:val="single" w:color="auto" w:sz="4" w:space="0"/>
              <w:right w:val="single" w:color="auto" w:sz="4" w:space="0"/>
            </w:tcBorders>
          </w:tcPr>
          <w:p w14:paraId="1199D141">
            <w:pPr>
              <w:widowControl/>
              <w:spacing w:line="240" w:lineRule="auto"/>
              <w:ind w:firstLine="0" w:firstLineChars="0"/>
              <w:jc w:val="center"/>
              <w:rPr>
                <w:rFonts w:hint="eastAsia"/>
                <w:color w:val="000000"/>
                <w:kern w:val="0"/>
                <w:sz w:val="21"/>
                <w:szCs w:val="21"/>
              </w:rPr>
            </w:pPr>
            <w:r>
              <w:rPr>
                <w:rFonts w:hint="eastAsia" w:ascii="Songti SC" w:hAnsi="Songti SC" w:eastAsia="Songti SC" w:cs="Songti SC"/>
                <w:color w:val="000000"/>
                <w:sz w:val="21"/>
                <w:szCs w:val="21"/>
              </w:rPr>
              <w:t>8</w:t>
            </w:r>
          </w:p>
        </w:tc>
        <w:tc>
          <w:tcPr>
            <w:tcW w:w="769" w:type="pct"/>
            <w:tcBorders>
              <w:top w:val="nil"/>
              <w:left w:val="nil"/>
              <w:bottom w:val="single" w:color="auto" w:sz="4" w:space="0"/>
              <w:right w:val="single" w:color="auto" w:sz="4" w:space="0"/>
            </w:tcBorders>
          </w:tcPr>
          <w:p w14:paraId="54FD63C8">
            <w:pPr>
              <w:widowControl/>
              <w:spacing w:line="240" w:lineRule="auto"/>
              <w:ind w:firstLine="0" w:firstLineChars="0"/>
              <w:jc w:val="center"/>
              <w:rPr>
                <w:rFonts w:hint="eastAsia"/>
                <w:b/>
                <w:bCs/>
                <w:color w:val="000000"/>
                <w:kern w:val="0"/>
                <w:sz w:val="21"/>
                <w:szCs w:val="21"/>
              </w:rPr>
            </w:pPr>
            <w:r>
              <w:rPr>
                <w:rFonts w:hint="eastAsia" w:ascii="Songti SC" w:hAnsi="Songti SC" w:eastAsia="Songti SC" w:cs="Songti SC"/>
                <w:color w:val="000000"/>
                <w:sz w:val="21"/>
                <w:szCs w:val="21"/>
              </w:rPr>
              <w:t>7.54%</w:t>
            </w:r>
          </w:p>
        </w:tc>
        <w:tc>
          <w:tcPr>
            <w:tcW w:w="987" w:type="pct"/>
            <w:tcBorders>
              <w:top w:val="nil"/>
              <w:left w:val="nil"/>
              <w:bottom w:val="single" w:color="auto" w:sz="4" w:space="0"/>
              <w:right w:val="single" w:color="auto" w:sz="4" w:space="0"/>
            </w:tcBorders>
            <w:vAlign w:val="center"/>
          </w:tcPr>
          <w:p w14:paraId="17E9E034">
            <w:pPr>
              <w:widowControl/>
              <w:spacing w:line="240" w:lineRule="auto"/>
              <w:ind w:firstLine="0" w:firstLineChars="0"/>
              <w:jc w:val="left"/>
              <w:rPr>
                <w:rFonts w:hint="eastAsia"/>
                <w:color w:val="000000"/>
                <w:kern w:val="0"/>
                <w:sz w:val="21"/>
                <w:szCs w:val="21"/>
              </w:rPr>
            </w:pPr>
          </w:p>
        </w:tc>
      </w:tr>
      <w:tr w14:paraId="5E19CE0A">
        <w:trPr>
          <w:trHeight w:val="360" w:hRule="atLeast"/>
        </w:trPr>
        <w:tc>
          <w:tcPr>
            <w:tcW w:w="564" w:type="pct"/>
            <w:tcBorders>
              <w:top w:val="nil"/>
              <w:left w:val="single" w:color="auto" w:sz="4" w:space="0"/>
              <w:bottom w:val="single" w:color="auto" w:sz="4" w:space="0"/>
              <w:right w:val="single" w:color="auto" w:sz="4" w:space="0"/>
            </w:tcBorders>
            <w:vAlign w:val="center"/>
          </w:tcPr>
          <w:p w14:paraId="0C3ED977">
            <w:pPr>
              <w:widowControl/>
              <w:spacing w:line="240" w:lineRule="auto"/>
              <w:ind w:firstLine="0" w:firstLineChars="0"/>
              <w:jc w:val="center"/>
              <w:rPr>
                <w:rFonts w:hint="eastAsia"/>
                <w:color w:val="000000"/>
                <w:kern w:val="0"/>
                <w:sz w:val="21"/>
                <w:szCs w:val="21"/>
              </w:rPr>
            </w:pPr>
            <w:r>
              <w:rPr>
                <w:rFonts w:ascii="Songti SC" w:hAnsi="Songti SC" w:eastAsia="Songti SC" w:cs="Songti SC"/>
                <w:color w:val="000000"/>
                <w:sz w:val="21"/>
                <w:szCs w:val="21"/>
              </w:rPr>
              <w:t>2</w:t>
            </w:r>
          </w:p>
        </w:tc>
        <w:tc>
          <w:tcPr>
            <w:tcW w:w="1740" w:type="pct"/>
            <w:tcBorders>
              <w:top w:val="nil"/>
              <w:left w:val="nil"/>
              <w:bottom w:val="single" w:color="auto" w:sz="4" w:space="0"/>
              <w:right w:val="single" w:color="auto" w:sz="4" w:space="0"/>
            </w:tcBorders>
            <w:vAlign w:val="center"/>
          </w:tcPr>
          <w:p w14:paraId="62295085">
            <w:pPr>
              <w:widowControl/>
              <w:spacing w:line="240" w:lineRule="auto"/>
              <w:ind w:firstLine="0" w:firstLineChars="0"/>
              <w:jc w:val="left"/>
              <w:rPr>
                <w:rFonts w:hint="eastAsia"/>
                <w:color w:val="000000"/>
                <w:kern w:val="0"/>
                <w:sz w:val="21"/>
                <w:szCs w:val="21"/>
              </w:rPr>
            </w:pPr>
            <w:r>
              <w:rPr>
                <w:rFonts w:ascii="Songti SC" w:hAnsi="Songti SC" w:eastAsia="Songti SC" w:cs="Songti SC"/>
                <w:color w:val="000000"/>
                <w:sz w:val="21"/>
                <w:szCs w:val="21"/>
              </w:rPr>
              <w:t>商用密码评估服务费</w:t>
            </w:r>
          </w:p>
        </w:tc>
        <w:tc>
          <w:tcPr>
            <w:tcW w:w="940" w:type="pct"/>
            <w:tcBorders>
              <w:top w:val="nil"/>
              <w:left w:val="nil"/>
              <w:bottom w:val="single" w:color="auto" w:sz="4" w:space="0"/>
              <w:right w:val="single" w:color="auto" w:sz="4" w:space="0"/>
            </w:tcBorders>
          </w:tcPr>
          <w:p w14:paraId="6602E82E">
            <w:pPr>
              <w:widowControl/>
              <w:spacing w:line="240" w:lineRule="auto"/>
              <w:ind w:firstLine="0" w:firstLineChars="0"/>
              <w:jc w:val="center"/>
              <w:rPr>
                <w:rFonts w:hint="eastAsia"/>
                <w:color w:val="000000"/>
                <w:kern w:val="0"/>
                <w:sz w:val="21"/>
                <w:szCs w:val="21"/>
              </w:rPr>
            </w:pPr>
            <w:r>
              <w:rPr>
                <w:rFonts w:hint="eastAsia" w:ascii="Songti SC" w:hAnsi="Songti SC" w:eastAsia="Songti SC" w:cs="Songti SC"/>
                <w:color w:val="000000"/>
                <w:sz w:val="21"/>
                <w:szCs w:val="21"/>
              </w:rPr>
              <w:t>11</w:t>
            </w:r>
          </w:p>
        </w:tc>
        <w:tc>
          <w:tcPr>
            <w:tcW w:w="769" w:type="pct"/>
            <w:tcBorders>
              <w:top w:val="nil"/>
              <w:left w:val="nil"/>
              <w:bottom w:val="single" w:color="auto" w:sz="4" w:space="0"/>
              <w:right w:val="single" w:color="auto" w:sz="4" w:space="0"/>
            </w:tcBorders>
          </w:tcPr>
          <w:p w14:paraId="18921085">
            <w:pPr>
              <w:widowControl/>
              <w:spacing w:line="240" w:lineRule="auto"/>
              <w:ind w:firstLine="0" w:firstLineChars="0"/>
              <w:jc w:val="center"/>
              <w:rPr>
                <w:rFonts w:hint="eastAsia"/>
                <w:b/>
                <w:bCs/>
                <w:color w:val="000000"/>
                <w:sz w:val="21"/>
                <w:szCs w:val="21"/>
              </w:rPr>
            </w:pPr>
            <w:r>
              <w:rPr>
                <w:rFonts w:hint="eastAsia" w:ascii="Songti SC" w:hAnsi="Songti SC" w:eastAsia="Songti SC" w:cs="Songti SC"/>
                <w:color w:val="000000"/>
                <w:sz w:val="21"/>
                <w:szCs w:val="21"/>
              </w:rPr>
              <w:t>10.36%</w:t>
            </w:r>
          </w:p>
        </w:tc>
        <w:tc>
          <w:tcPr>
            <w:tcW w:w="987" w:type="pct"/>
            <w:tcBorders>
              <w:top w:val="nil"/>
              <w:left w:val="nil"/>
              <w:bottom w:val="single" w:color="auto" w:sz="4" w:space="0"/>
              <w:right w:val="single" w:color="auto" w:sz="4" w:space="0"/>
            </w:tcBorders>
            <w:vAlign w:val="center"/>
          </w:tcPr>
          <w:p w14:paraId="36906FB2">
            <w:pPr>
              <w:widowControl/>
              <w:spacing w:line="240" w:lineRule="auto"/>
              <w:ind w:firstLine="0" w:firstLineChars="0"/>
              <w:jc w:val="left"/>
              <w:rPr>
                <w:rFonts w:hint="eastAsia"/>
                <w:color w:val="000000"/>
                <w:kern w:val="0"/>
                <w:sz w:val="21"/>
                <w:szCs w:val="21"/>
              </w:rPr>
            </w:pPr>
          </w:p>
        </w:tc>
      </w:tr>
      <w:tr w14:paraId="19B03E4A">
        <w:trPr>
          <w:trHeight w:val="360" w:hRule="atLeast"/>
        </w:trPr>
        <w:tc>
          <w:tcPr>
            <w:tcW w:w="564" w:type="pct"/>
            <w:tcBorders>
              <w:top w:val="nil"/>
              <w:left w:val="single" w:color="auto" w:sz="4" w:space="0"/>
              <w:bottom w:val="single" w:color="auto" w:sz="4" w:space="0"/>
              <w:right w:val="single" w:color="auto" w:sz="4" w:space="0"/>
            </w:tcBorders>
            <w:vAlign w:val="center"/>
          </w:tcPr>
          <w:p w14:paraId="1F022F53">
            <w:pPr>
              <w:widowControl/>
              <w:spacing w:line="240" w:lineRule="auto"/>
              <w:ind w:firstLine="0" w:firstLineChars="0"/>
              <w:jc w:val="center"/>
              <w:rPr>
                <w:rFonts w:hint="eastAsia"/>
                <w:b/>
                <w:bCs/>
                <w:color w:val="000000"/>
                <w:kern w:val="0"/>
                <w:sz w:val="21"/>
                <w:szCs w:val="21"/>
              </w:rPr>
            </w:pPr>
          </w:p>
        </w:tc>
        <w:tc>
          <w:tcPr>
            <w:tcW w:w="1740" w:type="pct"/>
            <w:tcBorders>
              <w:top w:val="nil"/>
              <w:left w:val="nil"/>
              <w:bottom w:val="single" w:color="auto" w:sz="4" w:space="0"/>
              <w:right w:val="single" w:color="auto" w:sz="4" w:space="0"/>
            </w:tcBorders>
            <w:vAlign w:val="center"/>
          </w:tcPr>
          <w:p w14:paraId="31DE46E4">
            <w:pPr>
              <w:widowControl/>
              <w:spacing w:line="240" w:lineRule="auto"/>
              <w:ind w:firstLine="0" w:firstLineChars="0"/>
              <w:jc w:val="left"/>
              <w:rPr>
                <w:rFonts w:hint="eastAsia"/>
                <w:b/>
                <w:bCs/>
                <w:color w:val="000000"/>
                <w:kern w:val="0"/>
                <w:sz w:val="21"/>
                <w:szCs w:val="21"/>
              </w:rPr>
            </w:pPr>
            <w:r>
              <w:rPr>
                <w:rFonts w:ascii="Songti SC" w:hAnsi="Songti SC" w:eastAsia="Songti SC" w:cs="Songti SC"/>
                <w:color w:val="000000"/>
                <w:sz w:val="21"/>
                <w:szCs w:val="21"/>
              </w:rPr>
              <w:t>总投资</w:t>
            </w:r>
          </w:p>
        </w:tc>
        <w:tc>
          <w:tcPr>
            <w:tcW w:w="940" w:type="pct"/>
            <w:tcBorders>
              <w:top w:val="nil"/>
              <w:left w:val="nil"/>
              <w:bottom w:val="single" w:color="auto" w:sz="4" w:space="0"/>
              <w:right w:val="single" w:color="auto" w:sz="4" w:space="0"/>
            </w:tcBorders>
          </w:tcPr>
          <w:p w14:paraId="37525419">
            <w:pPr>
              <w:widowControl/>
              <w:spacing w:line="240" w:lineRule="auto"/>
              <w:ind w:firstLine="0" w:firstLineChars="0"/>
              <w:jc w:val="center"/>
              <w:rPr>
                <w:rFonts w:hint="eastAsia"/>
                <w:b/>
                <w:bCs/>
                <w:color w:val="000000"/>
                <w:kern w:val="0"/>
                <w:sz w:val="21"/>
                <w:szCs w:val="21"/>
              </w:rPr>
            </w:pPr>
            <w:r>
              <w:rPr>
                <w:rFonts w:hint="eastAsia" w:ascii="Songti SC" w:hAnsi="Songti SC" w:eastAsia="Songti SC" w:cs="Songti SC"/>
                <w:color w:val="000000"/>
                <w:sz w:val="21"/>
                <w:szCs w:val="21"/>
              </w:rPr>
              <w:t xml:space="preserve">106.13 </w:t>
            </w:r>
          </w:p>
        </w:tc>
        <w:tc>
          <w:tcPr>
            <w:tcW w:w="769" w:type="pct"/>
            <w:tcBorders>
              <w:top w:val="nil"/>
              <w:left w:val="nil"/>
              <w:bottom w:val="single" w:color="auto" w:sz="4" w:space="0"/>
              <w:right w:val="single" w:color="auto" w:sz="4" w:space="0"/>
            </w:tcBorders>
          </w:tcPr>
          <w:p w14:paraId="6C71108E">
            <w:pPr>
              <w:widowControl/>
              <w:spacing w:line="240" w:lineRule="auto"/>
              <w:ind w:firstLine="0" w:firstLineChars="0"/>
              <w:jc w:val="center"/>
              <w:rPr>
                <w:rFonts w:hint="eastAsia"/>
                <w:b/>
                <w:bCs/>
                <w:color w:val="000000"/>
                <w:kern w:val="0"/>
                <w:sz w:val="21"/>
                <w:szCs w:val="21"/>
              </w:rPr>
            </w:pPr>
            <w:r>
              <w:rPr>
                <w:rFonts w:hint="eastAsia" w:ascii="Songti SC" w:hAnsi="Songti SC" w:eastAsia="Songti SC" w:cs="Songti SC"/>
                <w:color w:val="000000"/>
                <w:sz w:val="21"/>
                <w:szCs w:val="21"/>
              </w:rPr>
              <w:t>100%</w:t>
            </w:r>
          </w:p>
        </w:tc>
        <w:tc>
          <w:tcPr>
            <w:tcW w:w="987" w:type="pct"/>
            <w:tcBorders>
              <w:top w:val="nil"/>
              <w:left w:val="nil"/>
              <w:bottom w:val="single" w:color="auto" w:sz="4" w:space="0"/>
              <w:right w:val="single" w:color="auto" w:sz="4" w:space="0"/>
            </w:tcBorders>
            <w:vAlign w:val="center"/>
          </w:tcPr>
          <w:p w14:paraId="489510BF">
            <w:pPr>
              <w:widowControl/>
              <w:spacing w:line="240" w:lineRule="auto"/>
              <w:ind w:firstLine="0" w:firstLineChars="0"/>
              <w:jc w:val="left"/>
              <w:rPr>
                <w:rFonts w:hint="eastAsia"/>
                <w:color w:val="000000"/>
                <w:kern w:val="0"/>
                <w:sz w:val="21"/>
                <w:szCs w:val="21"/>
              </w:rPr>
            </w:pPr>
            <w:r>
              <w:rPr>
                <w:rFonts w:ascii="Songti SC" w:hAnsi="Songti SC" w:eastAsia="Songti SC" w:cs="Songti SC"/>
                <w:color w:val="000000"/>
                <w:sz w:val="21"/>
                <w:szCs w:val="21"/>
              </w:rPr>
              <w:t>（一）+（二）</w:t>
            </w:r>
          </w:p>
        </w:tc>
      </w:tr>
    </w:tbl>
    <w:p w14:paraId="759C04F7">
      <w:pPr>
        <w:ind w:firstLine="480"/>
        <w:rPr>
          <w:rFonts w:hint="eastAsia"/>
          <w:color w:val="000000"/>
        </w:rPr>
      </w:pPr>
      <w:r>
        <w:rPr>
          <w:rFonts w:ascii="Songti SC" w:hAnsi="Songti SC" w:eastAsia="Songti SC" w:cs="Songti SC"/>
          <w:color w:val="000000"/>
        </w:rPr>
        <w:br w:type="page"/>
      </w:r>
    </w:p>
    <w:p w14:paraId="7D775ED4">
      <w:pPr>
        <w:pStyle w:val="4"/>
        <w:rPr>
          <w:rFonts w:hint="eastAsia"/>
          <w:color w:val="000000"/>
        </w:rPr>
      </w:pPr>
      <w:bookmarkStart w:id="810" w:name="_Toc1552574283"/>
      <w:bookmarkStart w:id="811" w:name="_Toc6153"/>
      <w:bookmarkStart w:id="812" w:name="_Toc798566328"/>
      <w:bookmarkStart w:id="813" w:name="_Toc414988918"/>
      <w:bookmarkStart w:id="814" w:name="_Toc259694550"/>
      <w:bookmarkStart w:id="815" w:name="_Toc245968975"/>
      <w:r>
        <w:rPr>
          <w:rFonts w:hint="eastAsia" w:ascii="Songti SC" w:hAnsi="Songti SC" w:eastAsia="Songti SC" w:cs="Songti SC"/>
          <w:color w:val="000000"/>
          <w:lang w:eastAsia="zh-CN"/>
        </w:rPr>
        <w:t>项目工程费</w:t>
      </w:r>
      <w:bookmarkEnd w:id="810"/>
      <w:bookmarkEnd w:id="811"/>
      <w:bookmarkEnd w:id="812"/>
      <w:bookmarkEnd w:id="813"/>
    </w:p>
    <w:p w14:paraId="677DE8D1">
      <w:pPr>
        <w:ind w:firstLine="480"/>
        <w:rPr>
          <w:rFonts w:hint="eastAsia"/>
          <w:color w:val="000000"/>
        </w:rPr>
      </w:pPr>
      <w:r>
        <w:rPr>
          <w:rFonts w:hint="eastAsia" w:ascii="Songti SC" w:hAnsi="Songti SC" w:eastAsia="Songti SC" w:cs="Songti SC"/>
          <w:color w:val="000000"/>
        </w:rPr>
        <w:t>食堂消费系统升级改造总体工程费如下所示：</w:t>
      </w:r>
    </w:p>
    <w:p w14:paraId="50659CBF">
      <w:pPr>
        <w:ind w:firstLine="480"/>
        <w:rPr>
          <w:rFonts w:hint="eastAsia"/>
          <w:color w:val="000000"/>
          <w:lang w:bidi="ar"/>
        </w:rPr>
      </w:pPr>
      <w:r>
        <w:rPr>
          <w:rFonts w:hint="eastAsia" w:ascii="Songti SC" w:hAnsi="Songti SC" w:eastAsia="Songti SC" w:cs="Songti SC"/>
          <w:color w:val="000000"/>
          <w:lang w:bidi="ar"/>
        </w:rPr>
        <w:t>本轮概算复核说明：下表金额保留原概算供核对，不能将其理解为已完成费用复核。前9项明细金额合计26.25万元，原小计列28.50万元，存在2.25万元差额；原列11万元实施调试、接口联调、上线及培训等费用，按专家意见应归入相应业务模块和适配工作，不作为重复的独立开发费用。差额来源与归并金额经概算负责人确认后，统一更新小计、总计和工作量。</w:t>
      </w:r>
    </w:p>
    <w:p w14:paraId="1A1BDC5C">
      <w:pPr>
        <w:ind w:firstLine="480"/>
        <w:rPr>
          <w:rFonts w:hint="eastAsia"/>
          <w:color w:val="000000"/>
          <w:lang w:bidi="ar"/>
        </w:rPr>
      </w:pPr>
      <w:r>
        <w:rPr>
          <w:rFonts w:hint="eastAsia" w:ascii="Songti SC" w:hAnsi="Songti SC" w:eastAsia="Songti SC" w:cs="Songti SC"/>
          <w:b/>
          <w:color w:val="000000"/>
          <w:lang w:bidi="ar"/>
        </w:rPr>
        <w:t>建设内容与原概算工作项对应关系</w:t>
      </w:r>
    </w:p>
    <w:tbl>
      <w:tblPr>
        <w:tblStyle w:val="60"/>
        <w:tblW w:w="8500"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75" w:type="dxa"/>
          <w:left w:w="75" w:type="dxa"/>
          <w:bottom w:w="75" w:type="dxa"/>
          <w:right w:w="75" w:type="dxa"/>
        </w:tblCellMar>
      </w:tblPr>
      <w:tblGrid>
        <w:gridCol w:w="1600"/>
        <w:gridCol w:w="2500"/>
        <w:gridCol w:w="4400"/>
      </w:tblGrid>
      <w:tr w14:paraId="4D1936FF">
        <w:trPr>
          <w:cantSplit/>
          <w:tblHeader/>
        </w:trPr>
        <w:tc>
          <w:tcPr>
            <w:tcW w:w="1600" w:type="dxa"/>
            <w:vAlign w:val="center"/>
          </w:tcPr>
          <w:p w14:paraId="79F813F7">
            <w:pPr>
              <w:spacing w:before="40" w:after="40" w:line="260" w:lineRule="auto"/>
            </w:pPr>
            <w:r>
              <w:rPr>
                <w:rFonts w:hint="eastAsia" w:ascii="Songti SC" w:hAnsi="Songti SC" w:eastAsia="Songti SC" w:cs="Songti SC"/>
                <w:b/>
                <w:color w:val="000000"/>
                <w:sz w:val="21"/>
                <w:szCs w:val="21"/>
                <w:lang w:bidi="ar"/>
              </w:rPr>
              <w:t>建设范围</w:t>
            </w:r>
          </w:p>
        </w:tc>
        <w:tc>
          <w:tcPr>
            <w:tcW w:w="2500" w:type="dxa"/>
            <w:vAlign w:val="center"/>
          </w:tcPr>
          <w:p w14:paraId="3A7AE55F">
            <w:pPr>
              <w:spacing w:before="40" w:after="40" w:line="260" w:lineRule="auto"/>
            </w:pPr>
            <w:r>
              <w:rPr>
                <w:rFonts w:hint="eastAsia" w:ascii="Songti SC" w:hAnsi="Songti SC" w:eastAsia="Songti SC" w:cs="Songti SC"/>
                <w:b/>
                <w:color w:val="000000"/>
                <w:sz w:val="21"/>
                <w:szCs w:val="21"/>
                <w:lang w:bidi="ar"/>
              </w:rPr>
              <w:t>对应原概算项</w:t>
            </w:r>
          </w:p>
        </w:tc>
        <w:tc>
          <w:tcPr>
            <w:tcW w:w="4400" w:type="dxa"/>
            <w:vAlign w:val="center"/>
          </w:tcPr>
          <w:p w14:paraId="5BF1B680">
            <w:pPr>
              <w:spacing w:before="40" w:after="40" w:line="260" w:lineRule="auto"/>
            </w:pPr>
            <w:r>
              <w:rPr>
                <w:rFonts w:hint="eastAsia" w:ascii="Songti SC" w:hAnsi="Songti SC" w:eastAsia="Songti SC" w:cs="Songti SC"/>
                <w:b/>
                <w:color w:val="000000"/>
                <w:sz w:val="21"/>
                <w:szCs w:val="21"/>
                <w:lang w:bidi="ar"/>
              </w:rPr>
              <w:t>费用边界与核验成果</w:t>
            </w:r>
          </w:p>
        </w:tc>
      </w:tr>
      <w:tr w14:paraId="320AD3F1">
        <w:trPr>
          <w:cantSplit/>
        </w:trPr>
        <w:tc>
          <w:tcPr>
            <w:tcW w:w="1600" w:type="dxa"/>
            <w:vAlign w:val="center"/>
          </w:tcPr>
          <w:p w14:paraId="67820C16">
            <w:pPr>
              <w:spacing w:before="40" w:after="40" w:line="260" w:lineRule="auto"/>
            </w:pPr>
            <w:r>
              <w:rPr>
                <w:rFonts w:hint="eastAsia" w:ascii="Songti SC" w:hAnsi="Songti SC" w:eastAsia="Songti SC" w:cs="Songti SC"/>
                <w:color w:val="000000"/>
                <w:sz w:val="21"/>
                <w:szCs w:val="21"/>
                <w:lang w:bidi="ar"/>
              </w:rPr>
              <w:t>数据与共享</w:t>
            </w:r>
          </w:p>
        </w:tc>
        <w:tc>
          <w:tcPr>
            <w:tcW w:w="2500" w:type="dxa"/>
            <w:vAlign w:val="center"/>
          </w:tcPr>
          <w:p w14:paraId="098ED5B0">
            <w:pPr>
              <w:spacing w:before="40" w:after="40" w:line="260" w:lineRule="auto"/>
            </w:pPr>
            <w:r>
              <w:rPr>
                <w:rFonts w:hint="eastAsia" w:ascii="Songti SC" w:hAnsi="Songti SC" w:eastAsia="Songti SC" w:cs="Songti SC"/>
                <w:color w:val="000000"/>
                <w:sz w:val="21"/>
                <w:szCs w:val="21"/>
                <w:lang w:bidi="ar"/>
              </w:rPr>
              <w:t>第1、9项</w:t>
            </w:r>
          </w:p>
        </w:tc>
        <w:tc>
          <w:tcPr>
            <w:tcW w:w="4400" w:type="dxa"/>
            <w:vAlign w:val="center"/>
          </w:tcPr>
          <w:p w14:paraId="36EBAD2F">
            <w:pPr>
              <w:spacing w:before="40" w:after="40" w:line="260" w:lineRule="auto"/>
            </w:pPr>
            <w:r>
              <w:rPr>
                <w:rFonts w:hint="eastAsia" w:ascii="Songti SC" w:hAnsi="Songti SC" w:eastAsia="Songti SC" w:cs="Songti SC"/>
                <w:color w:val="000000"/>
                <w:sz w:val="21"/>
                <w:szCs w:val="21"/>
                <w:lang w:bidi="ar"/>
              </w:rPr>
              <w:t>数据共享接口与历史迁移分别计工作，不重复列全量数据迁移；形成字段映射、目录及账务核对记录。</w:t>
            </w:r>
          </w:p>
        </w:tc>
      </w:tr>
      <w:tr w14:paraId="7C551368">
        <w:trPr>
          <w:cantSplit/>
        </w:trPr>
        <w:tc>
          <w:tcPr>
            <w:tcW w:w="1600" w:type="dxa"/>
            <w:vAlign w:val="center"/>
          </w:tcPr>
          <w:p w14:paraId="56DEDA4B">
            <w:pPr>
              <w:spacing w:before="40" w:after="40" w:line="260" w:lineRule="auto"/>
            </w:pPr>
            <w:r>
              <w:rPr>
                <w:rFonts w:hint="eastAsia" w:ascii="Songti SC" w:hAnsi="Songti SC" w:eastAsia="Songti SC" w:cs="Songti SC"/>
                <w:color w:val="000000"/>
                <w:sz w:val="21"/>
                <w:szCs w:val="21"/>
                <w:lang w:bidi="ar"/>
              </w:rPr>
              <w:t>服务后台与管理端</w:t>
            </w:r>
          </w:p>
        </w:tc>
        <w:tc>
          <w:tcPr>
            <w:tcW w:w="2500" w:type="dxa"/>
            <w:vAlign w:val="center"/>
          </w:tcPr>
          <w:p w14:paraId="0DB4C530">
            <w:pPr>
              <w:spacing w:before="40" w:after="40" w:line="260" w:lineRule="auto"/>
            </w:pPr>
            <w:r>
              <w:rPr>
                <w:rFonts w:hint="eastAsia" w:ascii="Songti SC" w:hAnsi="Songti SC" w:eastAsia="Songti SC" w:cs="Songti SC"/>
                <w:color w:val="000000"/>
                <w:sz w:val="21"/>
                <w:szCs w:val="21"/>
                <w:lang w:bidi="ar"/>
              </w:rPr>
              <w:t>第2—8项</w:t>
            </w:r>
          </w:p>
        </w:tc>
        <w:tc>
          <w:tcPr>
            <w:tcW w:w="4400" w:type="dxa"/>
            <w:vAlign w:val="center"/>
          </w:tcPr>
          <w:p w14:paraId="744FF62B">
            <w:pPr>
              <w:spacing w:before="40" w:after="40" w:line="260" w:lineRule="auto"/>
            </w:pPr>
            <w:r>
              <w:rPr>
                <w:rFonts w:hint="eastAsia" w:ascii="Songti SC" w:hAnsi="Songti SC" w:eastAsia="Songti SC" w:cs="Songti SC"/>
                <w:color w:val="000000"/>
                <w:sz w:val="21"/>
                <w:szCs w:val="21"/>
                <w:lang w:bidi="ar"/>
              </w:rPr>
              <w:t>同一功能的PHP服务与Vue管理页面归入对应模块；模块内包括开发、调试和功能验证，不另计通用联调。</w:t>
            </w:r>
          </w:p>
        </w:tc>
      </w:tr>
      <w:tr w14:paraId="33B7978C">
        <w:trPr>
          <w:cantSplit/>
        </w:trPr>
        <w:tc>
          <w:tcPr>
            <w:tcW w:w="1600" w:type="dxa"/>
            <w:vAlign w:val="center"/>
          </w:tcPr>
          <w:p w14:paraId="706F1B38">
            <w:pPr>
              <w:spacing w:before="40" w:after="40" w:line="260" w:lineRule="auto"/>
            </w:pPr>
            <w:r>
              <w:rPr>
                <w:rFonts w:hint="eastAsia" w:ascii="Songti SC" w:hAnsi="Songti SC" w:eastAsia="Songti SC" w:cs="Songti SC"/>
                <w:color w:val="000000"/>
                <w:sz w:val="21"/>
                <w:szCs w:val="21"/>
                <w:lang w:bidi="ar"/>
              </w:rPr>
              <w:t>终端更新与接入</w:t>
            </w:r>
          </w:p>
        </w:tc>
        <w:tc>
          <w:tcPr>
            <w:tcW w:w="2500" w:type="dxa"/>
            <w:vAlign w:val="center"/>
          </w:tcPr>
          <w:p w14:paraId="54997FEC">
            <w:pPr>
              <w:spacing w:before="40" w:after="40" w:line="260" w:lineRule="auto"/>
            </w:pPr>
            <w:r>
              <w:rPr>
                <w:rFonts w:hint="eastAsia" w:ascii="Songti SC" w:hAnsi="Songti SC" w:eastAsia="Songti SC" w:cs="Songti SC"/>
                <w:color w:val="000000"/>
                <w:sz w:val="21"/>
                <w:szCs w:val="21"/>
                <w:lang w:bidi="ar"/>
              </w:rPr>
              <w:t>第10—13项</w:t>
            </w:r>
          </w:p>
        </w:tc>
        <w:tc>
          <w:tcPr>
            <w:tcW w:w="4400" w:type="dxa"/>
            <w:vAlign w:val="center"/>
          </w:tcPr>
          <w:p w14:paraId="7B801BAA">
            <w:pPr>
              <w:spacing w:before="40" w:after="40" w:line="260" w:lineRule="auto"/>
            </w:pPr>
            <w:r>
              <w:rPr>
                <w:rFonts w:hint="eastAsia" w:ascii="Songti SC" w:hAnsi="Songti SC" w:eastAsia="Songti SC" w:cs="Songti SC"/>
                <w:color w:val="000000"/>
                <w:sz w:val="21"/>
                <w:szCs w:val="21"/>
                <w:lang w:bidi="ar"/>
              </w:rPr>
              <w:t>第10—12项负责三类终端本机功能和协议适配，第13项负责跨设备共用的人员同步、任务及状态管理。55台更新供货范围与费用覆盖须核清后计列，不重复计算公共接口开发。</w:t>
            </w:r>
          </w:p>
        </w:tc>
      </w:tr>
      <w:tr w14:paraId="19E0BACA">
        <w:trPr>
          <w:cantSplit/>
        </w:trPr>
        <w:tc>
          <w:tcPr>
            <w:tcW w:w="1600" w:type="dxa"/>
            <w:vAlign w:val="center"/>
          </w:tcPr>
          <w:p w14:paraId="569044B4">
            <w:pPr>
              <w:spacing w:before="40" w:after="40" w:line="260" w:lineRule="auto"/>
            </w:pPr>
            <w:r>
              <w:rPr>
                <w:rFonts w:hint="eastAsia" w:ascii="Songti SC" w:hAnsi="Songti SC" w:eastAsia="Songti SC" w:cs="Songti SC"/>
                <w:color w:val="000000"/>
                <w:sz w:val="21"/>
                <w:szCs w:val="21"/>
                <w:lang w:bidi="ar"/>
              </w:rPr>
              <w:t>小程序及银行</w:t>
            </w:r>
          </w:p>
        </w:tc>
        <w:tc>
          <w:tcPr>
            <w:tcW w:w="2500" w:type="dxa"/>
            <w:vAlign w:val="center"/>
          </w:tcPr>
          <w:p w14:paraId="04A45D9D">
            <w:pPr>
              <w:spacing w:before="40" w:after="40" w:line="260" w:lineRule="auto"/>
            </w:pPr>
            <w:r>
              <w:rPr>
                <w:rFonts w:hint="eastAsia" w:ascii="Songti SC" w:hAnsi="Songti SC" w:eastAsia="Songti SC" w:cs="Songti SC"/>
                <w:color w:val="000000"/>
                <w:sz w:val="21"/>
                <w:szCs w:val="21"/>
                <w:lang w:bidi="ar"/>
              </w:rPr>
              <w:t>第14项</w:t>
            </w:r>
          </w:p>
        </w:tc>
        <w:tc>
          <w:tcPr>
            <w:tcW w:w="4400" w:type="dxa"/>
            <w:vAlign w:val="center"/>
          </w:tcPr>
          <w:p w14:paraId="3285BD8E">
            <w:pPr>
              <w:spacing w:before="40" w:after="40" w:line="260" w:lineRule="auto"/>
            </w:pPr>
            <w:r>
              <w:rPr>
                <w:rFonts w:hint="eastAsia" w:ascii="Songti SC" w:hAnsi="Songti SC" w:eastAsia="Songti SC" w:cs="Songti SC"/>
                <w:color w:val="000000"/>
                <w:sz w:val="21"/>
                <w:szCs w:val="21"/>
                <w:lang w:bidi="ar"/>
              </w:rPr>
              <w:t>移动端业务及银行充值链路作为同一闭环验证，与第1项区大数据共享接口区分，避免重复。</w:t>
            </w:r>
          </w:p>
        </w:tc>
      </w:tr>
      <w:tr w14:paraId="024CAC9F">
        <w:trPr>
          <w:cantSplit/>
        </w:trPr>
        <w:tc>
          <w:tcPr>
            <w:tcW w:w="1600" w:type="dxa"/>
            <w:vAlign w:val="center"/>
          </w:tcPr>
          <w:p w14:paraId="08BE5998">
            <w:pPr>
              <w:spacing w:before="40" w:after="40" w:line="260" w:lineRule="auto"/>
            </w:pPr>
            <w:r>
              <w:rPr>
                <w:rFonts w:hint="eastAsia" w:ascii="Songti SC" w:hAnsi="Songti SC" w:eastAsia="Songti SC" w:cs="Songti SC"/>
                <w:color w:val="000000"/>
                <w:sz w:val="21"/>
                <w:szCs w:val="21"/>
                <w:lang w:bidi="ar"/>
              </w:rPr>
              <w:t>原7万元综合联调</w:t>
            </w:r>
          </w:p>
        </w:tc>
        <w:tc>
          <w:tcPr>
            <w:tcW w:w="2500" w:type="dxa"/>
            <w:vAlign w:val="center"/>
          </w:tcPr>
          <w:p w14:paraId="60000652">
            <w:pPr>
              <w:spacing w:before="40" w:after="40" w:line="260" w:lineRule="auto"/>
            </w:pPr>
            <w:r>
              <w:rPr>
                <w:rFonts w:hint="eastAsia" w:ascii="Songti SC" w:hAnsi="Songti SC" w:eastAsia="Songti SC" w:cs="Songti SC"/>
                <w:color w:val="000000"/>
                <w:sz w:val="21"/>
                <w:szCs w:val="21"/>
                <w:lang w:bidi="ar"/>
              </w:rPr>
              <w:t>原第15项，拟归并第1—14项</w:t>
            </w:r>
          </w:p>
        </w:tc>
        <w:tc>
          <w:tcPr>
            <w:tcW w:w="4400" w:type="dxa"/>
            <w:vAlign w:val="center"/>
          </w:tcPr>
          <w:p w14:paraId="65812620">
            <w:pPr>
              <w:spacing w:before="40" w:after="40" w:line="260" w:lineRule="auto"/>
            </w:pPr>
            <w:r>
              <w:rPr>
                <w:rFonts w:hint="eastAsia" w:ascii="Songti SC" w:hAnsi="Songti SC" w:eastAsia="Songti SC" w:cs="Songti SC"/>
                <w:color w:val="000000"/>
                <w:sz w:val="21"/>
                <w:szCs w:val="21"/>
                <w:lang w:bidi="ar"/>
              </w:rPr>
              <w:t>按实际模块工作量归并环境、数据库、接口和终端调试，不因章节单列再计开发费用；本稿不擅定分摊金额。</w:t>
            </w:r>
          </w:p>
        </w:tc>
      </w:tr>
      <w:tr w14:paraId="786B92DA">
        <w:trPr>
          <w:cantSplit/>
        </w:trPr>
        <w:tc>
          <w:tcPr>
            <w:tcW w:w="1600" w:type="dxa"/>
            <w:vAlign w:val="center"/>
          </w:tcPr>
          <w:p w14:paraId="38E2E0C1">
            <w:pPr>
              <w:spacing w:before="40" w:after="40" w:line="260" w:lineRule="auto"/>
            </w:pPr>
            <w:r>
              <w:rPr>
                <w:rFonts w:hint="eastAsia" w:ascii="Songti SC" w:hAnsi="Songti SC" w:eastAsia="Songti SC" w:cs="Songti SC"/>
                <w:color w:val="000000"/>
                <w:sz w:val="21"/>
                <w:szCs w:val="21"/>
                <w:lang w:bidi="ar"/>
              </w:rPr>
              <w:t>原4万元上线等支持</w:t>
            </w:r>
          </w:p>
        </w:tc>
        <w:tc>
          <w:tcPr>
            <w:tcW w:w="2500" w:type="dxa"/>
            <w:vAlign w:val="center"/>
          </w:tcPr>
          <w:p w14:paraId="5E1EE9FA">
            <w:pPr>
              <w:spacing w:before="40" w:after="40" w:line="260" w:lineRule="auto"/>
            </w:pPr>
            <w:r>
              <w:rPr>
                <w:rFonts w:hint="eastAsia" w:ascii="Songti SC" w:hAnsi="Songti SC" w:eastAsia="Songti SC" w:cs="Songti SC"/>
                <w:color w:val="000000"/>
                <w:sz w:val="21"/>
                <w:szCs w:val="21"/>
                <w:lang w:bidi="ar"/>
              </w:rPr>
              <w:t>原第16项，拟归并对应业务交付</w:t>
            </w:r>
          </w:p>
        </w:tc>
        <w:tc>
          <w:tcPr>
            <w:tcW w:w="4400" w:type="dxa"/>
            <w:vAlign w:val="center"/>
          </w:tcPr>
          <w:p w14:paraId="172F47C1">
            <w:pPr>
              <w:spacing w:before="40" w:after="40" w:line="260" w:lineRule="auto"/>
            </w:pPr>
            <w:r>
              <w:rPr>
                <w:rFonts w:hint="eastAsia" w:ascii="Songti SC" w:hAnsi="Songti SC" w:eastAsia="Songti SC" w:cs="Songti SC"/>
                <w:color w:val="000000"/>
                <w:sz w:val="21"/>
                <w:szCs w:val="21"/>
                <w:lang w:bidi="ar"/>
              </w:rPr>
              <w:t>上线、培训、试运行和整改配合列入相应模块交付；第三方等保8万元、密评11万元与开发配合工作区分。</w:t>
            </w:r>
          </w:p>
        </w:tc>
      </w:tr>
      <w:tr w14:paraId="7E8067C5">
        <w:trPr>
          <w:cantSplit/>
        </w:trPr>
        <w:tc>
          <w:tcPr>
            <w:tcW w:w="1600" w:type="dxa"/>
            <w:vAlign w:val="center"/>
          </w:tcPr>
          <w:p w14:paraId="31A8DF4A">
            <w:pPr>
              <w:spacing w:before="40" w:after="40" w:line="260" w:lineRule="auto"/>
            </w:pPr>
            <w:r>
              <w:rPr>
                <w:rFonts w:hint="eastAsia" w:ascii="Songti SC" w:hAnsi="Songti SC" w:eastAsia="Songti SC" w:cs="Songti SC"/>
                <w:color w:val="000000"/>
                <w:sz w:val="21"/>
                <w:szCs w:val="21"/>
                <w:lang w:bidi="ar"/>
              </w:rPr>
              <w:t>基础软件19.50万元</w:t>
            </w:r>
          </w:p>
        </w:tc>
        <w:tc>
          <w:tcPr>
            <w:tcW w:w="2500" w:type="dxa"/>
            <w:vAlign w:val="center"/>
          </w:tcPr>
          <w:p w14:paraId="0316E026">
            <w:pPr>
              <w:spacing w:before="40" w:after="40" w:line="260" w:lineRule="auto"/>
            </w:pPr>
            <w:r>
              <w:rPr>
                <w:rFonts w:hint="eastAsia" w:ascii="Songti SC" w:hAnsi="Songti SC" w:eastAsia="Songti SC" w:cs="Songti SC"/>
                <w:color w:val="000000"/>
                <w:sz w:val="21"/>
                <w:szCs w:val="21"/>
                <w:lang w:bidi="ar"/>
              </w:rPr>
              <w:t>操作系统2.10、中间件5.40、数据库12.00万元</w:t>
            </w:r>
          </w:p>
        </w:tc>
        <w:tc>
          <w:tcPr>
            <w:tcW w:w="4400" w:type="dxa"/>
            <w:vAlign w:val="center"/>
          </w:tcPr>
          <w:p w14:paraId="7122FCC1">
            <w:pPr>
              <w:spacing w:before="40" w:after="40" w:line="260" w:lineRule="auto"/>
            </w:pPr>
            <w:r>
              <w:rPr>
                <w:rFonts w:hint="eastAsia" w:ascii="Songti SC" w:hAnsi="Songti SC" w:eastAsia="Songti SC" w:cs="Songti SC"/>
                <w:color w:val="000000"/>
                <w:sz w:val="21"/>
                <w:szCs w:val="21"/>
                <w:lang w:bidi="ar"/>
              </w:rPr>
              <w:t>参考产品、具体版本、实际部署及授权覆盖相互对应；不得凭“1套”默认覆盖9节点或双节点数据库。</w:t>
            </w:r>
          </w:p>
        </w:tc>
      </w:tr>
    </w:tbl>
    <w:p w14:paraId="6459993A">
      <w:pPr>
        <w:pStyle w:val="14"/>
        <w:keepNext/>
        <w:spacing w:line="360" w:lineRule="auto"/>
        <w:rPr>
          <w:rStyle w:val="79"/>
          <w:rFonts w:hint="eastAsia" w:cs="宋体"/>
          <w:color w:val="000000"/>
        </w:rPr>
      </w:pPr>
      <w:r>
        <w:rPr>
          <w:rFonts w:ascii="Songti SC" w:hAnsi="Songti SC" w:eastAsia="Songti SC" w:cs="Songti SC"/>
          <w:color w:val="000000"/>
          <w:szCs w:val="21"/>
        </w:rPr>
        <w:t>表11.2 食堂消费系统升级改造工程费</w:t>
      </w:r>
    </w:p>
    <w:tbl>
      <w:tblPr>
        <w:tblStyle w:val="60"/>
        <w:tblW w:w="4999" w:type="pct"/>
        <w:tblInd w:w="0" w:type="dxa"/>
        <w:tblLayout w:type="fixed"/>
        <w:tblCellMar>
          <w:top w:w="0" w:type="dxa"/>
          <w:left w:w="108" w:type="dxa"/>
          <w:bottom w:w="0" w:type="dxa"/>
          <w:right w:w="108" w:type="dxa"/>
        </w:tblCellMar>
      </w:tblPr>
      <w:tblGrid>
        <w:gridCol w:w="683"/>
        <w:gridCol w:w="1351"/>
        <w:gridCol w:w="2181"/>
        <w:gridCol w:w="726"/>
        <w:gridCol w:w="726"/>
        <w:gridCol w:w="879"/>
        <w:gridCol w:w="1017"/>
        <w:gridCol w:w="956"/>
      </w:tblGrid>
      <w:tr w14:paraId="3F4AF719">
        <w:trPr>
          <w:trHeight w:val="290" w:hRule="atLeast"/>
        </w:trPr>
        <w:tc>
          <w:tcPr>
            <w:tcW w:w="5000" w:type="pct"/>
            <w:gridSpan w:val="8"/>
            <w:tcBorders>
              <w:top w:val="single" w:color="auto" w:sz="4" w:space="0"/>
              <w:left w:val="single" w:color="auto" w:sz="4" w:space="0"/>
              <w:bottom w:val="single" w:color="auto" w:sz="4" w:space="0"/>
              <w:right w:val="single" w:color="000000" w:sz="4" w:space="0"/>
            </w:tcBorders>
            <w:vAlign w:val="center"/>
          </w:tcPr>
          <w:p w14:paraId="5C583736">
            <w:pPr>
              <w:pStyle w:val="128"/>
              <w:jc w:val="left"/>
              <w:rPr>
                <w:rFonts w:hint="eastAsia"/>
                <w:color w:val="000000"/>
                <w:sz w:val="21"/>
              </w:rPr>
            </w:pPr>
            <w:r>
              <w:rPr>
                <w:rFonts w:ascii="Songti SC" w:hAnsi="Songti SC" w:eastAsia="Songti SC" w:cs="Songti SC"/>
                <w:color w:val="000000"/>
              </w:rPr>
              <w:t>一、系统适配升级费</w:t>
            </w:r>
          </w:p>
        </w:tc>
      </w:tr>
      <w:tr w14:paraId="03CBAD51">
        <w:trPr>
          <w:trHeight w:val="540" w:hRule="atLeast"/>
        </w:trPr>
        <w:tc>
          <w:tcPr>
            <w:tcW w:w="401" w:type="pct"/>
            <w:tcBorders>
              <w:top w:val="nil"/>
              <w:left w:val="single" w:color="auto" w:sz="4" w:space="0"/>
              <w:bottom w:val="single" w:color="auto" w:sz="4" w:space="0"/>
              <w:right w:val="single" w:color="auto" w:sz="4" w:space="0"/>
            </w:tcBorders>
            <w:vAlign w:val="center"/>
          </w:tcPr>
          <w:p w14:paraId="39F643D0">
            <w:pPr>
              <w:pStyle w:val="128"/>
              <w:rPr>
                <w:rFonts w:hint="eastAsia"/>
                <w:color w:val="000000"/>
                <w:sz w:val="21"/>
              </w:rPr>
            </w:pPr>
            <w:r>
              <w:rPr>
                <w:rFonts w:ascii="Songti SC" w:hAnsi="Songti SC" w:eastAsia="Songti SC" w:cs="Songti SC"/>
                <w:color w:val="000000"/>
              </w:rPr>
              <w:t>序号</w:t>
            </w:r>
          </w:p>
        </w:tc>
        <w:tc>
          <w:tcPr>
            <w:tcW w:w="793" w:type="pct"/>
            <w:tcBorders>
              <w:top w:val="nil"/>
              <w:left w:val="nil"/>
              <w:bottom w:val="single" w:color="auto" w:sz="4" w:space="0"/>
              <w:right w:val="single" w:color="auto" w:sz="4" w:space="0"/>
            </w:tcBorders>
            <w:vAlign w:val="center"/>
          </w:tcPr>
          <w:p w14:paraId="37945236">
            <w:pPr>
              <w:pStyle w:val="128"/>
              <w:jc w:val="left"/>
              <w:rPr>
                <w:rFonts w:hint="eastAsia"/>
                <w:color w:val="000000"/>
                <w:sz w:val="21"/>
              </w:rPr>
            </w:pPr>
            <w:r>
              <w:rPr>
                <w:rFonts w:ascii="Songti SC" w:hAnsi="Songti SC" w:eastAsia="Songti SC" w:cs="Songti SC"/>
                <w:color w:val="000000"/>
              </w:rPr>
              <w:t>项目名称</w:t>
            </w:r>
          </w:p>
        </w:tc>
        <w:tc>
          <w:tcPr>
            <w:tcW w:w="1280" w:type="pct"/>
            <w:tcBorders>
              <w:top w:val="nil"/>
              <w:left w:val="nil"/>
              <w:bottom w:val="single" w:color="auto" w:sz="4" w:space="0"/>
              <w:right w:val="single" w:color="auto" w:sz="4" w:space="0"/>
            </w:tcBorders>
            <w:vAlign w:val="center"/>
          </w:tcPr>
          <w:p w14:paraId="5022BEAD">
            <w:pPr>
              <w:pStyle w:val="128"/>
              <w:jc w:val="left"/>
              <w:rPr>
                <w:rFonts w:hint="eastAsia"/>
                <w:color w:val="000000"/>
                <w:sz w:val="21"/>
              </w:rPr>
            </w:pPr>
            <w:r>
              <w:rPr>
                <w:rFonts w:ascii="Songti SC" w:hAnsi="Songti SC" w:eastAsia="Songti SC" w:cs="Songti SC"/>
                <w:color w:val="000000"/>
              </w:rPr>
              <w:t>技术参数</w:t>
            </w:r>
          </w:p>
        </w:tc>
        <w:tc>
          <w:tcPr>
            <w:tcW w:w="426" w:type="pct"/>
            <w:tcBorders>
              <w:top w:val="nil"/>
              <w:left w:val="nil"/>
              <w:bottom w:val="single" w:color="auto" w:sz="4" w:space="0"/>
              <w:right w:val="single" w:color="auto" w:sz="4" w:space="0"/>
            </w:tcBorders>
            <w:vAlign w:val="center"/>
          </w:tcPr>
          <w:p w14:paraId="5FF9E39D">
            <w:pPr>
              <w:pStyle w:val="128"/>
              <w:rPr>
                <w:rFonts w:hint="eastAsia"/>
                <w:color w:val="000000"/>
                <w:sz w:val="21"/>
              </w:rPr>
            </w:pPr>
            <w:r>
              <w:rPr>
                <w:rFonts w:ascii="Songti SC" w:hAnsi="Songti SC" w:eastAsia="Songti SC" w:cs="Songti SC"/>
                <w:color w:val="000000"/>
              </w:rPr>
              <w:t>单位</w:t>
            </w:r>
          </w:p>
        </w:tc>
        <w:tc>
          <w:tcPr>
            <w:tcW w:w="426" w:type="pct"/>
            <w:tcBorders>
              <w:top w:val="nil"/>
              <w:left w:val="nil"/>
              <w:bottom w:val="single" w:color="auto" w:sz="4" w:space="0"/>
              <w:right w:val="single" w:color="auto" w:sz="4" w:space="0"/>
            </w:tcBorders>
            <w:vAlign w:val="center"/>
          </w:tcPr>
          <w:p w14:paraId="109DE60A">
            <w:pPr>
              <w:pStyle w:val="128"/>
              <w:rPr>
                <w:rFonts w:hint="eastAsia"/>
                <w:color w:val="000000"/>
                <w:sz w:val="21"/>
              </w:rPr>
            </w:pPr>
            <w:r>
              <w:rPr>
                <w:rFonts w:ascii="Songti SC" w:hAnsi="Songti SC" w:eastAsia="Songti SC" w:cs="Songti SC"/>
                <w:color w:val="000000"/>
              </w:rPr>
              <w:t>数量</w:t>
            </w:r>
          </w:p>
        </w:tc>
        <w:tc>
          <w:tcPr>
            <w:tcW w:w="516" w:type="pct"/>
            <w:tcBorders>
              <w:top w:val="nil"/>
              <w:left w:val="nil"/>
              <w:bottom w:val="single" w:color="auto" w:sz="4" w:space="0"/>
              <w:right w:val="single" w:color="auto" w:sz="4" w:space="0"/>
            </w:tcBorders>
            <w:vAlign w:val="center"/>
          </w:tcPr>
          <w:p w14:paraId="148EC59B">
            <w:pPr>
              <w:pStyle w:val="128"/>
              <w:rPr>
                <w:rFonts w:hint="eastAsia"/>
                <w:color w:val="000000"/>
                <w:sz w:val="21"/>
              </w:rPr>
            </w:pPr>
            <w:r>
              <w:rPr>
                <w:rFonts w:ascii="Songti SC" w:hAnsi="Songti SC" w:eastAsia="Songti SC" w:cs="Songti SC"/>
                <w:color w:val="000000"/>
              </w:rPr>
              <w:t>单价 / (万元)</w:t>
            </w:r>
          </w:p>
        </w:tc>
        <w:tc>
          <w:tcPr>
            <w:tcW w:w="597" w:type="pct"/>
            <w:tcBorders>
              <w:top w:val="nil"/>
              <w:left w:val="nil"/>
              <w:bottom w:val="single" w:color="auto" w:sz="4" w:space="0"/>
              <w:right w:val="single" w:color="auto" w:sz="4" w:space="0"/>
            </w:tcBorders>
            <w:vAlign w:val="center"/>
          </w:tcPr>
          <w:p w14:paraId="443F9916">
            <w:pPr>
              <w:pStyle w:val="128"/>
              <w:rPr>
                <w:rFonts w:hint="eastAsia"/>
                <w:color w:val="000000"/>
                <w:sz w:val="21"/>
              </w:rPr>
            </w:pPr>
            <w:r>
              <w:rPr>
                <w:rFonts w:ascii="Songti SC" w:hAnsi="Songti SC" w:eastAsia="Songti SC" w:cs="Songti SC"/>
                <w:color w:val="000000"/>
              </w:rPr>
              <w:t>总价 / (万元)</w:t>
            </w:r>
          </w:p>
        </w:tc>
        <w:tc>
          <w:tcPr>
            <w:tcW w:w="561" w:type="pct"/>
            <w:tcBorders>
              <w:top w:val="nil"/>
              <w:left w:val="nil"/>
              <w:bottom w:val="single" w:color="auto" w:sz="4" w:space="0"/>
              <w:right w:val="single" w:color="auto" w:sz="4" w:space="0"/>
            </w:tcBorders>
            <w:vAlign w:val="center"/>
          </w:tcPr>
          <w:p w14:paraId="56E0A94C">
            <w:pPr>
              <w:pStyle w:val="128"/>
              <w:jc w:val="left"/>
              <w:rPr>
                <w:rFonts w:hint="eastAsia"/>
                <w:color w:val="000000"/>
                <w:sz w:val="21"/>
              </w:rPr>
            </w:pPr>
            <w:r>
              <w:rPr>
                <w:rFonts w:ascii="Songti SC" w:hAnsi="Songti SC" w:eastAsia="Songti SC" w:cs="Songti SC"/>
                <w:color w:val="000000"/>
              </w:rPr>
              <w:t>备注</w:t>
            </w:r>
          </w:p>
        </w:tc>
      </w:tr>
      <w:tr w14:paraId="1054FA51">
        <w:trPr>
          <w:trHeight w:val="290" w:hRule="atLeast"/>
        </w:trPr>
        <w:tc>
          <w:tcPr>
            <w:tcW w:w="5000" w:type="pct"/>
            <w:gridSpan w:val="8"/>
            <w:tcBorders>
              <w:top w:val="single" w:color="auto" w:sz="4" w:space="0"/>
              <w:left w:val="single" w:color="auto" w:sz="4" w:space="0"/>
              <w:bottom w:val="single" w:color="auto" w:sz="4" w:space="0"/>
              <w:right w:val="single" w:color="000000" w:sz="4" w:space="0"/>
            </w:tcBorders>
            <w:vAlign w:val="center"/>
          </w:tcPr>
          <w:p w14:paraId="37C4B4B3">
            <w:pPr>
              <w:pStyle w:val="128"/>
              <w:jc w:val="left"/>
              <w:rPr>
                <w:rFonts w:hint="eastAsia"/>
                <w:color w:val="000000"/>
                <w:sz w:val="21"/>
              </w:rPr>
            </w:pPr>
            <w:r>
              <w:rPr>
                <w:rFonts w:ascii="Songti SC" w:hAnsi="Songti SC" w:eastAsia="Songti SC" w:cs="Songti SC"/>
                <w:color w:val="000000"/>
              </w:rPr>
              <w:t>（一）食堂消费系统功能适配</w:t>
            </w:r>
          </w:p>
        </w:tc>
      </w:tr>
      <w:tr w14:paraId="4E45F5FA">
        <w:trPr>
          <w:trHeight w:val="1200" w:hRule="atLeast"/>
        </w:trPr>
        <w:tc>
          <w:tcPr>
            <w:tcW w:w="401" w:type="pct"/>
            <w:tcBorders>
              <w:top w:val="nil"/>
              <w:left w:val="single" w:color="auto" w:sz="4" w:space="0"/>
              <w:bottom w:val="single" w:color="auto" w:sz="4" w:space="0"/>
              <w:right w:val="single" w:color="auto" w:sz="4" w:space="0"/>
            </w:tcBorders>
            <w:vAlign w:val="center"/>
          </w:tcPr>
          <w:p w14:paraId="2713AD40">
            <w:pPr>
              <w:widowControl/>
              <w:spacing w:line="240" w:lineRule="auto"/>
              <w:ind w:firstLine="0" w:firstLineChars="0"/>
              <w:textAlignment w:val="center"/>
              <w:rPr>
                <w:rFonts w:hint="eastAsia"/>
                <w:color w:val="000000"/>
                <w:sz w:val="21"/>
                <w:szCs w:val="21"/>
              </w:rPr>
            </w:pPr>
            <w:r>
              <w:rPr>
                <w:rFonts w:ascii="Songti SC" w:hAnsi="Songti SC" w:eastAsia="Songti SC" w:cs="Songti SC"/>
                <w:color w:val="000000"/>
              </w:rPr>
              <w:t>1</w:t>
            </w:r>
          </w:p>
        </w:tc>
        <w:tc>
          <w:tcPr>
            <w:tcW w:w="793" w:type="pct"/>
            <w:tcBorders>
              <w:top w:val="nil"/>
              <w:left w:val="nil"/>
              <w:bottom w:val="single" w:color="auto" w:sz="4" w:space="0"/>
              <w:right w:val="single" w:color="auto" w:sz="4" w:space="0"/>
            </w:tcBorders>
            <w:vAlign w:val="center"/>
          </w:tcPr>
          <w:p w14:paraId="38EA3017">
            <w:pPr>
              <w:widowControl/>
              <w:spacing w:line="240" w:lineRule="auto"/>
              <w:ind w:firstLine="0" w:firstLineChars="0"/>
              <w:jc w:val="left"/>
              <w:textAlignment w:val="center"/>
              <w:rPr>
                <w:rFonts w:hint="eastAsia"/>
                <w:color w:val="000000"/>
                <w:sz w:val="21"/>
                <w:szCs w:val="21"/>
              </w:rPr>
            </w:pPr>
            <w:r>
              <w:rPr>
                <w:rFonts w:ascii="Songti SC" w:hAnsi="Songti SC" w:eastAsia="Songti SC" w:cs="Songti SC"/>
                <w:color w:val="000000"/>
              </w:rPr>
              <w:t>信息资源建设及数据共享适配</w:t>
            </w:r>
          </w:p>
        </w:tc>
        <w:tc>
          <w:tcPr>
            <w:tcW w:w="1280" w:type="pct"/>
            <w:tcBorders>
              <w:top w:val="nil"/>
              <w:left w:val="nil"/>
              <w:bottom w:val="single" w:color="auto" w:sz="4" w:space="0"/>
              <w:right w:val="single" w:color="auto" w:sz="4" w:space="0"/>
            </w:tcBorders>
            <w:vAlign w:val="center"/>
          </w:tcPr>
          <w:p w14:paraId="0B43B2E8">
            <w:pPr>
              <w:widowControl/>
              <w:spacing w:line="240" w:lineRule="auto"/>
              <w:ind w:firstLine="0" w:firstLineChars="0"/>
              <w:jc w:val="left"/>
              <w:textAlignment w:val="center"/>
              <w:rPr>
                <w:rFonts w:hint="eastAsia"/>
                <w:color w:val="000000"/>
                <w:sz w:val="21"/>
                <w:szCs w:val="21"/>
              </w:rPr>
            </w:pPr>
            <w:r>
              <w:rPr>
                <w:rFonts w:ascii="Songti SC" w:hAnsi="Songti SC" w:eastAsia="Songti SC" w:cs="Songti SC"/>
                <w:color w:val="000000"/>
              </w:rPr>
              <w:t>围绕信息资源目录、共享交换、前置库、</w:t>
            </w:r>
            <w:r>
              <w:rPr>
                <w:rFonts w:hint="eastAsia" w:ascii="Songti SC" w:hAnsi="Songti SC" w:eastAsia="Songti SC" w:cs="Songti SC"/>
                <w:color w:val="000000"/>
                <w:lang w:eastAsia="zh-CN"/>
              </w:rPr>
              <w:t>大数据交互平台</w:t>
            </w:r>
            <w:r>
              <w:rPr>
                <w:rFonts w:ascii="Songti SC" w:hAnsi="Songti SC" w:eastAsia="Songti SC" w:cs="Songti SC"/>
                <w:color w:val="000000"/>
              </w:rPr>
              <w:t>、数据接口清单和信息资源库逻辑关系开展梳理、配置、联调和验证。</w:t>
            </w:r>
          </w:p>
        </w:tc>
        <w:tc>
          <w:tcPr>
            <w:tcW w:w="426" w:type="pct"/>
            <w:tcBorders>
              <w:top w:val="nil"/>
              <w:left w:val="nil"/>
              <w:bottom w:val="single" w:color="auto" w:sz="4" w:space="0"/>
              <w:right w:val="single" w:color="auto" w:sz="4" w:space="0"/>
            </w:tcBorders>
            <w:vAlign w:val="center"/>
          </w:tcPr>
          <w:p w14:paraId="3F332BDF">
            <w:pPr>
              <w:pStyle w:val="129"/>
              <w:rPr>
                <w:rFonts w:hint="eastAsia"/>
                <w:color w:val="000000"/>
                <w:sz w:val="21"/>
              </w:rPr>
            </w:pPr>
            <w:r>
              <w:rPr>
                <w:rFonts w:ascii="Songti SC" w:hAnsi="Songti SC" w:eastAsia="Songti SC" w:cs="Songti SC"/>
                <w:color w:val="000000"/>
              </w:rPr>
              <w:t>人/月</w:t>
            </w:r>
          </w:p>
        </w:tc>
        <w:tc>
          <w:tcPr>
            <w:tcW w:w="426" w:type="pct"/>
            <w:tcBorders>
              <w:top w:val="nil"/>
              <w:left w:val="nil"/>
              <w:bottom w:val="single" w:color="auto" w:sz="4" w:space="0"/>
              <w:right w:val="single" w:color="auto" w:sz="4" w:space="0"/>
            </w:tcBorders>
            <w:vAlign w:val="center"/>
          </w:tcPr>
          <w:p w14:paraId="2926EFB1">
            <w:pPr>
              <w:pStyle w:val="129"/>
              <w:rPr>
                <w:rFonts w:hint="eastAsia"/>
                <w:color w:val="000000"/>
                <w:sz w:val="21"/>
              </w:rPr>
            </w:pPr>
            <w:r>
              <w:rPr>
                <w:rFonts w:ascii="Songti SC" w:hAnsi="Songti SC" w:eastAsia="Songti SC" w:cs="Songti SC"/>
                <w:color w:val="000000"/>
              </w:rPr>
              <w:t>2.00</w:t>
            </w:r>
          </w:p>
        </w:tc>
        <w:tc>
          <w:tcPr>
            <w:tcW w:w="516" w:type="pct"/>
            <w:tcBorders>
              <w:top w:val="nil"/>
              <w:left w:val="nil"/>
              <w:bottom w:val="single" w:color="auto" w:sz="4" w:space="0"/>
              <w:right w:val="single" w:color="auto" w:sz="4" w:space="0"/>
            </w:tcBorders>
            <w:vAlign w:val="center"/>
          </w:tcPr>
          <w:p w14:paraId="55C61F6F">
            <w:pPr>
              <w:pStyle w:val="129"/>
              <w:rPr>
                <w:rFonts w:hint="eastAsia"/>
                <w:color w:val="000000"/>
                <w:sz w:val="21"/>
              </w:rPr>
            </w:pPr>
            <w:r>
              <w:rPr>
                <w:rFonts w:ascii="Songti SC" w:hAnsi="Songti SC" w:eastAsia="Songti SC" w:cs="Songti SC"/>
                <w:color w:val="000000"/>
              </w:rPr>
              <w:t>1.50</w:t>
            </w:r>
          </w:p>
        </w:tc>
        <w:tc>
          <w:tcPr>
            <w:tcW w:w="597" w:type="pct"/>
            <w:tcBorders>
              <w:top w:val="nil"/>
              <w:left w:val="nil"/>
              <w:bottom w:val="single" w:color="auto" w:sz="4" w:space="0"/>
              <w:right w:val="single" w:color="auto" w:sz="4" w:space="0"/>
            </w:tcBorders>
            <w:vAlign w:val="center"/>
          </w:tcPr>
          <w:p w14:paraId="2CB0BFC4">
            <w:pPr>
              <w:pStyle w:val="129"/>
              <w:rPr>
                <w:rFonts w:hint="eastAsia"/>
                <w:color w:val="000000"/>
                <w:sz w:val="21"/>
              </w:rPr>
            </w:pPr>
            <w:r>
              <w:rPr>
                <w:rFonts w:ascii="Songti SC" w:hAnsi="Songti SC" w:eastAsia="Songti SC" w:cs="Songti SC"/>
                <w:color w:val="000000"/>
              </w:rPr>
              <w:t>3.00</w:t>
            </w:r>
          </w:p>
        </w:tc>
        <w:tc>
          <w:tcPr>
            <w:tcW w:w="561" w:type="pct"/>
            <w:tcBorders>
              <w:top w:val="nil"/>
              <w:left w:val="nil"/>
              <w:bottom w:val="single" w:color="auto" w:sz="4" w:space="0"/>
              <w:right w:val="single" w:color="auto" w:sz="4" w:space="0"/>
            </w:tcBorders>
            <w:vAlign w:val="center"/>
          </w:tcPr>
          <w:p w14:paraId="13B97EE6">
            <w:pPr>
              <w:pStyle w:val="129"/>
              <w:jc w:val="left"/>
              <w:rPr>
                <w:rFonts w:hint="eastAsia"/>
                <w:color w:val="000000"/>
                <w:sz w:val="21"/>
              </w:rPr>
            </w:pPr>
          </w:p>
        </w:tc>
      </w:tr>
      <w:tr w14:paraId="107C1CFD">
        <w:trPr>
          <w:trHeight w:val="1200" w:hRule="atLeast"/>
        </w:trPr>
        <w:tc>
          <w:tcPr>
            <w:tcW w:w="401" w:type="pct"/>
            <w:tcBorders>
              <w:top w:val="nil"/>
              <w:left w:val="single" w:color="auto" w:sz="4" w:space="0"/>
              <w:bottom w:val="single" w:color="auto" w:sz="4" w:space="0"/>
              <w:right w:val="single" w:color="auto" w:sz="4" w:space="0"/>
            </w:tcBorders>
            <w:vAlign w:val="center"/>
          </w:tcPr>
          <w:p w14:paraId="6CFA490A">
            <w:pPr>
              <w:widowControl/>
              <w:spacing w:line="240" w:lineRule="auto"/>
              <w:ind w:firstLine="0" w:firstLineChars="0"/>
              <w:textAlignment w:val="center"/>
              <w:rPr>
                <w:rFonts w:hint="eastAsia"/>
                <w:color w:val="000000"/>
                <w:sz w:val="21"/>
                <w:szCs w:val="21"/>
              </w:rPr>
            </w:pPr>
            <w:r>
              <w:rPr>
                <w:rFonts w:ascii="Songti SC" w:hAnsi="Songti SC" w:eastAsia="Songti SC" w:cs="Songti SC"/>
                <w:color w:val="000000"/>
              </w:rPr>
              <w:t>2</w:t>
            </w:r>
          </w:p>
        </w:tc>
        <w:tc>
          <w:tcPr>
            <w:tcW w:w="793" w:type="pct"/>
            <w:tcBorders>
              <w:top w:val="nil"/>
              <w:left w:val="nil"/>
              <w:bottom w:val="single" w:color="auto" w:sz="4" w:space="0"/>
              <w:right w:val="single" w:color="auto" w:sz="4" w:space="0"/>
            </w:tcBorders>
            <w:vAlign w:val="center"/>
          </w:tcPr>
          <w:p w14:paraId="58D100F0">
            <w:pPr>
              <w:widowControl/>
              <w:spacing w:line="240" w:lineRule="auto"/>
              <w:ind w:firstLine="0" w:firstLineChars="0"/>
              <w:jc w:val="left"/>
              <w:textAlignment w:val="center"/>
              <w:rPr>
                <w:rFonts w:hint="eastAsia"/>
                <w:color w:val="000000"/>
                <w:sz w:val="21"/>
                <w:szCs w:val="21"/>
              </w:rPr>
            </w:pPr>
            <w:r>
              <w:rPr>
                <w:rFonts w:ascii="Songti SC" w:hAnsi="Songti SC" w:eastAsia="Songti SC" w:cs="Songti SC"/>
                <w:color w:val="000000"/>
              </w:rPr>
              <w:t>平台软件基础参数改造</w:t>
            </w:r>
          </w:p>
        </w:tc>
        <w:tc>
          <w:tcPr>
            <w:tcW w:w="1280" w:type="pct"/>
            <w:tcBorders>
              <w:top w:val="nil"/>
              <w:left w:val="nil"/>
              <w:bottom w:val="single" w:color="auto" w:sz="4" w:space="0"/>
              <w:right w:val="single" w:color="auto" w:sz="4" w:space="0"/>
            </w:tcBorders>
            <w:vAlign w:val="center"/>
          </w:tcPr>
          <w:p w14:paraId="651DDE36">
            <w:pPr>
              <w:widowControl/>
              <w:spacing w:line="240" w:lineRule="auto"/>
              <w:ind w:firstLine="0" w:firstLineChars="0"/>
              <w:jc w:val="left"/>
              <w:textAlignment w:val="center"/>
              <w:rPr>
                <w:rFonts w:hint="eastAsia"/>
                <w:color w:val="000000"/>
                <w:sz w:val="21"/>
                <w:szCs w:val="21"/>
              </w:rPr>
            </w:pPr>
            <w:r>
              <w:rPr>
                <w:rFonts w:ascii="Songti SC" w:hAnsi="Songti SC" w:eastAsia="Songti SC" w:cs="Songti SC"/>
                <w:color w:val="000000"/>
              </w:rPr>
              <w:t>围绕系统参数、用户参数、操作员参数、报表参数等基础参数开展配置梳理、参数分组、目录规范、任务状态记录和变更留痕。</w:t>
            </w:r>
          </w:p>
        </w:tc>
        <w:tc>
          <w:tcPr>
            <w:tcW w:w="426" w:type="pct"/>
            <w:tcBorders>
              <w:top w:val="nil"/>
              <w:left w:val="nil"/>
              <w:bottom w:val="single" w:color="auto" w:sz="4" w:space="0"/>
              <w:right w:val="single" w:color="auto" w:sz="4" w:space="0"/>
            </w:tcBorders>
            <w:vAlign w:val="center"/>
          </w:tcPr>
          <w:p w14:paraId="45E2B474">
            <w:pPr>
              <w:pStyle w:val="129"/>
              <w:rPr>
                <w:rFonts w:hint="eastAsia"/>
                <w:color w:val="000000"/>
                <w:sz w:val="21"/>
              </w:rPr>
            </w:pPr>
            <w:r>
              <w:rPr>
                <w:rFonts w:ascii="Songti SC" w:hAnsi="Songti SC" w:eastAsia="Songti SC" w:cs="Songti SC"/>
                <w:color w:val="000000"/>
              </w:rPr>
              <w:t>人/月</w:t>
            </w:r>
          </w:p>
        </w:tc>
        <w:tc>
          <w:tcPr>
            <w:tcW w:w="426" w:type="pct"/>
            <w:tcBorders>
              <w:top w:val="nil"/>
              <w:left w:val="nil"/>
              <w:bottom w:val="single" w:color="auto" w:sz="4" w:space="0"/>
              <w:right w:val="single" w:color="auto" w:sz="4" w:space="0"/>
            </w:tcBorders>
            <w:vAlign w:val="center"/>
          </w:tcPr>
          <w:p w14:paraId="2531A321">
            <w:pPr>
              <w:pStyle w:val="129"/>
              <w:rPr>
                <w:rFonts w:hint="eastAsia"/>
                <w:color w:val="000000"/>
                <w:sz w:val="21"/>
              </w:rPr>
            </w:pPr>
            <w:r>
              <w:rPr>
                <w:rFonts w:ascii="Songti SC" w:hAnsi="Songti SC" w:eastAsia="Songti SC" w:cs="Songti SC"/>
                <w:color w:val="000000"/>
              </w:rPr>
              <w:t>1.50</w:t>
            </w:r>
          </w:p>
        </w:tc>
        <w:tc>
          <w:tcPr>
            <w:tcW w:w="516" w:type="pct"/>
            <w:tcBorders>
              <w:top w:val="nil"/>
              <w:left w:val="nil"/>
              <w:bottom w:val="single" w:color="auto" w:sz="4" w:space="0"/>
              <w:right w:val="single" w:color="auto" w:sz="4" w:space="0"/>
            </w:tcBorders>
            <w:vAlign w:val="center"/>
          </w:tcPr>
          <w:p w14:paraId="7C4BEC6C">
            <w:pPr>
              <w:pStyle w:val="129"/>
              <w:rPr>
                <w:rFonts w:hint="eastAsia"/>
                <w:color w:val="000000"/>
                <w:sz w:val="21"/>
              </w:rPr>
            </w:pPr>
            <w:r>
              <w:rPr>
                <w:rFonts w:ascii="Songti SC" w:hAnsi="Songti SC" w:eastAsia="Songti SC" w:cs="Songti SC"/>
                <w:color w:val="000000"/>
              </w:rPr>
              <w:t>1.50</w:t>
            </w:r>
          </w:p>
        </w:tc>
        <w:tc>
          <w:tcPr>
            <w:tcW w:w="597" w:type="pct"/>
            <w:tcBorders>
              <w:top w:val="nil"/>
              <w:left w:val="nil"/>
              <w:bottom w:val="single" w:color="auto" w:sz="4" w:space="0"/>
              <w:right w:val="single" w:color="auto" w:sz="4" w:space="0"/>
            </w:tcBorders>
            <w:vAlign w:val="center"/>
          </w:tcPr>
          <w:p w14:paraId="07B9D75C">
            <w:pPr>
              <w:pStyle w:val="129"/>
              <w:rPr>
                <w:rFonts w:hint="eastAsia"/>
                <w:color w:val="000000"/>
                <w:sz w:val="21"/>
              </w:rPr>
            </w:pPr>
            <w:r>
              <w:rPr>
                <w:rFonts w:ascii="Songti SC" w:hAnsi="Songti SC" w:eastAsia="Songti SC" w:cs="Songti SC"/>
                <w:color w:val="000000"/>
              </w:rPr>
              <w:t>2.25</w:t>
            </w:r>
          </w:p>
        </w:tc>
        <w:tc>
          <w:tcPr>
            <w:tcW w:w="561" w:type="pct"/>
            <w:tcBorders>
              <w:top w:val="nil"/>
              <w:left w:val="nil"/>
              <w:bottom w:val="single" w:color="auto" w:sz="4" w:space="0"/>
              <w:right w:val="single" w:color="auto" w:sz="4" w:space="0"/>
            </w:tcBorders>
            <w:vAlign w:val="center"/>
          </w:tcPr>
          <w:p w14:paraId="7F879C17">
            <w:pPr>
              <w:pStyle w:val="129"/>
              <w:jc w:val="left"/>
              <w:rPr>
                <w:rFonts w:hint="eastAsia"/>
                <w:color w:val="000000"/>
                <w:sz w:val="21"/>
              </w:rPr>
            </w:pPr>
          </w:p>
        </w:tc>
      </w:tr>
      <w:tr w14:paraId="45CC6D74">
        <w:trPr>
          <w:trHeight w:val="1200" w:hRule="atLeast"/>
        </w:trPr>
        <w:tc>
          <w:tcPr>
            <w:tcW w:w="401" w:type="pct"/>
            <w:tcBorders>
              <w:top w:val="nil"/>
              <w:left w:val="single" w:color="auto" w:sz="4" w:space="0"/>
              <w:bottom w:val="single" w:color="auto" w:sz="4" w:space="0"/>
              <w:right w:val="single" w:color="auto" w:sz="4" w:space="0"/>
            </w:tcBorders>
            <w:vAlign w:val="center"/>
          </w:tcPr>
          <w:p w14:paraId="0470C87E">
            <w:pPr>
              <w:widowControl/>
              <w:spacing w:line="240" w:lineRule="auto"/>
              <w:ind w:firstLine="0" w:firstLineChars="0"/>
              <w:textAlignment w:val="center"/>
              <w:rPr>
                <w:rFonts w:hint="eastAsia"/>
                <w:color w:val="000000"/>
                <w:sz w:val="21"/>
                <w:szCs w:val="21"/>
              </w:rPr>
            </w:pPr>
            <w:r>
              <w:rPr>
                <w:rFonts w:ascii="Songti SC" w:hAnsi="Songti SC" w:eastAsia="Songti SC" w:cs="Songti SC"/>
                <w:color w:val="000000"/>
              </w:rPr>
              <w:t>3</w:t>
            </w:r>
          </w:p>
        </w:tc>
        <w:tc>
          <w:tcPr>
            <w:tcW w:w="793" w:type="pct"/>
            <w:tcBorders>
              <w:top w:val="nil"/>
              <w:left w:val="nil"/>
              <w:bottom w:val="single" w:color="auto" w:sz="4" w:space="0"/>
              <w:right w:val="single" w:color="auto" w:sz="4" w:space="0"/>
            </w:tcBorders>
            <w:vAlign w:val="center"/>
          </w:tcPr>
          <w:p w14:paraId="75C82E30">
            <w:pPr>
              <w:widowControl/>
              <w:spacing w:line="240" w:lineRule="auto"/>
              <w:ind w:firstLine="0" w:firstLineChars="0"/>
              <w:jc w:val="left"/>
              <w:textAlignment w:val="center"/>
              <w:rPr>
                <w:rFonts w:hint="eastAsia"/>
                <w:color w:val="000000"/>
                <w:sz w:val="21"/>
                <w:szCs w:val="21"/>
              </w:rPr>
            </w:pPr>
            <w:r>
              <w:rPr>
                <w:rFonts w:ascii="Songti SC" w:hAnsi="Songti SC" w:eastAsia="Songti SC" w:cs="Songti SC"/>
                <w:color w:val="000000"/>
              </w:rPr>
              <w:t>配置管理系统改造</w:t>
            </w:r>
          </w:p>
        </w:tc>
        <w:tc>
          <w:tcPr>
            <w:tcW w:w="1280" w:type="pct"/>
            <w:tcBorders>
              <w:top w:val="nil"/>
              <w:left w:val="nil"/>
              <w:bottom w:val="single" w:color="auto" w:sz="4" w:space="0"/>
              <w:right w:val="single" w:color="auto" w:sz="4" w:space="0"/>
            </w:tcBorders>
            <w:vAlign w:val="center"/>
          </w:tcPr>
          <w:p w14:paraId="1BA0CBEB">
            <w:pPr>
              <w:widowControl/>
              <w:spacing w:line="240" w:lineRule="auto"/>
              <w:ind w:firstLine="0" w:firstLineChars="0"/>
              <w:jc w:val="left"/>
              <w:textAlignment w:val="center"/>
              <w:rPr>
                <w:rFonts w:hint="eastAsia"/>
                <w:color w:val="000000"/>
                <w:sz w:val="21"/>
                <w:szCs w:val="21"/>
              </w:rPr>
            </w:pPr>
            <w:r>
              <w:rPr>
                <w:rFonts w:ascii="Songti SC" w:hAnsi="Songti SC" w:eastAsia="Songti SC" w:cs="Songti SC"/>
                <w:color w:val="000000"/>
              </w:rPr>
              <w:t>围绕操作员角色、操作员配置、卡类型、部门、人员属性、餐厅配置和菜品配置开展功能适配、数据校验和业务回归验证。</w:t>
            </w:r>
          </w:p>
        </w:tc>
        <w:tc>
          <w:tcPr>
            <w:tcW w:w="426" w:type="pct"/>
            <w:tcBorders>
              <w:top w:val="nil"/>
              <w:left w:val="nil"/>
              <w:bottom w:val="single" w:color="auto" w:sz="4" w:space="0"/>
              <w:right w:val="single" w:color="auto" w:sz="4" w:space="0"/>
            </w:tcBorders>
            <w:vAlign w:val="center"/>
          </w:tcPr>
          <w:p w14:paraId="02BBC02E">
            <w:pPr>
              <w:pStyle w:val="129"/>
              <w:rPr>
                <w:rFonts w:hint="eastAsia"/>
                <w:color w:val="000000"/>
                <w:sz w:val="21"/>
              </w:rPr>
            </w:pPr>
            <w:r>
              <w:rPr>
                <w:rFonts w:ascii="Songti SC" w:hAnsi="Songti SC" w:eastAsia="Songti SC" w:cs="Songti SC"/>
                <w:color w:val="000000"/>
              </w:rPr>
              <w:t>人/月</w:t>
            </w:r>
          </w:p>
        </w:tc>
        <w:tc>
          <w:tcPr>
            <w:tcW w:w="426" w:type="pct"/>
            <w:tcBorders>
              <w:top w:val="nil"/>
              <w:left w:val="nil"/>
              <w:bottom w:val="single" w:color="auto" w:sz="4" w:space="0"/>
              <w:right w:val="single" w:color="auto" w:sz="4" w:space="0"/>
            </w:tcBorders>
            <w:vAlign w:val="center"/>
          </w:tcPr>
          <w:p w14:paraId="77C854F6">
            <w:pPr>
              <w:pStyle w:val="129"/>
              <w:rPr>
                <w:rFonts w:hint="eastAsia"/>
                <w:color w:val="000000"/>
                <w:sz w:val="21"/>
              </w:rPr>
            </w:pPr>
            <w:r>
              <w:rPr>
                <w:rFonts w:ascii="Songti SC" w:hAnsi="Songti SC" w:eastAsia="Songti SC" w:cs="Songti SC"/>
                <w:color w:val="000000"/>
              </w:rPr>
              <w:t>1.50</w:t>
            </w:r>
          </w:p>
        </w:tc>
        <w:tc>
          <w:tcPr>
            <w:tcW w:w="516" w:type="pct"/>
            <w:tcBorders>
              <w:top w:val="nil"/>
              <w:left w:val="nil"/>
              <w:bottom w:val="single" w:color="auto" w:sz="4" w:space="0"/>
              <w:right w:val="single" w:color="auto" w:sz="4" w:space="0"/>
            </w:tcBorders>
            <w:vAlign w:val="center"/>
          </w:tcPr>
          <w:p w14:paraId="5B7060AC">
            <w:pPr>
              <w:pStyle w:val="129"/>
              <w:rPr>
                <w:rFonts w:hint="eastAsia"/>
                <w:color w:val="000000"/>
                <w:sz w:val="21"/>
              </w:rPr>
            </w:pPr>
            <w:r>
              <w:rPr>
                <w:rFonts w:ascii="Songti SC" w:hAnsi="Songti SC" w:eastAsia="Songti SC" w:cs="Songti SC"/>
                <w:color w:val="000000"/>
              </w:rPr>
              <w:t>1.50</w:t>
            </w:r>
          </w:p>
        </w:tc>
        <w:tc>
          <w:tcPr>
            <w:tcW w:w="597" w:type="pct"/>
            <w:tcBorders>
              <w:top w:val="nil"/>
              <w:left w:val="nil"/>
              <w:bottom w:val="single" w:color="auto" w:sz="4" w:space="0"/>
              <w:right w:val="single" w:color="auto" w:sz="4" w:space="0"/>
            </w:tcBorders>
            <w:vAlign w:val="center"/>
          </w:tcPr>
          <w:p w14:paraId="01398845">
            <w:pPr>
              <w:pStyle w:val="129"/>
              <w:rPr>
                <w:rFonts w:hint="eastAsia"/>
                <w:color w:val="000000"/>
                <w:sz w:val="21"/>
              </w:rPr>
            </w:pPr>
            <w:r>
              <w:rPr>
                <w:rFonts w:ascii="Songti SC" w:hAnsi="Songti SC" w:eastAsia="Songti SC" w:cs="Songti SC"/>
                <w:color w:val="000000"/>
              </w:rPr>
              <w:t>2.25</w:t>
            </w:r>
          </w:p>
        </w:tc>
        <w:tc>
          <w:tcPr>
            <w:tcW w:w="561" w:type="pct"/>
            <w:tcBorders>
              <w:top w:val="nil"/>
              <w:left w:val="nil"/>
              <w:bottom w:val="single" w:color="auto" w:sz="4" w:space="0"/>
              <w:right w:val="single" w:color="auto" w:sz="4" w:space="0"/>
            </w:tcBorders>
            <w:vAlign w:val="center"/>
          </w:tcPr>
          <w:p w14:paraId="172D741E">
            <w:pPr>
              <w:pStyle w:val="129"/>
              <w:jc w:val="left"/>
              <w:rPr>
                <w:rFonts w:hint="eastAsia"/>
                <w:color w:val="000000"/>
                <w:sz w:val="21"/>
              </w:rPr>
            </w:pPr>
          </w:p>
        </w:tc>
      </w:tr>
      <w:tr w14:paraId="05982449">
        <w:trPr>
          <w:trHeight w:val="1200" w:hRule="atLeast"/>
        </w:trPr>
        <w:tc>
          <w:tcPr>
            <w:tcW w:w="401" w:type="pct"/>
            <w:tcBorders>
              <w:top w:val="nil"/>
              <w:left w:val="single" w:color="auto" w:sz="4" w:space="0"/>
              <w:bottom w:val="single" w:color="auto" w:sz="4" w:space="0"/>
              <w:right w:val="single" w:color="auto" w:sz="4" w:space="0"/>
            </w:tcBorders>
            <w:vAlign w:val="center"/>
          </w:tcPr>
          <w:p w14:paraId="4E8FD637">
            <w:pPr>
              <w:widowControl/>
              <w:spacing w:line="240" w:lineRule="auto"/>
              <w:ind w:firstLine="0" w:firstLineChars="0"/>
              <w:textAlignment w:val="center"/>
              <w:rPr>
                <w:rFonts w:hint="eastAsia"/>
                <w:color w:val="000000"/>
                <w:sz w:val="21"/>
                <w:szCs w:val="21"/>
              </w:rPr>
            </w:pPr>
            <w:r>
              <w:rPr>
                <w:rFonts w:ascii="Songti SC" w:hAnsi="Songti SC" w:eastAsia="Songti SC" w:cs="Songti SC"/>
                <w:color w:val="000000"/>
              </w:rPr>
              <w:t>4</w:t>
            </w:r>
          </w:p>
        </w:tc>
        <w:tc>
          <w:tcPr>
            <w:tcW w:w="793" w:type="pct"/>
            <w:tcBorders>
              <w:top w:val="nil"/>
              <w:left w:val="nil"/>
              <w:bottom w:val="single" w:color="auto" w:sz="4" w:space="0"/>
              <w:right w:val="single" w:color="auto" w:sz="4" w:space="0"/>
            </w:tcBorders>
            <w:vAlign w:val="center"/>
          </w:tcPr>
          <w:p w14:paraId="7F19E0AE">
            <w:pPr>
              <w:widowControl/>
              <w:spacing w:line="240" w:lineRule="auto"/>
              <w:ind w:firstLine="0" w:firstLineChars="0"/>
              <w:jc w:val="left"/>
              <w:textAlignment w:val="center"/>
              <w:rPr>
                <w:rFonts w:hint="eastAsia"/>
                <w:color w:val="000000"/>
                <w:sz w:val="21"/>
                <w:szCs w:val="21"/>
              </w:rPr>
            </w:pPr>
            <w:r>
              <w:rPr>
                <w:rFonts w:ascii="Songti SC" w:hAnsi="Songti SC" w:eastAsia="Songti SC" w:cs="Songti SC"/>
                <w:color w:val="000000"/>
              </w:rPr>
              <w:t>用户管理系统改造</w:t>
            </w:r>
          </w:p>
        </w:tc>
        <w:tc>
          <w:tcPr>
            <w:tcW w:w="1280" w:type="pct"/>
            <w:tcBorders>
              <w:top w:val="nil"/>
              <w:left w:val="nil"/>
              <w:bottom w:val="single" w:color="auto" w:sz="4" w:space="0"/>
              <w:right w:val="single" w:color="auto" w:sz="4" w:space="0"/>
            </w:tcBorders>
            <w:vAlign w:val="center"/>
          </w:tcPr>
          <w:p w14:paraId="1ECD7836">
            <w:pPr>
              <w:widowControl/>
              <w:spacing w:line="240" w:lineRule="auto"/>
              <w:ind w:firstLine="0" w:firstLineChars="0"/>
              <w:jc w:val="left"/>
              <w:textAlignment w:val="center"/>
              <w:rPr>
                <w:rFonts w:hint="eastAsia"/>
                <w:color w:val="000000"/>
                <w:sz w:val="21"/>
                <w:szCs w:val="21"/>
              </w:rPr>
            </w:pPr>
            <w:r>
              <w:rPr>
                <w:rFonts w:ascii="Songti SC" w:hAnsi="Songti SC" w:eastAsia="Songti SC" w:cs="Songti SC"/>
                <w:color w:val="000000"/>
              </w:rPr>
              <w:t>围绕用户注册、批量快速注册、用户查询、用户修改、批量修改有效期、批量离职、挂失、恢复和离职处理等功能开展适配改造。</w:t>
            </w:r>
          </w:p>
        </w:tc>
        <w:tc>
          <w:tcPr>
            <w:tcW w:w="426" w:type="pct"/>
            <w:tcBorders>
              <w:top w:val="nil"/>
              <w:left w:val="nil"/>
              <w:bottom w:val="single" w:color="auto" w:sz="4" w:space="0"/>
              <w:right w:val="single" w:color="auto" w:sz="4" w:space="0"/>
            </w:tcBorders>
            <w:vAlign w:val="center"/>
          </w:tcPr>
          <w:p w14:paraId="4B8972FA">
            <w:pPr>
              <w:pStyle w:val="129"/>
              <w:rPr>
                <w:rFonts w:hint="eastAsia"/>
                <w:color w:val="000000"/>
                <w:sz w:val="21"/>
              </w:rPr>
            </w:pPr>
            <w:r>
              <w:rPr>
                <w:rFonts w:ascii="Songti SC" w:hAnsi="Songti SC" w:eastAsia="Songti SC" w:cs="Songti SC"/>
                <w:color w:val="000000"/>
              </w:rPr>
              <w:t>人/月</w:t>
            </w:r>
          </w:p>
        </w:tc>
        <w:tc>
          <w:tcPr>
            <w:tcW w:w="426" w:type="pct"/>
            <w:tcBorders>
              <w:top w:val="nil"/>
              <w:left w:val="nil"/>
              <w:bottom w:val="single" w:color="auto" w:sz="4" w:space="0"/>
              <w:right w:val="single" w:color="auto" w:sz="4" w:space="0"/>
            </w:tcBorders>
            <w:vAlign w:val="center"/>
          </w:tcPr>
          <w:p w14:paraId="730CC5F9">
            <w:pPr>
              <w:pStyle w:val="129"/>
              <w:rPr>
                <w:rFonts w:hint="eastAsia"/>
                <w:color w:val="000000"/>
                <w:sz w:val="21"/>
              </w:rPr>
            </w:pPr>
            <w:r>
              <w:rPr>
                <w:rFonts w:ascii="Songti SC" w:hAnsi="Songti SC" w:eastAsia="Songti SC" w:cs="Songti SC"/>
                <w:color w:val="000000"/>
              </w:rPr>
              <w:t>2.50</w:t>
            </w:r>
          </w:p>
        </w:tc>
        <w:tc>
          <w:tcPr>
            <w:tcW w:w="516" w:type="pct"/>
            <w:tcBorders>
              <w:top w:val="nil"/>
              <w:left w:val="nil"/>
              <w:bottom w:val="single" w:color="auto" w:sz="4" w:space="0"/>
              <w:right w:val="single" w:color="auto" w:sz="4" w:space="0"/>
            </w:tcBorders>
            <w:vAlign w:val="center"/>
          </w:tcPr>
          <w:p w14:paraId="4C13C38A">
            <w:pPr>
              <w:pStyle w:val="129"/>
              <w:rPr>
                <w:rFonts w:hint="eastAsia"/>
                <w:color w:val="000000"/>
                <w:sz w:val="21"/>
              </w:rPr>
            </w:pPr>
            <w:r>
              <w:rPr>
                <w:rFonts w:ascii="Songti SC" w:hAnsi="Songti SC" w:eastAsia="Songti SC" w:cs="Songti SC"/>
                <w:color w:val="000000"/>
              </w:rPr>
              <w:t>1.50</w:t>
            </w:r>
          </w:p>
        </w:tc>
        <w:tc>
          <w:tcPr>
            <w:tcW w:w="597" w:type="pct"/>
            <w:tcBorders>
              <w:top w:val="nil"/>
              <w:left w:val="nil"/>
              <w:bottom w:val="single" w:color="auto" w:sz="4" w:space="0"/>
              <w:right w:val="single" w:color="auto" w:sz="4" w:space="0"/>
            </w:tcBorders>
            <w:vAlign w:val="center"/>
          </w:tcPr>
          <w:p w14:paraId="2D415622">
            <w:pPr>
              <w:pStyle w:val="129"/>
              <w:rPr>
                <w:rFonts w:hint="eastAsia"/>
                <w:color w:val="000000"/>
                <w:sz w:val="21"/>
              </w:rPr>
            </w:pPr>
            <w:r>
              <w:rPr>
                <w:rFonts w:ascii="Songti SC" w:hAnsi="Songti SC" w:eastAsia="Songti SC" w:cs="Songti SC"/>
                <w:color w:val="000000"/>
              </w:rPr>
              <w:t>3.75</w:t>
            </w:r>
          </w:p>
        </w:tc>
        <w:tc>
          <w:tcPr>
            <w:tcW w:w="561" w:type="pct"/>
            <w:tcBorders>
              <w:top w:val="nil"/>
              <w:left w:val="nil"/>
              <w:bottom w:val="single" w:color="auto" w:sz="4" w:space="0"/>
              <w:right w:val="single" w:color="auto" w:sz="4" w:space="0"/>
            </w:tcBorders>
            <w:vAlign w:val="center"/>
          </w:tcPr>
          <w:p w14:paraId="3E921764">
            <w:pPr>
              <w:pStyle w:val="129"/>
              <w:jc w:val="left"/>
              <w:rPr>
                <w:rFonts w:hint="eastAsia"/>
                <w:color w:val="000000"/>
                <w:sz w:val="21"/>
              </w:rPr>
            </w:pPr>
          </w:p>
        </w:tc>
      </w:tr>
      <w:tr w14:paraId="40C628FC">
        <w:trPr>
          <w:trHeight w:val="1200" w:hRule="atLeast"/>
        </w:trPr>
        <w:tc>
          <w:tcPr>
            <w:tcW w:w="401" w:type="pct"/>
            <w:tcBorders>
              <w:top w:val="nil"/>
              <w:left w:val="single" w:color="auto" w:sz="4" w:space="0"/>
              <w:bottom w:val="single" w:color="auto" w:sz="4" w:space="0"/>
              <w:right w:val="single" w:color="auto" w:sz="4" w:space="0"/>
            </w:tcBorders>
            <w:vAlign w:val="center"/>
          </w:tcPr>
          <w:p w14:paraId="38B4A68A">
            <w:pPr>
              <w:widowControl/>
              <w:spacing w:line="240" w:lineRule="auto"/>
              <w:ind w:firstLine="0" w:firstLineChars="0"/>
              <w:textAlignment w:val="center"/>
              <w:rPr>
                <w:rFonts w:hint="eastAsia"/>
                <w:color w:val="000000"/>
                <w:sz w:val="21"/>
                <w:szCs w:val="21"/>
              </w:rPr>
            </w:pPr>
            <w:r>
              <w:rPr>
                <w:rFonts w:ascii="Songti SC" w:hAnsi="Songti SC" w:eastAsia="Songti SC" w:cs="Songti SC"/>
                <w:color w:val="000000"/>
              </w:rPr>
              <w:t>5</w:t>
            </w:r>
          </w:p>
        </w:tc>
        <w:tc>
          <w:tcPr>
            <w:tcW w:w="793" w:type="pct"/>
            <w:tcBorders>
              <w:top w:val="nil"/>
              <w:left w:val="nil"/>
              <w:bottom w:val="single" w:color="auto" w:sz="4" w:space="0"/>
              <w:right w:val="single" w:color="auto" w:sz="4" w:space="0"/>
            </w:tcBorders>
            <w:vAlign w:val="center"/>
          </w:tcPr>
          <w:p w14:paraId="0565C172">
            <w:pPr>
              <w:widowControl/>
              <w:spacing w:line="240" w:lineRule="auto"/>
              <w:ind w:firstLine="0" w:firstLineChars="0"/>
              <w:jc w:val="left"/>
              <w:textAlignment w:val="center"/>
              <w:rPr>
                <w:rFonts w:hint="eastAsia"/>
                <w:color w:val="000000"/>
                <w:sz w:val="21"/>
                <w:szCs w:val="21"/>
              </w:rPr>
            </w:pPr>
            <w:r>
              <w:rPr>
                <w:rFonts w:ascii="Songti SC" w:hAnsi="Songti SC" w:eastAsia="Songti SC" w:cs="Songti SC"/>
                <w:color w:val="000000"/>
              </w:rPr>
              <w:t>消费配置管理系统改造</w:t>
            </w:r>
          </w:p>
        </w:tc>
        <w:tc>
          <w:tcPr>
            <w:tcW w:w="1280" w:type="pct"/>
            <w:tcBorders>
              <w:top w:val="nil"/>
              <w:left w:val="nil"/>
              <w:bottom w:val="single" w:color="auto" w:sz="4" w:space="0"/>
              <w:right w:val="single" w:color="auto" w:sz="4" w:space="0"/>
            </w:tcBorders>
            <w:vAlign w:val="center"/>
          </w:tcPr>
          <w:p w14:paraId="2BBAE691">
            <w:pPr>
              <w:widowControl/>
              <w:spacing w:line="240" w:lineRule="auto"/>
              <w:ind w:firstLine="0" w:firstLineChars="0"/>
              <w:jc w:val="left"/>
              <w:textAlignment w:val="center"/>
              <w:rPr>
                <w:rFonts w:hint="eastAsia"/>
                <w:color w:val="000000"/>
                <w:sz w:val="21"/>
                <w:szCs w:val="21"/>
              </w:rPr>
            </w:pPr>
            <w:r>
              <w:rPr>
                <w:rFonts w:ascii="Songti SC" w:hAnsi="Songti SC" w:eastAsia="Songti SC" w:cs="Songti SC"/>
                <w:color w:val="000000"/>
              </w:rPr>
              <w:t>围绕餐厅类型、餐次定义、脱机数据处理、用户消费权限、操作员权限和消费策略等配置开展适配改造和联调验证。</w:t>
            </w:r>
          </w:p>
        </w:tc>
        <w:tc>
          <w:tcPr>
            <w:tcW w:w="426" w:type="pct"/>
            <w:tcBorders>
              <w:top w:val="nil"/>
              <w:left w:val="nil"/>
              <w:bottom w:val="single" w:color="auto" w:sz="4" w:space="0"/>
              <w:right w:val="single" w:color="auto" w:sz="4" w:space="0"/>
            </w:tcBorders>
            <w:vAlign w:val="center"/>
          </w:tcPr>
          <w:p w14:paraId="3C2C0C56">
            <w:pPr>
              <w:pStyle w:val="129"/>
              <w:rPr>
                <w:rFonts w:hint="eastAsia"/>
                <w:color w:val="000000"/>
                <w:sz w:val="21"/>
              </w:rPr>
            </w:pPr>
            <w:r>
              <w:rPr>
                <w:rFonts w:ascii="Songti SC" w:hAnsi="Songti SC" w:eastAsia="Songti SC" w:cs="Songti SC"/>
                <w:color w:val="000000"/>
              </w:rPr>
              <w:t>人/月</w:t>
            </w:r>
          </w:p>
        </w:tc>
        <w:tc>
          <w:tcPr>
            <w:tcW w:w="426" w:type="pct"/>
            <w:tcBorders>
              <w:top w:val="nil"/>
              <w:left w:val="nil"/>
              <w:bottom w:val="single" w:color="auto" w:sz="4" w:space="0"/>
              <w:right w:val="single" w:color="auto" w:sz="4" w:space="0"/>
            </w:tcBorders>
            <w:vAlign w:val="center"/>
          </w:tcPr>
          <w:p w14:paraId="00E219E9">
            <w:pPr>
              <w:pStyle w:val="129"/>
              <w:rPr>
                <w:rFonts w:hint="eastAsia"/>
                <w:color w:val="000000"/>
                <w:sz w:val="21"/>
              </w:rPr>
            </w:pPr>
            <w:r>
              <w:rPr>
                <w:rFonts w:ascii="Songti SC" w:hAnsi="Songti SC" w:eastAsia="Songti SC" w:cs="Songti SC"/>
                <w:color w:val="000000"/>
              </w:rPr>
              <w:t>2.00</w:t>
            </w:r>
          </w:p>
        </w:tc>
        <w:tc>
          <w:tcPr>
            <w:tcW w:w="516" w:type="pct"/>
            <w:tcBorders>
              <w:top w:val="nil"/>
              <w:left w:val="nil"/>
              <w:bottom w:val="single" w:color="auto" w:sz="4" w:space="0"/>
              <w:right w:val="single" w:color="auto" w:sz="4" w:space="0"/>
            </w:tcBorders>
            <w:vAlign w:val="center"/>
          </w:tcPr>
          <w:p w14:paraId="7D08AAE0">
            <w:pPr>
              <w:pStyle w:val="129"/>
              <w:rPr>
                <w:rFonts w:hint="eastAsia"/>
                <w:color w:val="000000"/>
                <w:sz w:val="21"/>
              </w:rPr>
            </w:pPr>
            <w:r>
              <w:rPr>
                <w:rFonts w:ascii="Songti SC" w:hAnsi="Songti SC" w:eastAsia="Songti SC" w:cs="Songti SC"/>
                <w:color w:val="000000"/>
              </w:rPr>
              <w:t>1.50</w:t>
            </w:r>
          </w:p>
        </w:tc>
        <w:tc>
          <w:tcPr>
            <w:tcW w:w="597" w:type="pct"/>
            <w:tcBorders>
              <w:top w:val="nil"/>
              <w:left w:val="nil"/>
              <w:bottom w:val="single" w:color="auto" w:sz="4" w:space="0"/>
              <w:right w:val="single" w:color="auto" w:sz="4" w:space="0"/>
            </w:tcBorders>
            <w:vAlign w:val="center"/>
          </w:tcPr>
          <w:p w14:paraId="50904C29">
            <w:pPr>
              <w:pStyle w:val="129"/>
              <w:rPr>
                <w:rFonts w:hint="eastAsia"/>
                <w:color w:val="000000"/>
                <w:sz w:val="21"/>
              </w:rPr>
            </w:pPr>
            <w:r>
              <w:rPr>
                <w:rFonts w:ascii="Songti SC" w:hAnsi="Songti SC" w:eastAsia="Songti SC" w:cs="Songti SC"/>
                <w:color w:val="000000"/>
              </w:rPr>
              <w:t>3.00</w:t>
            </w:r>
          </w:p>
        </w:tc>
        <w:tc>
          <w:tcPr>
            <w:tcW w:w="561" w:type="pct"/>
            <w:tcBorders>
              <w:top w:val="nil"/>
              <w:left w:val="nil"/>
              <w:bottom w:val="single" w:color="auto" w:sz="4" w:space="0"/>
              <w:right w:val="single" w:color="auto" w:sz="4" w:space="0"/>
            </w:tcBorders>
            <w:vAlign w:val="center"/>
          </w:tcPr>
          <w:p w14:paraId="4AC69EC8">
            <w:pPr>
              <w:pStyle w:val="129"/>
              <w:jc w:val="left"/>
              <w:rPr>
                <w:rFonts w:hint="eastAsia"/>
                <w:color w:val="000000"/>
                <w:sz w:val="21"/>
              </w:rPr>
            </w:pPr>
          </w:p>
        </w:tc>
      </w:tr>
      <w:tr w14:paraId="5F8D4D5D">
        <w:trPr>
          <w:trHeight w:val="1200" w:hRule="atLeast"/>
        </w:trPr>
        <w:tc>
          <w:tcPr>
            <w:tcW w:w="401" w:type="pct"/>
            <w:tcBorders>
              <w:top w:val="nil"/>
              <w:left w:val="single" w:color="auto" w:sz="4" w:space="0"/>
              <w:bottom w:val="single" w:color="auto" w:sz="4" w:space="0"/>
              <w:right w:val="single" w:color="auto" w:sz="4" w:space="0"/>
            </w:tcBorders>
            <w:vAlign w:val="center"/>
          </w:tcPr>
          <w:p w14:paraId="0D1F2C95">
            <w:pPr>
              <w:widowControl/>
              <w:spacing w:line="240" w:lineRule="auto"/>
              <w:ind w:firstLine="0" w:firstLineChars="0"/>
              <w:textAlignment w:val="center"/>
              <w:rPr>
                <w:rFonts w:hint="eastAsia"/>
                <w:color w:val="000000"/>
                <w:sz w:val="21"/>
                <w:szCs w:val="21"/>
              </w:rPr>
            </w:pPr>
            <w:r>
              <w:rPr>
                <w:rFonts w:ascii="Songti SC" w:hAnsi="Songti SC" w:eastAsia="Songti SC" w:cs="Songti SC"/>
                <w:color w:val="000000"/>
              </w:rPr>
              <w:t>6</w:t>
            </w:r>
          </w:p>
        </w:tc>
        <w:tc>
          <w:tcPr>
            <w:tcW w:w="793" w:type="pct"/>
            <w:tcBorders>
              <w:top w:val="nil"/>
              <w:left w:val="nil"/>
              <w:bottom w:val="single" w:color="auto" w:sz="4" w:space="0"/>
              <w:right w:val="single" w:color="auto" w:sz="4" w:space="0"/>
            </w:tcBorders>
            <w:vAlign w:val="center"/>
          </w:tcPr>
          <w:p w14:paraId="7FFE0C38">
            <w:pPr>
              <w:widowControl/>
              <w:spacing w:line="240" w:lineRule="auto"/>
              <w:ind w:firstLine="0" w:firstLineChars="0"/>
              <w:jc w:val="left"/>
              <w:textAlignment w:val="center"/>
              <w:rPr>
                <w:rFonts w:hint="eastAsia"/>
                <w:color w:val="000000"/>
                <w:sz w:val="21"/>
                <w:szCs w:val="21"/>
              </w:rPr>
            </w:pPr>
            <w:r>
              <w:rPr>
                <w:rFonts w:ascii="Songti SC" w:hAnsi="Songti SC" w:eastAsia="Songti SC" w:cs="Songti SC"/>
                <w:color w:val="000000"/>
              </w:rPr>
              <w:t>财务管理系统改造</w:t>
            </w:r>
          </w:p>
        </w:tc>
        <w:tc>
          <w:tcPr>
            <w:tcW w:w="1280" w:type="pct"/>
            <w:tcBorders>
              <w:top w:val="nil"/>
              <w:left w:val="nil"/>
              <w:bottom w:val="single" w:color="auto" w:sz="4" w:space="0"/>
              <w:right w:val="single" w:color="auto" w:sz="4" w:space="0"/>
            </w:tcBorders>
            <w:vAlign w:val="center"/>
          </w:tcPr>
          <w:p w14:paraId="5027B41B">
            <w:pPr>
              <w:widowControl/>
              <w:spacing w:line="240" w:lineRule="auto"/>
              <w:ind w:firstLine="0" w:firstLineChars="0"/>
              <w:jc w:val="left"/>
              <w:textAlignment w:val="center"/>
              <w:rPr>
                <w:rFonts w:hint="eastAsia"/>
                <w:color w:val="000000"/>
                <w:sz w:val="21"/>
                <w:szCs w:val="21"/>
              </w:rPr>
            </w:pPr>
            <w:r>
              <w:rPr>
                <w:rFonts w:ascii="Songti SC" w:hAnsi="Songti SC" w:eastAsia="Songti SC" w:cs="Songti SC"/>
                <w:color w:val="000000"/>
              </w:rPr>
              <w:t>围绕充值管理、批量充值、自动充值、现金退款、补贴规则和补贴发放等财务功能开展金额精度、流水生成、权限控制和账务核对适配。</w:t>
            </w:r>
          </w:p>
        </w:tc>
        <w:tc>
          <w:tcPr>
            <w:tcW w:w="426" w:type="pct"/>
            <w:tcBorders>
              <w:top w:val="nil"/>
              <w:left w:val="nil"/>
              <w:bottom w:val="single" w:color="auto" w:sz="4" w:space="0"/>
              <w:right w:val="single" w:color="auto" w:sz="4" w:space="0"/>
            </w:tcBorders>
            <w:vAlign w:val="center"/>
          </w:tcPr>
          <w:p w14:paraId="1E356214">
            <w:pPr>
              <w:pStyle w:val="129"/>
              <w:rPr>
                <w:rFonts w:hint="eastAsia"/>
                <w:color w:val="000000"/>
                <w:sz w:val="21"/>
              </w:rPr>
            </w:pPr>
            <w:r>
              <w:rPr>
                <w:rFonts w:ascii="Songti SC" w:hAnsi="Songti SC" w:eastAsia="Songti SC" w:cs="Songti SC"/>
                <w:color w:val="000000"/>
              </w:rPr>
              <w:t>人/月</w:t>
            </w:r>
          </w:p>
        </w:tc>
        <w:tc>
          <w:tcPr>
            <w:tcW w:w="426" w:type="pct"/>
            <w:tcBorders>
              <w:top w:val="nil"/>
              <w:left w:val="nil"/>
              <w:bottom w:val="single" w:color="auto" w:sz="4" w:space="0"/>
              <w:right w:val="single" w:color="auto" w:sz="4" w:space="0"/>
            </w:tcBorders>
            <w:vAlign w:val="center"/>
          </w:tcPr>
          <w:p w14:paraId="01004CD2">
            <w:pPr>
              <w:pStyle w:val="129"/>
              <w:rPr>
                <w:rFonts w:hint="eastAsia"/>
                <w:color w:val="000000"/>
                <w:sz w:val="21"/>
              </w:rPr>
            </w:pPr>
            <w:r>
              <w:rPr>
                <w:rFonts w:ascii="Songti SC" w:hAnsi="Songti SC" w:eastAsia="Songti SC" w:cs="Songti SC"/>
                <w:color w:val="000000"/>
              </w:rPr>
              <w:t>2.50</w:t>
            </w:r>
          </w:p>
        </w:tc>
        <w:tc>
          <w:tcPr>
            <w:tcW w:w="516" w:type="pct"/>
            <w:tcBorders>
              <w:top w:val="nil"/>
              <w:left w:val="nil"/>
              <w:bottom w:val="single" w:color="auto" w:sz="4" w:space="0"/>
              <w:right w:val="single" w:color="auto" w:sz="4" w:space="0"/>
            </w:tcBorders>
            <w:vAlign w:val="center"/>
          </w:tcPr>
          <w:p w14:paraId="038FC692">
            <w:pPr>
              <w:pStyle w:val="129"/>
              <w:rPr>
                <w:rFonts w:hint="eastAsia"/>
                <w:color w:val="000000"/>
                <w:sz w:val="21"/>
              </w:rPr>
            </w:pPr>
            <w:r>
              <w:rPr>
                <w:rFonts w:ascii="Songti SC" w:hAnsi="Songti SC" w:eastAsia="Songti SC" w:cs="Songti SC"/>
                <w:color w:val="000000"/>
              </w:rPr>
              <w:t>1.50</w:t>
            </w:r>
          </w:p>
        </w:tc>
        <w:tc>
          <w:tcPr>
            <w:tcW w:w="597" w:type="pct"/>
            <w:tcBorders>
              <w:top w:val="nil"/>
              <w:left w:val="nil"/>
              <w:bottom w:val="single" w:color="auto" w:sz="4" w:space="0"/>
              <w:right w:val="single" w:color="auto" w:sz="4" w:space="0"/>
            </w:tcBorders>
            <w:vAlign w:val="center"/>
          </w:tcPr>
          <w:p w14:paraId="3DC17DF2">
            <w:pPr>
              <w:pStyle w:val="129"/>
              <w:rPr>
                <w:rFonts w:hint="eastAsia"/>
                <w:color w:val="000000"/>
                <w:sz w:val="21"/>
              </w:rPr>
            </w:pPr>
            <w:r>
              <w:rPr>
                <w:rFonts w:ascii="Songti SC" w:hAnsi="Songti SC" w:eastAsia="Songti SC" w:cs="Songti SC"/>
                <w:color w:val="000000"/>
              </w:rPr>
              <w:t>3.75</w:t>
            </w:r>
          </w:p>
        </w:tc>
        <w:tc>
          <w:tcPr>
            <w:tcW w:w="561" w:type="pct"/>
            <w:tcBorders>
              <w:top w:val="nil"/>
              <w:left w:val="nil"/>
              <w:bottom w:val="single" w:color="auto" w:sz="4" w:space="0"/>
              <w:right w:val="single" w:color="auto" w:sz="4" w:space="0"/>
            </w:tcBorders>
            <w:vAlign w:val="center"/>
          </w:tcPr>
          <w:p w14:paraId="43098703">
            <w:pPr>
              <w:pStyle w:val="129"/>
              <w:jc w:val="left"/>
              <w:rPr>
                <w:rFonts w:hint="eastAsia"/>
                <w:color w:val="000000"/>
                <w:sz w:val="21"/>
              </w:rPr>
            </w:pPr>
          </w:p>
        </w:tc>
      </w:tr>
      <w:tr w14:paraId="23D07760">
        <w:trPr>
          <w:trHeight w:val="1200" w:hRule="atLeast"/>
        </w:trPr>
        <w:tc>
          <w:tcPr>
            <w:tcW w:w="401" w:type="pct"/>
            <w:tcBorders>
              <w:top w:val="nil"/>
              <w:left w:val="single" w:color="auto" w:sz="4" w:space="0"/>
              <w:bottom w:val="single" w:color="auto" w:sz="4" w:space="0"/>
              <w:right w:val="single" w:color="auto" w:sz="4" w:space="0"/>
            </w:tcBorders>
            <w:vAlign w:val="center"/>
          </w:tcPr>
          <w:p w14:paraId="4ADDC95E">
            <w:pPr>
              <w:widowControl/>
              <w:spacing w:line="240" w:lineRule="auto"/>
              <w:ind w:firstLine="0" w:firstLineChars="0"/>
              <w:textAlignment w:val="center"/>
              <w:rPr>
                <w:rFonts w:hint="eastAsia"/>
                <w:color w:val="000000"/>
                <w:sz w:val="21"/>
                <w:szCs w:val="21"/>
              </w:rPr>
            </w:pPr>
            <w:r>
              <w:rPr>
                <w:rFonts w:ascii="Songti SC" w:hAnsi="Songti SC" w:eastAsia="Songti SC" w:cs="Songti SC"/>
                <w:color w:val="000000"/>
              </w:rPr>
              <w:t>7</w:t>
            </w:r>
          </w:p>
        </w:tc>
        <w:tc>
          <w:tcPr>
            <w:tcW w:w="793" w:type="pct"/>
            <w:tcBorders>
              <w:top w:val="nil"/>
              <w:left w:val="nil"/>
              <w:bottom w:val="single" w:color="auto" w:sz="4" w:space="0"/>
              <w:right w:val="single" w:color="auto" w:sz="4" w:space="0"/>
            </w:tcBorders>
            <w:vAlign w:val="center"/>
          </w:tcPr>
          <w:p w14:paraId="3982FA29">
            <w:pPr>
              <w:widowControl/>
              <w:spacing w:line="240" w:lineRule="auto"/>
              <w:ind w:firstLine="0" w:firstLineChars="0"/>
              <w:jc w:val="left"/>
              <w:textAlignment w:val="center"/>
              <w:rPr>
                <w:rFonts w:hint="eastAsia"/>
                <w:color w:val="000000"/>
                <w:sz w:val="21"/>
                <w:szCs w:val="21"/>
              </w:rPr>
            </w:pPr>
            <w:r>
              <w:rPr>
                <w:rFonts w:ascii="Songti SC" w:hAnsi="Songti SC" w:eastAsia="Songti SC" w:cs="Songti SC"/>
                <w:color w:val="000000"/>
              </w:rPr>
              <w:t>订单与售后管理系统改造</w:t>
            </w:r>
          </w:p>
        </w:tc>
        <w:tc>
          <w:tcPr>
            <w:tcW w:w="1280" w:type="pct"/>
            <w:tcBorders>
              <w:top w:val="nil"/>
              <w:left w:val="nil"/>
              <w:bottom w:val="single" w:color="auto" w:sz="4" w:space="0"/>
              <w:right w:val="single" w:color="auto" w:sz="4" w:space="0"/>
            </w:tcBorders>
            <w:vAlign w:val="center"/>
          </w:tcPr>
          <w:p w14:paraId="70C3B6A8">
            <w:pPr>
              <w:widowControl/>
              <w:spacing w:line="240" w:lineRule="auto"/>
              <w:ind w:firstLine="0" w:firstLineChars="0"/>
              <w:jc w:val="left"/>
              <w:textAlignment w:val="center"/>
              <w:rPr>
                <w:rFonts w:hint="eastAsia"/>
                <w:color w:val="000000"/>
                <w:sz w:val="21"/>
                <w:szCs w:val="21"/>
              </w:rPr>
            </w:pPr>
            <w:r>
              <w:rPr>
                <w:rFonts w:ascii="Songti SC" w:hAnsi="Songti SC" w:eastAsia="Songti SC" w:cs="Songti SC"/>
                <w:color w:val="000000"/>
              </w:rPr>
              <w:t>围绕消费订单查询、订单明细、订单售后处理和消息通知等内容开展订单状态、查询统计、售后处理和通知记录适配。</w:t>
            </w:r>
          </w:p>
        </w:tc>
        <w:tc>
          <w:tcPr>
            <w:tcW w:w="426" w:type="pct"/>
            <w:tcBorders>
              <w:top w:val="nil"/>
              <w:left w:val="nil"/>
              <w:bottom w:val="single" w:color="auto" w:sz="4" w:space="0"/>
              <w:right w:val="single" w:color="auto" w:sz="4" w:space="0"/>
            </w:tcBorders>
            <w:vAlign w:val="center"/>
          </w:tcPr>
          <w:p w14:paraId="1F433AFA">
            <w:pPr>
              <w:pStyle w:val="129"/>
              <w:rPr>
                <w:rFonts w:hint="eastAsia"/>
                <w:color w:val="000000"/>
                <w:sz w:val="21"/>
              </w:rPr>
            </w:pPr>
            <w:r>
              <w:rPr>
                <w:rFonts w:ascii="Songti SC" w:hAnsi="Songti SC" w:eastAsia="Songti SC" w:cs="Songti SC"/>
                <w:color w:val="000000"/>
              </w:rPr>
              <w:t>人/月</w:t>
            </w:r>
          </w:p>
        </w:tc>
        <w:tc>
          <w:tcPr>
            <w:tcW w:w="426" w:type="pct"/>
            <w:tcBorders>
              <w:top w:val="nil"/>
              <w:left w:val="nil"/>
              <w:bottom w:val="single" w:color="auto" w:sz="4" w:space="0"/>
              <w:right w:val="single" w:color="auto" w:sz="4" w:space="0"/>
            </w:tcBorders>
            <w:vAlign w:val="center"/>
          </w:tcPr>
          <w:p w14:paraId="713A4AAE">
            <w:pPr>
              <w:pStyle w:val="129"/>
              <w:rPr>
                <w:rFonts w:hint="eastAsia"/>
                <w:color w:val="000000"/>
                <w:sz w:val="21"/>
              </w:rPr>
            </w:pPr>
            <w:r>
              <w:rPr>
                <w:rFonts w:ascii="Songti SC" w:hAnsi="Songti SC" w:eastAsia="Songti SC" w:cs="Songti SC"/>
                <w:color w:val="000000"/>
              </w:rPr>
              <w:t>1.50</w:t>
            </w:r>
          </w:p>
        </w:tc>
        <w:tc>
          <w:tcPr>
            <w:tcW w:w="516" w:type="pct"/>
            <w:tcBorders>
              <w:top w:val="nil"/>
              <w:left w:val="nil"/>
              <w:bottom w:val="single" w:color="auto" w:sz="4" w:space="0"/>
              <w:right w:val="single" w:color="auto" w:sz="4" w:space="0"/>
            </w:tcBorders>
            <w:vAlign w:val="center"/>
          </w:tcPr>
          <w:p w14:paraId="644FE873">
            <w:pPr>
              <w:pStyle w:val="129"/>
              <w:rPr>
                <w:rFonts w:hint="eastAsia"/>
                <w:color w:val="000000"/>
                <w:sz w:val="21"/>
              </w:rPr>
            </w:pPr>
            <w:r>
              <w:rPr>
                <w:rFonts w:ascii="Songti SC" w:hAnsi="Songti SC" w:eastAsia="Songti SC" w:cs="Songti SC"/>
                <w:color w:val="000000"/>
              </w:rPr>
              <w:t>1.50</w:t>
            </w:r>
          </w:p>
        </w:tc>
        <w:tc>
          <w:tcPr>
            <w:tcW w:w="597" w:type="pct"/>
            <w:tcBorders>
              <w:top w:val="nil"/>
              <w:left w:val="nil"/>
              <w:bottom w:val="single" w:color="auto" w:sz="4" w:space="0"/>
              <w:right w:val="single" w:color="auto" w:sz="4" w:space="0"/>
            </w:tcBorders>
            <w:vAlign w:val="center"/>
          </w:tcPr>
          <w:p w14:paraId="68956BB3">
            <w:pPr>
              <w:pStyle w:val="129"/>
              <w:rPr>
                <w:rFonts w:hint="eastAsia"/>
                <w:color w:val="000000"/>
                <w:sz w:val="21"/>
              </w:rPr>
            </w:pPr>
            <w:r>
              <w:rPr>
                <w:rFonts w:ascii="Songti SC" w:hAnsi="Songti SC" w:eastAsia="Songti SC" w:cs="Songti SC"/>
                <w:color w:val="000000"/>
              </w:rPr>
              <w:t>2.25</w:t>
            </w:r>
          </w:p>
        </w:tc>
        <w:tc>
          <w:tcPr>
            <w:tcW w:w="561" w:type="pct"/>
            <w:tcBorders>
              <w:top w:val="nil"/>
              <w:left w:val="nil"/>
              <w:bottom w:val="single" w:color="auto" w:sz="4" w:space="0"/>
              <w:right w:val="single" w:color="auto" w:sz="4" w:space="0"/>
            </w:tcBorders>
            <w:vAlign w:val="center"/>
          </w:tcPr>
          <w:p w14:paraId="4751AFC2">
            <w:pPr>
              <w:pStyle w:val="129"/>
              <w:jc w:val="left"/>
              <w:rPr>
                <w:rFonts w:hint="eastAsia"/>
                <w:color w:val="000000"/>
                <w:sz w:val="21"/>
              </w:rPr>
            </w:pPr>
          </w:p>
        </w:tc>
      </w:tr>
      <w:tr w14:paraId="1BBCECD6">
        <w:trPr>
          <w:trHeight w:val="1200" w:hRule="atLeast"/>
        </w:trPr>
        <w:tc>
          <w:tcPr>
            <w:tcW w:w="401" w:type="pct"/>
            <w:tcBorders>
              <w:top w:val="nil"/>
              <w:left w:val="single" w:color="auto" w:sz="4" w:space="0"/>
              <w:bottom w:val="single" w:color="auto" w:sz="4" w:space="0"/>
              <w:right w:val="single" w:color="auto" w:sz="4" w:space="0"/>
            </w:tcBorders>
            <w:vAlign w:val="center"/>
          </w:tcPr>
          <w:p w14:paraId="0F8065CF">
            <w:pPr>
              <w:widowControl/>
              <w:spacing w:line="240" w:lineRule="auto"/>
              <w:ind w:firstLine="0" w:firstLineChars="0"/>
              <w:textAlignment w:val="center"/>
              <w:rPr>
                <w:rFonts w:hint="eastAsia"/>
                <w:color w:val="000000"/>
                <w:sz w:val="21"/>
                <w:szCs w:val="21"/>
              </w:rPr>
            </w:pPr>
            <w:r>
              <w:rPr>
                <w:rFonts w:ascii="Songti SC" w:hAnsi="Songti SC" w:eastAsia="Songti SC" w:cs="Songti SC"/>
                <w:color w:val="000000"/>
              </w:rPr>
              <w:t>8</w:t>
            </w:r>
          </w:p>
        </w:tc>
        <w:tc>
          <w:tcPr>
            <w:tcW w:w="793" w:type="pct"/>
            <w:tcBorders>
              <w:top w:val="nil"/>
              <w:left w:val="nil"/>
              <w:bottom w:val="single" w:color="auto" w:sz="4" w:space="0"/>
              <w:right w:val="single" w:color="auto" w:sz="4" w:space="0"/>
            </w:tcBorders>
            <w:vAlign w:val="center"/>
          </w:tcPr>
          <w:p w14:paraId="4BCE7810">
            <w:pPr>
              <w:widowControl/>
              <w:spacing w:line="240" w:lineRule="auto"/>
              <w:ind w:firstLine="0" w:firstLineChars="0"/>
              <w:jc w:val="left"/>
              <w:textAlignment w:val="center"/>
              <w:rPr>
                <w:rFonts w:hint="eastAsia"/>
                <w:color w:val="000000"/>
                <w:sz w:val="21"/>
                <w:szCs w:val="21"/>
              </w:rPr>
            </w:pPr>
            <w:r>
              <w:rPr>
                <w:rFonts w:ascii="Songti SC" w:hAnsi="Songti SC" w:eastAsia="Songti SC" w:cs="Songti SC"/>
                <w:color w:val="000000"/>
              </w:rPr>
              <w:t>报表管理系统改造</w:t>
            </w:r>
          </w:p>
        </w:tc>
        <w:tc>
          <w:tcPr>
            <w:tcW w:w="1280" w:type="pct"/>
            <w:tcBorders>
              <w:top w:val="nil"/>
              <w:left w:val="nil"/>
              <w:bottom w:val="single" w:color="auto" w:sz="4" w:space="0"/>
              <w:right w:val="single" w:color="auto" w:sz="4" w:space="0"/>
            </w:tcBorders>
            <w:vAlign w:val="center"/>
          </w:tcPr>
          <w:p w14:paraId="4AE0CAB0">
            <w:pPr>
              <w:widowControl/>
              <w:spacing w:line="240" w:lineRule="auto"/>
              <w:ind w:firstLine="0" w:firstLineChars="0"/>
              <w:jc w:val="left"/>
              <w:textAlignment w:val="center"/>
              <w:rPr>
                <w:rFonts w:hint="eastAsia"/>
                <w:color w:val="000000"/>
                <w:sz w:val="21"/>
                <w:szCs w:val="21"/>
              </w:rPr>
            </w:pPr>
            <w:r>
              <w:rPr>
                <w:rFonts w:ascii="Songti SC" w:hAnsi="Songti SC" w:eastAsia="Songti SC" w:cs="Songti SC"/>
                <w:color w:val="000000"/>
              </w:rPr>
              <w:t>围绕按日期组查询、交易照片查询、操作明细查询、用户余额、收银统计、综合汇总、消费设备汇总、部门消费统计和餐厅消费汇总开展报表适配。</w:t>
            </w:r>
          </w:p>
        </w:tc>
        <w:tc>
          <w:tcPr>
            <w:tcW w:w="426" w:type="pct"/>
            <w:tcBorders>
              <w:top w:val="nil"/>
              <w:left w:val="nil"/>
              <w:bottom w:val="single" w:color="auto" w:sz="4" w:space="0"/>
              <w:right w:val="single" w:color="auto" w:sz="4" w:space="0"/>
            </w:tcBorders>
            <w:vAlign w:val="center"/>
          </w:tcPr>
          <w:p w14:paraId="2CCCA9B7">
            <w:pPr>
              <w:pStyle w:val="129"/>
              <w:rPr>
                <w:rFonts w:hint="eastAsia"/>
                <w:color w:val="000000"/>
                <w:sz w:val="21"/>
              </w:rPr>
            </w:pPr>
            <w:r>
              <w:rPr>
                <w:rFonts w:ascii="Songti SC" w:hAnsi="Songti SC" w:eastAsia="Songti SC" w:cs="Songti SC"/>
                <w:color w:val="000000"/>
              </w:rPr>
              <w:t>人/月</w:t>
            </w:r>
          </w:p>
        </w:tc>
        <w:tc>
          <w:tcPr>
            <w:tcW w:w="426" w:type="pct"/>
            <w:tcBorders>
              <w:top w:val="nil"/>
              <w:left w:val="nil"/>
              <w:bottom w:val="single" w:color="auto" w:sz="4" w:space="0"/>
              <w:right w:val="single" w:color="auto" w:sz="4" w:space="0"/>
            </w:tcBorders>
            <w:vAlign w:val="center"/>
          </w:tcPr>
          <w:p w14:paraId="42979AE9">
            <w:pPr>
              <w:pStyle w:val="129"/>
              <w:rPr>
                <w:rFonts w:hint="eastAsia"/>
                <w:color w:val="000000"/>
                <w:sz w:val="21"/>
              </w:rPr>
            </w:pPr>
            <w:r>
              <w:rPr>
                <w:rFonts w:ascii="Songti SC" w:hAnsi="Songti SC" w:eastAsia="Songti SC" w:cs="Songti SC"/>
                <w:color w:val="000000"/>
              </w:rPr>
              <w:t>2.00</w:t>
            </w:r>
          </w:p>
        </w:tc>
        <w:tc>
          <w:tcPr>
            <w:tcW w:w="516" w:type="pct"/>
            <w:tcBorders>
              <w:top w:val="nil"/>
              <w:left w:val="nil"/>
              <w:bottom w:val="single" w:color="auto" w:sz="4" w:space="0"/>
              <w:right w:val="single" w:color="auto" w:sz="4" w:space="0"/>
            </w:tcBorders>
            <w:vAlign w:val="center"/>
          </w:tcPr>
          <w:p w14:paraId="4D1EB6C8">
            <w:pPr>
              <w:pStyle w:val="129"/>
              <w:rPr>
                <w:rFonts w:hint="eastAsia"/>
                <w:color w:val="000000"/>
                <w:sz w:val="21"/>
              </w:rPr>
            </w:pPr>
            <w:r>
              <w:rPr>
                <w:rFonts w:ascii="Songti SC" w:hAnsi="Songti SC" w:eastAsia="Songti SC" w:cs="Songti SC"/>
                <w:color w:val="000000"/>
              </w:rPr>
              <w:t>1.50</w:t>
            </w:r>
          </w:p>
        </w:tc>
        <w:tc>
          <w:tcPr>
            <w:tcW w:w="597" w:type="pct"/>
            <w:tcBorders>
              <w:top w:val="nil"/>
              <w:left w:val="nil"/>
              <w:bottom w:val="single" w:color="auto" w:sz="4" w:space="0"/>
              <w:right w:val="single" w:color="auto" w:sz="4" w:space="0"/>
            </w:tcBorders>
            <w:vAlign w:val="center"/>
          </w:tcPr>
          <w:p w14:paraId="2E570434">
            <w:pPr>
              <w:pStyle w:val="129"/>
              <w:rPr>
                <w:rFonts w:hint="eastAsia"/>
                <w:color w:val="000000"/>
                <w:sz w:val="21"/>
              </w:rPr>
            </w:pPr>
            <w:r>
              <w:rPr>
                <w:rFonts w:ascii="Songti SC" w:hAnsi="Songti SC" w:eastAsia="Songti SC" w:cs="Songti SC"/>
                <w:color w:val="000000"/>
              </w:rPr>
              <w:t>3.00</w:t>
            </w:r>
          </w:p>
        </w:tc>
        <w:tc>
          <w:tcPr>
            <w:tcW w:w="561" w:type="pct"/>
            <w:tcBorders>
              <w:top w:val="nil"/>
              <w:left w:val="nil"/>
              <w:bottom w:val="single" w:color="auto" w:sz="4" w:space="0"/>
              <w:right w:val="single" w:color="auto" w:sz="4" w:space="0"/>
            </w:tcBorders>
            <w:vAlign w:val="center"/>
          </w:tcPr>
          <w:p w14:paraId="5B4907CB">
            <w:pPr>
              <w:pStyle w:val="129"/>
              <w:jc w:val="left"/>
              <w:rPr>
                <w:rFonts w:hint="eastAsia"/>
                <w:color w:val="000000"/>
                <w:sz w:val="21"/>
              </w:rPr>
            </w:pPr>
          </w:p>
        </w:tc>
      </w:tr>
      <w:tr w14:paraId="3931A00E">
        <w:trPr>
          <w:trHeight w:val="1200" w:hRule="atLeast"/>
        </w:trPr>
        <w:tc>
          <w:tcPr>
            <w:tcW w:w="401" w:type="pct"/>
            <w:tcBorders>
              <w:top w:val="nil"/>
              <w:left w:val="single" w:color="auto" w:sz="4" w:space="0"/>
              <w:bottom w:val="single" w:color="auto" w:sz="4" w:space="0"/>
              <w:right w:val="single" w:color="auto" w:sz="4" w:space="0"/>
            </w:tcBorders>
            <w:vAlign w:val="center"/>
          </w:tcPr>
          <w:p w14:paraId="39D68B69">
            <w:pPr>
              <w:widowControl/>
              <w:spacing w:line="240" w:lineRule="auto"/>
              <w:ind w:firstLine="0" w:firstLineChars="0"/>
              <w:textAlignment w:val="center"/>
              <w:rPr>
                <w:rFonts w:hint="eastAsia"/>
                <w:color w:val="000000"/>
                <w:sz w:val="21"/>
                <w:szCs w:val="21"/>
              </w:rPr>
            </w:pPr>
            <w:r>
              <w:rPr>
                <w:rFonts w:ascii="Songti SC" w:hAnsi="Songti SC" w:eastAsia="Songti SC" w:cs="Songti SC"/>
                <w:color w:val="000000"/>
              </w:rPr>
              <w:t>9</w:t>
            </w:r>
          </w:p>
        </w:tc>
        <w:tc>
          <w:tcPr>
            <w:tcW w:w="793" w:type="pct"/>
            <w:tcBorders>
              <w:top w:val="nil"/>
              <w:left w:val="nil"/>
              <w:bottom w:val="single" w:color="auto" w:sz="4" w:space="0"/>
              <w:right w:val="single" w:color="auto" w:sz="4" w:space="0"/>
            </w:tcBorders>
            <w:vAlign w:val="center"/>
          </w:tcPr>
          <w:p w14:paraId="76AF016D">
            <w:pPr>
              <w:widowControl/>
              <w:spacing w:line="240" w:lineRule="auto"/>
              <w:ind w:firstLine="0" w:firstLineChars="0"/>
              <w:jc w:val="left"/>
              <w:textAlignment w:val="center"/>
              <w:rPr>
                <w:rFonts w:hint="eastAsia"/>
                <w:color w:val="000000"/>
                <w:sz w:val="21"/>
                <w:szCs w:val="21"/>
              </w:rPr>
            </w:pPr>
            <w:r>
              <w:rPr>
                <w:rFonts w:ascii="Songti SC" w:hAnsi="Songti SC" w:eastAsia="Songti SC" w:cs="Songti SC"/>
                <w:color w:val="000000"/>
              </w:rPr>
              <w:t>历史数据迁移与一致性校验</w:t>
            </w:r>
          </w:p>
        </w:tc>
        <w:tc>
          <w:tcPr>
            <w:tcW w:w="1280" w:type="pct"/>
            <w:tcBorders>
              <w:top w:val="nil"/>
              <w:left w:val="nil"/>
              <w:bottom w:val="single" w:color="auto" w:sz="4" w:space="0"/>
              <w:right w:val="single" w:color="auto" w:sz="4" w:space="0"/>
            </w:tcBorders>
            <w:vAlign w:val="center"/>
          </w:tcPr>
          <w:p w14:paraId="32D69AF9">
            <w:pPr>
              <w:widowControl/>
              <w:spacing w:line="240" w:lineRule="auto"/>
              <w:ind w:firstLine="0" w:firstLineChars="0"/>
              <w:jc w:val="left"/>
              <w:textAlignment w:val="center"/>
              <w:rPr>
                <w:rFonts w:hint="eastAsia"/>
                <w:color w:val="000000"/>
                <w:sz w:val="21"/>
                <w:szCs w:val="21"/>
              </w:rPr>
            </w:pPr>
            <w:r>
              <w:rPr>
                <w:rFonts w:ascii="Songti SC" w:hAnsi="Songti SC" w:eastAsia="Songti SC" w:cs="Songti SC"/>
                <w:color w:val="000000"/>
              </w:rPr>
              <w:t>围绕人员、账户、充值、消费、补贴、退款、提现、菜品菜单、设备、权限和报表基础数据开展迁移准备、数据转换、导入校验、账务核对、差异处理和割接验证。</w:t>
            </w:r>
          </w:p>
        </w:tc>
        <w:tc>
          <w:tcPr>
            <w:tcW w:w="426" w:type="pct"/>
            <w:tcBorders>
              <w:top w:val="nil"/>
              <w:left w:val="nil"/>
              <w:bottom w:val="single" w:color="auto" w:sz="4" w:space="0"/>
              <w:right w:val="single" w:color="auto" w:sz="4" w:space="0"/>
            </w:tcBorders>
            <w:vAlign w:val="center"/>
          </w:tcPr>
          <w:p w14:paraId="6E041D58">
            <w:pPr>
              <w:pStyle w:val="129"/>
              <w:rPr>
                <w:rFonts w:hint="eastAsia"/>
                <w:color w:val="000000"/>
                <w:sz w:val="21"/>
              </w:rPr>
            </w:pPr>
            <w:r>
              <w:rPr>
                <w:rFonts w:ascii="Songti SC" w:hAnsi="Songti SC" w:eastAsia="Songti SC" w:cs="Songti SC"/>
                <w:color w:val="000000"/>
              </w:rPr>
              <w:t>人/月</w:t>
            </w:r>
          </w:p>
        </w:tc>
        <w:tc>
          <w:tcPr>
            <w:tcW w:w="426" w:type="pct"/>
            <w:tcBorders>
              <w:top w:val="nil"/>
              <w:left w:val="nil"/>
              <w:bottom w:val="single" w:color="auto" w:sz="4" w:space="0"/>
              <w:right w:val="single" w:color="auto" w:sz="4" w:space="0"/>
            </w:tcBorders>
            <w:vAlign w:val="center"/>
          </w:tcPr>
          <w:p w14:paraId="2EE69F79">
            <w:pPr>
              <w:pStyle w:val="129"/>
              <w:rPr>
                <w:rFonts w:hint="eastAsia"/>
                <w:color w:val="000000"/>
                <w:sz w:val="21"/>
              </w:rPr>
            </w:pPr>
            <w:r>
              <w:rPr>
                <w:rFonts w:ascii="Songti SC" w:hAnsi="Songti SC" w:eastAsia="Songti SC" w:cs="Songti SC"/>
                <w:color w:val="000000"/>
              </w:rPr>
              <w:t>2.00</w:t>
            </w:r>
          </w:p>
        </w:tc>
        <w:tc>
          <w:tcPr>
            <w:tcW w:w="516" w:type="pct"/>
            <w:tcBorders>
              <w:top w:val="nil"/>
              <w:left w:val="nil"/>
              <w:bottom w:val="single" w:color="auto" w:sz="4" w:space="0"/>
              <w:right w:val="single" w:color="auto" w:sz="4" w:space="0"/>
            </w:tcBorders>
            <w:vAlign w:val="center"/>
          </w:tcPr>
          <w:p w14:paraId="6080AB03">
            <w:pPr>
              <w:pStyle w:val="129"/>
              <w:rPr>
                <w:rFonts w:hint="eastAsia"/>
                <w:color w:val="000000"/>
                <w:sz w:val="21"/>
              </w:rPr>
            </w:pPr>
            <w:r>
              <w:rPr>
                <w:rFonts w:ascii="Songti SC" w:hAnsi="Songti SC" w:eastAsia="Songti SC" w:cs="Songti SC"/>
                <w:color w:val="000000"/>
              </w:rPr>
              <w:t>1.50</w:t>
            </w:r>
          </w:p>
        </w:tc>
        <w:tc>
          <w:tcPr>
            <w:tcW w:w="597" w:type="pct"/>
            <w:tcBorders>
              <w:top w:val="nil"/>
              <w:left w:val="nil"/>
              <w:bottom w:val="single" w:color="auto" w:sz="4" w:space="0"/>
              <w:right w:val="single" w:color="auto" w:sz="4" w:space="0"/>
            </w:tcBorders>
            <w:vAlign w:val="center"/>
          </w:tcPr>
          <w:p w14:paraId="432D8BEC">
            <w:pPr>
              <w:pStyle w:val="129"/>
              <w:rPr>
                <w:rFonts w:hint="eastAsia"/>
                <w:color w:val="000000"/>
                <w:sz w:val="21"/>
              </w:rPr>
            </w:pPr>
            <w:r>
              <w:rPr>
                <w:rFonts w:ascii="Songti SC" w:hAnsi="Songti SC" w:eastAsia="Songti SC" w:cs="Songti SC"/>
                <w:color w:val="000000"/>
              </w:rPr>
              <w:t>3.00</w:t>
            </w:r>
          </w:p>
        </w:tc>
        <w:tc>
          <w:tcPr>
            <w:tcW w:w="561" w:type="pct"/>
            <w:tcBorders>
              <w:top w:val="nil"/>
              <w:left w:val="nil"/>
              <w:bottom w:val="single" w:color="auto" w:sz="4" w:space="0"/>
              <w:right w:val="single" w:color="auto" w:sz="4" w:space="0"/>
            </w:tcBorders>
            <w:vAlign w:val="center"/>
          </w:tcPr>
          <w:p w14:paraId="455DC3E9">
            <w:pPr>
              <w:pStyle w:val="129"/>
              <w:jc w:val="left"/>
              <w:rPr>
                <w:rFonts w:hint="eastAsia"/>
                <w:color w:val="000000"/>
                <w:sz w:val="21"/>
              </w:rPr>
            </w:pPr>
          </w:p>
        </w:tc>
      </w:tr>
      <w:tr w14:paraId="29367471">
        <w:trPr>
          <w:trHeight w:val="519" w:hRule="atLeast"/>
        </w:trPr>
        <w:tc>
          <w:tcPr>
            <w:tcW w:w="3842" w:type="pct"/>
            <w:gridSpan w:val="6"/>
            <w:tcBorders>
              <w:top w:val="single" w:color="auto" w:sz="4" w:space="0"/>
              <w:left w:val="single" w:color="auto" w:sz="4" w:space="0"/>
              <w:bottom w:val="single" w:color="auto" w:sz="4" w:space="0"/>
              <w:right w:val="single" w:color="auto" w:sz="4" w:space="0"/>
            </w:tcBorders>
            <w:noWrap/>
            <w:vAlign w:val="center"/>
          </w:tcPr>
          <w:p w14:paraId="3FD60DD5">
            <w:pPr>
              <w:pStyle w:val="129"/>
              <w:jc w:val="left"/>
              <w:rPr>
                <w:rFonts w:hint="eastAsia"/>
                <w:b/>
                <w:bCs w:val="0"/>
                <w:color w:val="000000"/>
                <w:sz w:val="21"/>
              </w:rPr>
            </w:pPr>
            <w:r>
              <w:rPr>
                <w:rFonts w:ascii="Songti SC" w:hAnsi="Songti SC" w:eastAsia="Songti SC" w:cs="Songti SC"/>
                <w:b/>
                <w:color w:val="000000"/>
              </w:rPr>
              <w:t>小计</w:t>
            </w:r>
          </w:p>
        </w:tc>
        <w:tc>
          <w:tcPr>
            <w:tcW w:w="597" w:type="pct"/>
            <w:tcBorders>
              <w:top w:val="nil"/>
              <w:left w:val="nil"/>
              <w:bottom w:val="single" w:color="auto" w:sz="4" w:space="0"/>
              <w:right w:val="single" w:color="auto" w:sz="4" w:space="0"/>
            </w:tcBorders>
            <w:noWrap/>
            <w:vAlign w:val="center"/>
          </w:tcPr>
          <w:p w14:paraId="11DD6891">
            <w:pPr>
              <w:pStyle w:val="129"/>
              <w:rPr>
                <w:rFonts w:hint="eastAsia"/>
                <w:b/>
                <w:bCs w:val="0"/>
                <w:color w:val="000000"/>
                <w:sz w:val="21"/>
              </w:rPr>
            </w:pPr>
            <w:r>
              <w:rPr>
                <w:rFonts w:ascii="Songti SC" w:hAnsi="Songti SC" w:eastAsia="Songti SC" w:cs="Songti SC"/>
                <w:b/>
                <w:color w:val="000000"/>
              </w:rPr>
              <w:t>28.50</w:t>
            </w:r>
          </w:p>
        </w:tc>
        <w:tc>
          <w:tcPr>
            <w:tcW w:w="561" w:type="pct"/>
            <w:tcBorders>
              <w:top w:val="nil"/>
              <w:left w:val="nil"/>
              <w:bottom w:val="single" w:color="auto" w:sz="4" w:space="0"/>
              <w:right w:val="single" w:color="auto" w:sz="4" w:space="0"/>
            </w:tcBorders>
            <w:noWrap/>
            <w:vAlign w:val="center"/>
          </w:tcPr>
          <w:p w14:paraId="76014163">
            <w:pPr>
              <w:pStyle w:val="129"/>
              <w:rPr>
                <w:rFonts w:hint="eastAsia"/>
                <w:b/>
                <w:bCs w:val="0"/>
                <w:color w:val="000000"/>
                <w:sz w:val="21"/>
              </w:rPr>
            </w:pPr>
          </w:p>
        </w:tc>
      </w:tr>
      <w:tr w14:paraId="7B5DC0C6">
        <w:trPr>
          <w:trHeight w:val="290" w:hRule="atLeast"/>
        </w:trPr>
        <w:tc>
          <w:tcPr>
            <w:tcW w:w="5000" w:type="pct"/>
            <w:gridSpan w:val="8"/>
            <w:tcBorders>
              <w:top w:val="single" w:color="auto" w:sz="4" w:space="0"/>
              <w:left w:val="single" w:color="auto" w:sz="4" w:space="0"/>
              <w:bottom w:val="single" w:color="auto" w:sz="4" w:space="0"/>
              <w:right w:val="single" w:color="000000" w:sz="4" w:space="0"/>
            </w:tcBorders>
            <w:vAlign w:val="center"/>
          </w:tcPr>
          <w:p w14:paraId="291DE819">
            <w:pPr>
              <w:pStyle w:val="128"/>
              <w:jc w:val="left"/>
              <w:rPr>
                <w:rFonts w:hint="eastAsia"/>
                <w:color w:val="000000"/>
                <w:sz w:val="21"/>
              </w:rPr>
            </w:pPr>
            <w:r>
              <w:rPr>
                <w:rFonts w:ascii="Songti SC" w:hAnsi="Songti SC" w:eastAsia="Songti SC" w:cs="Songti SC"/>
                <w:color w:val="000000"/>
              </w:rPr>
              <w:t>（二）前端硬件接入及接口适配</w:t>
            </w:r>
          </w:p>
        </w:tc>
      </w:tr>
      <w:tr w14:paraId="399CB73E">
        <w:trPr>
          <w:trHeight w:val="1200" w:hRule="atLeast"/>
        </w:trPr>
        <w:tc>
          <w:tcPr>
            <w:tcW w:w="401" w:type="pct"/>
            <w:tcBorders>
              <w:top w:val="nil"/>
              <w:left w:val="single" w:color="auto" w:sz="4" w:space="0"/>
              <w:bottom w:val="single" w:color="auto" w:sz="4" w:space="0"/>
              <w:right w:val="single" w:color="auto" w:sz="4" w:space="0"/>
            </w:tcBorders>
            <w:vAlign w:val="center"/>
          </w:tcPr>
          <w:p w14:paraId="56B966E3">
            <w:pPr>
              <w:widowControl/>
              <w:spacing w:line="240" w:lineRule="auto"/>
              <w:ind w:firstLine="0" w:firstLineChars="0"/>
              <w:textAlignment w:val="center"/>
              <w:rPr>
                <w:rFonts w:hint="eastAsia"/>
                <w:color w:val="000000"/>
                <w:sz w:val="21"/>
                <w:szCs w:val="21"/>
              </w:rPr>
            </w:pPr>
            <w:r>
              <w:rPr>
                <w:rFonts w:ascii="Songti SC" w:hAnsi="Songti SC" w:eastAsia="Songti SC" w:cs="Songti SC"/>
                <w:color w:val="000000"/>
              </w:rPr>
              <w:t>10</w:t>
            </w:r>
          </w:p>
        </w:tc>
        <w:tc>
          <w:tcPr>
            <w:tcW w:w="793" w:type="pct"/>
            <w:tcBorders>
              <w:top w:val="nil"/>
              <w:left w:val="nil"/>
              <w:bottom w:val="single" w:color="auto" w:sz="4" w:space="0"/>
              <w:right w:val="single" w:color="auto" w:sz="4" w:space="0"/>
            </w:tcBorders>
            <w:vAlign w:val="center"/>
          </w:tcPr>
          <w:p w14:paraId="21ACEF27">
            <w:pPr>
              <w:widowControl/>
              <w:spacing w:line="240" w:lineRule="auto"/>
              <w:ind w:firstLine="0" w:firstLineChars="0"/>
              <w:jc w:val="left"/>
              <w:textAlignment w:val="center"/>
              <w:rPr>
                <w:rFonts w:hint="eastAsia"/>
                <w:color w:val="000000"/>
                <w:sz w:val="21"/>
                <w:szCs w:val="21"/>
              </w:rPr>
            </w:pPr>
            <w:r>
              <w:rPr>
                <w:rFonts w:ascii="Songti SC" w:hAnsi="Songti SC" w:eastAsia="Songti SC" w:cs="Songti SC"/>
                <w:color w:val="000000"/>
              </w:rPr>
              <w:t>台式双面收银机接入适配</w:t>
            </w:r>
          </w:p>
        </w:tc>
        <w:tc>
          <w:tcPr>
            <w:tcW w:w="1280" w:type="pct"/>
            <w:tcBorders>
              <w:top w:val="nil"/>
              <w:left w:val="nil"/>
              <w:bottom w:val="single" w:color="auto" w:sz="4" w:space="0"/>
              <w:right w:val="single" w:color="auto" w:sz="4" w:space="0"/>
            </w:tcBorders>
            <w:vAlign w:val="center"/>
          </w:tcPr>
          <w:p w14:paraId="025F7919">
            <w:pPr>
              <w:widowControl/>
              <w:spacing w:line="240" w:lineRule="auto"/>
              <w:ind w:firstLine="0" w:firstLineChars="0"/>
              <w:jc w:val="left"/>
              <w:textAlignment w:val="center"/>
              <w:rPr>
                <w:rFonts w:hint="eastAsia"/>
                <w:color w:val="000000"/>
                <w:sz w:val="21"/>
                <w:szCs w:val="21"/>
              </w:rPr>
            </w:pPr>
            <w:r>
              <w:rPr>
                <w:rFonts w:ascii="Songti SC" w:hAnsi="Songti SC" w:eastAsia="Songti SC" w:cs="Songti SC"/>
                <w:color w:val="000000"/>
              </w:rPr>
              <w:t>完成台式双面收银机在升级后平台下的设备接入、参数配置、餐厅绑定、刷卡/扫码/刷脸交易、交易同步、离线补传和状态回传等适配联调。</w:t>
            </w:r>
          </w:p>
        </w:tc>
        <w:tc>
          <w:tcPr>
            <w:tcW w:w="426" w:type="pct"/>
            <w:tcBorders>
              <w:top w:val="nil"/>
              <w:left w:val="nil"/>
              <w:bottom w:val="single" w:color="auto" w:sz="4" w:space="0"/>
              <w:right w:val="single" w:color="auto" w:sz="4" w:space="0"/>
            </w:tcBorders>
            <w:vAlign w:val="center"/>
          </w:tcPr>
          <w:p w14:paraId="23B563F7">
            <w:pPr>
              <w:pStyle w:val="129"/>
              <w:rPr>
                <w:rFonts w:hint="eastAsia"/>
                <w:color w:val="000000"/>
                <w:sz w:val="21"/>
              </w:rPr>
            </w:pPr>
            <w:r>
              <w:rPr>
                <w:rFonts w:ascii="Songti SC" w:hAnsi="Songti SC" w:eastAsia="Songti SC" w:cs="Songti SC"/>
                <w:color w:val="000000"/>
              </w:rPr>
              <w:t>类</w:t>
            </w:r>
          </w:p>
        </w:tc>
        <w:tc>
          <w:tcPr>
            <w:tcW w:w="426" w:type="pct"/>
            <w:tcBorders>
              <w:top w:val="nil"/>
              <w:left w:val="nil"/>
              <w:bottom w:val="single" w:color="auto" w:sz="4" w:space="0"/>
              <w:right w:val="single" w:color="auto" w:sz="4" w:space="0"/>
            </w:tcBorders>
            <w:vAlign w:val="center"/>
          </w:tcPr>
          <w:p w14:paraId="00C8B0D6">
            <w:pPr>
              <w:pStyle w:val="129"/>
              <w:rPr>
                <w:rFonts w:hint="eastAsia"/>
                <w:color w:val="000000"/>
                <w:sz w:val="21"/>
              </w:rPr>
            </w:pPr>
            <w:r>
              <w:rPr>
                <w:rFonts w:ascii="Songti SC" w:hAnsi="Songti SC" w:eastAsia="Songti SC" w:cs="Songti SC"/>
                <w:color w:val="000000"/>
              </w:rPr>
              <w:t>1</w:t>
            </w:r>
          </w:p>
        </w:tc>
        <w:tc>
          <w:tcPr>
            <w:tcW w:w="516" w:type="pct"/>
            <w:tcBorders>
              <w:top w:val="nil"/>
              <w:left w:val="nil"/>
              <w:bottom w:val="single" w:color="auto" w:sz="4" w:space="0"/>
              <w:right w:val="single" w:color="auto" w:sz="4" w:space="0"/>
            </w:tcBorders>
            <w:vAlign w:val="center"/>
          </w:tcPr>
          <w:p w14:paraId="2E34AB67">
            <w:pPr>
              <w:pStyle w:val="129"/>
              <w:rPr>
                <w:rFonts w:hint="eastAsia"/>
                <w:color w:val="000000"/>
                <w:sz w:val="21"/>
              </w:rPr>
            </w:pPr>
            <w:r>
              <w:rPr>
                <w:rFonts w:ascii="Songti SC" w:hAnsi="Songti SC" w:eastAsia="Songti SC" w:cs="Songti SC"/>
                <w:color w:val="000000"/>
              </w:rPr>
              <w:t>13.12</w:t>
            </w:r>
          </w:p>
        </w:tc>
        <w:tc>
          <w:tcPr>
            <w:tcW w:w="597" w:type="pct"/>
            <w:tcBorders>
              <w:top w:val="nil"/>
              <w:left w:val="nil"/>
              <w:bottom w:val="single" w:color="auto" w:sz="4" w:space="0"/>
              <w:right w:val="single" w:color="auto" w:sz="4" w:space="0"/>
            </w:tcBorders>
            <w:vAlign w:val="center"/>
          </w:tcPr>
          <w:p w14:paraId="35A067F6">
            <w:pPr>
              <w:pStyle w:val="129"/>
              <w:rPr>
                <w:rFonts w:hint="eastAsia"/>
                <w:color w:val="000000"/>
                <w:sz w:val="21"/>
              </w:rPr>
            </w:pPr>
            <w:r>
              <w:rPr>
                <w:rFonts w:ascii="Songti SC" w:hAnsi="Songti SC" w:eastAsia="Songti SC" w:cs="Songti SC"/>
                <w:color w:val="000000"/>
              </w:rPr>
              <w:t>13.12</w:t>
            </w:r>
          </w:p>
        </w:tc>
        <w:tc>
          <w:tcPr>
            <w:tcW w:w="561" w:type="pct"/>
            <w:tcBorders>
              <w:top w:val="nil"/>
              <w:left w:val="nil"/>
              <w:bottom w:val="single" w:color="auto" w:sz="4" w:space="0"/>
              <w:right w:val="single" w:color="auto" w:sz="4" w:space="0"/>
            </w:tcBorders>
            <w:vAlign w:val="center"/>
          </w:tcPr>
          <w:p w14:paraId="65C109AA">
            <w:pPr>
              <w:pStyle w:val="129"/>
              <w:jc w:val="left"/>
              <w:rPr>
                <w:rFonts w:hint="eastAsia"/>
                <w:color w:val="000000"/>
                <w:sz w:val="21"/>
              </w:rPr>
            </w:pPr>
            <w:r>
              <w:rPr>
                <w:rFonts w:ascii="Songti SC" w:hAnsi="Songti SC" w:eastAsia="Songti SC" w:cs="Songti SC"/>
                <w:color w:val="000000"/>
              </w:rPr>
              <w:t>参考CPT-GMPOS200；41台更新；供货费用待核。</w:t>
            </w:r>
          </w:p>
        </w:tc>
      </w:tr>
      <w:tr w14:paraId="183F17EC">
        <w:trPr>
          <w:trHeight w:val="1200" w:hRule="atLeast"/>
        </w:trPr>
        <w:tc>
          <w:tcPr>
            <w:tcW w:w="401" w:type="pct"/>
            <w:tcBorders>
              <w:top w:val="nil"/>
              <w:left w:val="single" w:color="auto" w:sz="4" w:space="0"/>
              <w:bottom w:val="single" w:color="auto" w:sz="4" w:space="0"/>
              <w:right w:val="single" w:color="auto" w:sz="4" w:space="0"/>
            </w:tcBorders>
            <w:vAlign w:val="center"/>
          </w:tcPr>
          <w:p w14:paraId="4C2EA25C">
            <w:pPr>
              <w:widowControl/>
              <w:spacing w:line="240" w:lineRule="auto"/>
              <w:ind w:firstLine="0" w:firstLineChars="0"/>
              <w:textAlignment w:val="center"/>
              <w:rPr>
                <w:rFonts w:hint="eastAsia"/>
                <w:color w:val="000000"/>
                <w:sz w:val="21"/>
                <w:szCs w:val="21"/>
              </w:rPr>
            </w:pPr>
            <w:r>
              <w:rPr>
                <w:rFonts w:ascii="Songti SC" w:hAnsi="Songti SC" w:eastAsia="Songti SC" w:cs="Songti SC"/>
                <w:color w:val="000000"/>
              </w:rPr>
              <w:t>11</w:t>
            </w:r>
          </w:p>
        </w:tc>
        <w:tc>
          <w:tcPr>
            <w:tcW w:w="793" w:type="pct"/>
            <w:tcBorders>
              <w:top w:val="nil"/>
              <w:left w:val="nil"/>
              <w:bottom w:val="single" w:color="auto" w:sz="4" w:space="0"/>
              <w:right w:val="single" w:color="auto" w:sz="4" w:space="0"/>
            </w:tcBorders>
            <w:vAlign w:val="center"/>
          </w:tcPr>
          <w:p w14:paraId="34177F49">
            <w:pPr>
              <w:widowControl/>
              <w:spacing w:line="240" w:lineRule="auto"/>
              <w:ind w:firstLine="0" w:firstLineChars="0"/>
              <w:jc w:val="left"/>
              <w:textAlignment w:val="center"/>
              <w:rPr>
                <w:rFonts w:hint="eastAsia"/>
                <w:color w:val="000000"/>
                <w:sz w:val="21"/>
                <w:szCs w:val="21"/>
              </w:rPr>
            </w:pPr>
            <w:r>
              <w:rPr>
                <w:rFonts w:ascii="Songti SC" w:hAnsi="Songti SC" w:eastAsia="Songti SC" w:cs="Songti SC"/>
                <w:color w:val="000000"/>
              </w:rPr>
              <w:t>壁挂式收银机接入适配</w:t>
            </w:r>
          </w:p>
        </w:tc>
        <w:tc>
          <w:tcPr>
            <w:tcW w:w="1280" w:type="pct"/>
            <w:tcBorders>
              <w:top w:val="nil"/>
              <w:left w:val="nil"/>
              <w:bottom w:val="single" w:color="auto" w:sz="4" w:space="0"/>
              <w:right w:val="single" w:color="auto" w:sz="4" w:space="0"/>
            </w:tcBorders>
            <w:vAlign w:val="center"/>
          </w:tcPr>
          <w:p w14:paraId="047AE186">
            <w:pPr>
              <w:widowControl/>
              <w:spacing w:line="240" w:lineRule="auto"/>
              <w:ind w:firstLine="0" w:firstLineChars="0"/>
              <w:jc w:val="left"/>
              <w:textAlignment w:val="center"/>
              <w:rPr>
                <w:rFonts w:hint="eastAsia"/>
                <w:color w:val="000000"/>
                <w:sz w:val="21"/>
                <w:szCs w:val="21"/>
              </w:rPr>
            </w:pPr>
            <w:r>
              <w:rPr>
                <w:rFonts w:ascii="Songti SC" w:hAnsi="Songti SC" w:eastAsia="Songti SC" w:cs="Songti SC"/>
                <w:color w:val="000000"/>
              </w:rPr>
              <w:t>完成壁挂式收银机在升级后平台下的设备接入、参数配置、刷卡/扫码消费、订单同步、离线补传和状态回传等适配联调。</w:t>
            </w:r>
          </w:p>
        </w:tc>
        <w:tc>
          <w:tcPr>
            <w:tcW w:w="426" w:type="pct"/>
            <w:tcBorders>
              <w:top w:val="nil"/>
              <w:left w:val="nil"/>
              <w:bottom w:val="single" w:color="auto" w:sz="4" w:space="0"/>
              <w:right w:val="single" w:color="auto" w:sz="4" w:space="0"/>
            </w:tcBorders>
            <w:vAlign w:val="center"/>
          </w:tcPr>
          <w:p w14:paraId="792A8886">
            <w:pPr>
              <w:pStyle w:val="129"/>
              <w:rPr>
                <w:rFonts w:hint="eastAsia"/>
                <w:color w:val="000000"/>
                <w:sz w:val="21"/>
              </w:rPr>
            </w:pPr>
            <w:r>
              <w:rPr>
                <w:rFonts w:ascii="Songti SC" w:hAnsi="Songti SC" w:eastAsia="Songti SC" w:cs="Songti SC"/>
                <w:color w:val="000000"/>
              </w:rPr>
              <w:t>类</w:t>
            </w:r>
          </w:p>
        </w:tc>
        <w:tc>
          <w:tcPr>
            <w:tcW w:w="426" w:type="pct"/>
            <w:tcBorders>
              <w:top w:val="nil"/>
              <w:left w:val="nil"/>
              <w:bottom w:val="single" w:color="auto" w:sz="4" w:space="0"/>
              <w:right w:val="single" w:color="auto" w:sz="4" w:space="0"/>
            </w:tcBorders>
            <w:vAlign w:val="center"/>
          </w:tcPr>
          <w:p w14:paraId="6FC47B61">
            <w:pPr>
              <w:pStyle w:val="129"/>
              <w:rPr>
                <w:rFonts w:hint="eastAsia"/>
                <w:color w:val="000000"/>
                <w:sz w:val="21"/>
              </w:rPr>
            </w:pPr>
            <w:r>
              <w:rPr>
                <w:rFonts w:ascii="Songti SC" w:hAnsi="Songti SC" w:eastAsia="Songti SC" w:cs="Songti SC"/>
                <w:color w:val="000000"/>
              </w:rPr>
              <w:t>1</w:t>
            </w:r>
          </w:p>
        </w:tc>
        <w:tc>
          <w:tcPr>
            <w:tcW w:w="516" w:type="pct"/>
            <w:tcBorders>
              <w:top w:val="nil"/>
              <w:left w:val="nil"/>
              <w:bottom w:val="single" w:color="auto" w:sz="4" w:space="0"/>
              <w:right w:val="single" w:color="auto" w:sz="4" w:space="0"/>
            </w:tcBorders>
            <w:vAlign w:val="center"/>
          </w:tcPr>
          <w:p w14:paraId="5FBE3E6F">
            <w:pPr>
              <w:pStyle w:val="129"/>
              <w:rPr>
                <w:rFonts w:hint="eastAsia"/>
                <w:color w:val="000000"/>
                <w:sz w:val="21"/>
              </w:rPr>
            </w:pPr>
            <w:r>
              <w:rPr>
                <w:rFonts w:ascii="Songti SC" w:hAnsi="Songti SC" w:eastAsia="Songti SC" w:cs="Songti SC"/>
                <w:color w:val="000000"/>
              </w:rPr>
              <w:t>1.20</w:t>
            </w:r>
          </w:p>
        </w:tc>
        <w:tc>
          <w:tcPr>
            <w:tcW w:w="597" w:type="pct"/>
            <w:tcBorders>
              <w:top w:val="nil"/>
              <w:left w:val="nil"/>
              <w:bottom w:val="single" w:color="auto" w:sz="4" w:space="0"/>
              <w:right w:val="single" w:color="auto" w:sz="4" w:space="0"/>
            </w:tcBorders>
            <w:vAlign w:val="center"/>
          </w:tcPr>
          <w:p w14:paraId="206E0E74">
            <w:pPr>
              <w:pStyle w:val="129"/>
              <w:rPr>
                <w:rFonts w:hint="eastAsia"/>
                <w:color w:val="000000"/>
                <w:sz w:val="21"/>
              </w:rPr>
            </w:pPr>
            <w:r>
              <w:rPr>
                <w:rFonts w:ascii="Songti SC" w:hAnsi="Songti SC" w:eastAsia="Songti SC" w:cs="Songti SC"/>
                <w:color w:val="000000"/>
              </w:rPr>
              <w:t>1.20</w:t>
            </w:r>
          </w:p>
        </w:tc>
        <w:tc>
          <w:tcPr>
            <w:tcW w:w="561" w:type="pct"/>
            <w:tcBorders>
              <w:top w:val="nil"/>
              <w:left w:val="nil"/>
              <w:bottom w:val="single" w:color="auto" w:sz="4" w:space="0"/>
              <w:right w:val="single" w:color="auto" w:sz="4" w:space="0"/>
            </w:tcBorders>
            <w:vAlign w:val="center"/>
          </w:tcPr>
          <w:p w14:paraId="392D41B9">
            <w:pPr>
              <w:pStyle w:val="129"/>
              <w:jc w:val="left"/>
              <w:rPr>
                <w:rFonts w:hint="eastAsia"/>
                <w:color w:val="000000"/>
                <w:sz w:val="21"/>
              </w:rPr>
            </w:pPr>
            <w:r>
              <w:rPr>
                <w:rFonts w:ascii="Songti SC" w:hAnsi="Songti SC" w:eastAsia="Songti SC" w:cs="Songti SC"/>
                <w:color w:val="000000"/>
              </w:rPr>
              <w:t>参考CPT-GMPOS180；5台更新；供货费用待核。</w:t>
            </w:r>
          </w:p>
        </w:tc>
      </w:tr>
      <w:tr w14:paraId="348CB974">
        <w:trPr>
          <w:trHeight w:val="1200" w:hRule="atLeast"/>
        </w:trPr>
        <w:tc>
          <w:tcPr>
            <w:tcW w:w="401" w:type="pct"/>
            <w:tcBorders>
              <w:top w:val="nil"/>
              <w:left w:val="single" w:color="auto" w:sz="4" w:space="0"/>
              <w:bottom w:val="single" w:color="auto" w:sz="4" w:space="0"/>
              <w:right w:val="single" w:color="auto" w:sz="4" w:space="0"/>
            </w:tcBorders>
            <w:vAlign w:val="center"/>
          </w:tcPr>
          <w:p w14:paraId="478577AD">
            <w:pPr>
              <w:widowControl/>
              <w:spacing w:line="240" w:lineRule="auto"/>
              <w:ind w:firstLine="0" w:firstLineChars="0"/>
              <w:textAlignment w:val="center"/>
              <w:rPr>
                <w:rFonts w:hint="eastAsia"/>
                <w:color w:val="000000"/>
                <w:sz w:val="21"/>
                <w:szCs w:val="21"/>
              </w:rPr>
            </w:pPr>
            <w:r>
              <w:rPr>
                <w:rFonts w:ascii="Songti SC" w:hAnsi="Songti SC" w:eastAsia="Songti SC" w:cs="Songti SC"/>
                <w:color w:val="000000"/>
              </w:rPr>
              <w:t>12</w:t>
            </w:r>
          </w:p>
        </w:tc>
        <w:tc>
          <w:tcPr>
            <w:tcW w:w="793" w:type="pct"/>
            <w:tcBorders>
              <w:top w:val="nil"/>
              <w:left w:val="nil"/>
              <w:bottom w:val="single" w:color="auto" w:sz="4" w:space="0"/>
              <w:right w:val="single" w:color="auto" w:sz="4" w:space="0"/>
            </w:tcBorders>
            <w:vAlign w:val="center"/>
          </w:tcPr>
          <w:p w14:paraId="664CF180">
            <w:pPr>
              <w:widowControl/>
              <w:spacing w:line="240" w:lineRule="auto"/>
              <w:ind w:firstLine="0" w:firstLineChars="0"/>
              <w:jc w:val="left"/>
              <w:textAlignment w:val="center"/>
              <w:rPr>
                <w:rFonts w:hint="eastAsia"/>
                <w:color w:val="000000"/>
                <w:sz w:val="21"/>
                <w:szCs w:val="21"/>
              </w:rPr>
            </w:pPr>
            <w:r>
              <w:rPr>
                <w:rFonts w:ascii="Songti SC" w:hAnsi="Songti SC" w:eastAsia="Songti SC" w:cs="Songti SC"/>
                <w:color w:val="000000"/>
              </w:rPr>
              <w:t>智能称重收银机接入适配</w:t>
            </w:r>
          </w:p>
        </w:tc>
        <w:tc>
          <w:tcPr>
            <w:tcW w:w="1280" w:type="pct"/>
            <w:tcBorders>
              <w:top w:val="nil"/>
              <w:left w:val="nil"/>
              <w:bottom w:val="single" w:color="auto" w:sz="4" w:space="0"/>
              <w:right w:val="single" w:color="auto" w:sz="4" w:space="0"/>
            </w:tcBorders>
            <w:vAlign w:val="center"/>
          </w:tcPr>
          <w:p w14:paraId="30D9AA8C">
            <w:pPr>
              <w:widowControl/>
              <w:spacing w:line="240" w:lineRule="auto"/>
              <w:ind w:firstLine="0" w:firstLineChars="0"/>
              <w:jc w:val="left"/>
              <w:textAlignment w:val="center"/>
              <w:rPr>
                <w:rFonts w:hint="eastAsia"/>
                <w:color w:val="000000"/>
                <w:sz w:val="21"/>
                <w:szCs w:val="21"/>
              </w:rPr>
            </w:pPr>
            <w:r>
              <w:rPr>
                <w:rFonts w:ascii="Songti SC" w:hAnsi="Songti SC" w:eastAsia="Songti SC" w:cs="Songti SC"/>
                <w:color w:val="000000"/>
              </w:rPr>
              <w:t>完成智能称重收银机在升级后平台下的称重计价、菜品配置、支付结算、订单同步、离线补传和状态回传等适配联调。</w:t>
            </w:r>
          </w:p>
        </w:tc>
        <w:tc>
          <w:tcPr>
            <w:tcW w:w="426" w:type="pct"/>
            <w:tcBorders>
              <w:top w:val="nil"/>
              <w:left w:val="nil"/>
              <w:bottom w:val="single" w:color="auto" w:sz="4" w:space="0"/>
              <w:right w:val="single" w:color="auto" w:sz="4" w:space="0"/>
            </w:tcBorders>
            <w:vAlign w:val="center"/>
          </w:tcPr>
          <w:p w14:paraId="297077AE">
            <w:pPr>
              <w:pStyle w:val="129"/>
              <w:rPr>
                <w:rFonts w:hint="eastAsia"/>
                <w:color w:val="000000"/>
                <w:sz w:val="21"/>
              </w:rPr>
            </w:pPr>
            <w:r>
              <w:rPr>
                <w:rFonts w:ascii="Songti SC" w:hAnsi="Songti SC" w:eastAsia="Songti SC" w:cs="Songti SC"/>
                <w:color w:val="000000"/>
              </w:rPr>
              <w:t>类</w:t>
            </w:r>
          </w:p>
        </w:tc>
        <w:tc>
          <w:tcPr>
            <w:tcW w:w="426" w:type="pct"/>
            <w:tcBorders>
              <w:top w:val="nil"/>
              <w:left w:val="nil"/>
              <w:bottom w:val="single" w:color="auto" w:sz="4" w:space="0"/>
              <w:right w:val="single" w:color="auto" w:sz="4" w:space="0"/>
            </w:tcBorders>
            <w:vAlign w:val="center"/>
          </w:tcPr>
          <w:p w14:paraId="5AAC183D">
            <w:pPr>
              <w:pStyle w:val="129"/>
              <w:rPr>
                <w:rFonts w:hint="eastAsia"/>
                <w:color w:val="000000"/>
                <w:sz w:val="21"/>
              </w:rPr>
            </w:pPr>
            <w:r>
              <w:rPr>
                <w:rFonts w:ascii="Songti SC" w:hAnsi="Songti SC" w:eastAsia="Songti SC" w:cs="Songti SC"/>
                <w:color w:val="000000"/>
              </w:rPr>
              <w:t>1</w:t>
            </w:r>
          </w:p>
        </w:tc>
        <w:tc>
          <w:tcPr>
            <w:tcW w:w="516" w:type="pct"/>
            <w:tcBorders>
              <w:top w:val="nil"/>
              <w:left w:val="nil"/>
              <w:bottom w:val="single" w:color="auto" w:sz="4" w:space="0"/>
              <w:right w:val="single" w:color="auto" w:sz="4" w:space="0"/>
            </w:tcBorders>
            <w:vAlign w:val="center"/>
          </w:tcPr>
          <w:p w14:paraId="172AC7AF">
            <w:pPr>
              <w:pStyle w:val="129"/>
              <w:rPr>
                <w:rFonts w:hint="eastAsia"/>
                <w:color w:val="000000"/>
                <w:sz w:val="21"/>
              </w:rPr>
            </w:pPr>
            <w:r>
              <w:rPr>
                <w:rFonts w:ascii="Songti SC" w:hAnsi="Songti SC" w:eastAsia="Songti SC" w:cs="Songti SC"/>
                <w:color w:val="000000"/>
              </w:rPr>
              <w:t>3.96</w:t>
            </w:r>
          </w:p>
        </w:tc>
        <w:tc>
          <w:tcPr>
            <w:tcW w:w="597" w:type="pct"/>
            <w:tcBorders>
              <w:top w:val="nil"/>
              <w:left w:val="nil"/>
              <w:bottom w:val="single" w:color="auto" w:sz="4" w:space="0"/>
              <w:right w:val="single" w:color="auto" w:sz="4" w:space="0"/>
            </w:tcBorders>
            <w:vAlign w:val="center"/>
          </w:tcPr>
          <w:p w14:paraId="5F3B5126">
            <w:pPr>
              <w:pStyle w:val="129"/>
              <w:rPr>
                <w:rFonts w:hint="eastAsia"/>
                <w:color w:val="000000"/>
                <w:sz w:val="21"/>
              </w:rPr>
            </w:pPr>
            <w:r>
              <w:rPr>
                <w:rFonts w:ascii="Songti SC" w:hAnsi="Songti SC" w:eastAsia="Songti SC" w:cs="Songti SC"/>
                <w:color w:val="000000"/>
              </w:rPr>
              <w:t>3.96</w:t>
            </w:r>
          </w:p>
        </w:tc>
        <w:tc>
          <w:tcPr>
            <w:tcW w:w="561" w:type="pct"/>
            <w:tcBorders>
              <w:top w:val="nil"/>
              <w:left w:val="nil"/>
              <w:bottom w:val="single" w:color="auto" w:sz="4" w:space="0"/>
              <w:right w:val="single" w:color="auto" w:sz="4" w:space="0"/>
            </w:tcBorders>
            <w:vAlign w:val="center"/>
          </w:tcPr>
          <w:p w14:paraId="01A51113">
            <w:pPr>
              <w:pStyle w:val="129"/>
              <w:jc w:val="left"/>
              <w:rPr>
                <w:rFonts w:hint="eastAsia"/>
                <w:color w:val="000000"/>
                <w:sz w:val="21"/>
              </w:rPr>
            </w:pPr>
            <w:r>
              <w:rPr>
                <w:rFonts w:ascii="Songti SC" w:hAnsi="Songti SC" w:eastAsia="Songti SC" w:cs="Songti SC"/>
                <w:color w:val="000000"/>
              </w:rPr>
              <w:t>参考CPT-CZSY280；9台更新；供货费用待核。</w:t>
            </w:r>
          </w:p>
        </w:tc>
      </w:tr>
      <w:tr w14:paraId="25399550">
        <w:trPr>
          <w:trHeight w:val="1200" w:hRule="atLeast"/>
        </w:trPr>
        <w:tc>
          <w:tcPr>
            <w:tcW w:w="401" w:type="pct"/>
            <w:tcBorders>
              <w:top w:val="nil"/>
              <w:left w:val="single" w:color="auto" w:sz="4" w:space="0"/>
              <w:bottom w:val="single" w:color="auto" w:sz="4" w:space="0"/>
              <w:right w:val="single" w:color="auto" w:sz="4" w:space="0"/>
            </w:tcBorders>
            <w:vAlign w:val="center"/>
          </w:tcPr>
          <w:p w14:paraId="15B36FC9">
            <w:pPr>
              <w:widowControl/>
              <w:spacing w:line="240" w:lineRule="auto"/>
              <w:ind w:firstLine="0" w:firstLineChars="0"/>
              <w:textAlignment w:val="center"/>
              <w:rPr>
                <w:rFonts w:hint="eastAsia"/>
                <w:color w:val="000000"/>
                <w:sz w:val="21"/>
                <w:szCs w:val="21"/>
              </w:rPr>
            </w:pPr>
            <w:r>
              <w:rPr>
                <w:rFonts w:ascii="Songti SC" w:hAnsi="Songti SC" w:eastAsia="Songti SC" w:cs="Songti SC"/>
                <w:color w:val="000000"/>
              </w:rPr>
              <w:t>13</w:t>
            </w:r>
          </w:p>
        </w:tc>
        <w:tc>
          <w:tcPr>
            <w:tcW w:w="793" w:type="pct"/>
            <w:tcBorders>
              <w:top w:val="nil"/>
              <w:left w:val="nil"/>
              <w:bottom w:val="single" w:color="auto" w:sz="4" w:space="0"/>
              <w:right w:val="single" w:color="auto" w:sz="4" w:space="0"/>
            </w:tcBorders>
            <w:vAlign w:val="center"/>
          </w:tcPr>
          <w:p w14:paraId="1FD42C6E">
            <w:pPr>
              <w:widowControl/>
              <w:spacing w:line="240" w:lineRule="auto"/>
              <w:ind w:firstLine="0" w:firstLineChars="0"/>
              <w:jc w:val="left"/>
              <w:textAlignment w:val="center"/>
              <w:rPr>
                <w:rFonts w:hint="eastAsia"/>
                <w:color w:val="000000"/>
                <w:sz w:val="21"/>
                <w:szCs w:val="21"/>
              </w:rPr>
            </w:pPr>
            <w:r>
              <w:rPr>
                <w:rFonts w:ascii="Songti SC" w:hAnsi="Songti SC" w:eastAsia="Songti SC" w:cs="Songti SC"/>
                <w:color w:val="000000"/>
              </w:rPr>
              <w:t>消费终端接入及软件适配</w:t>
            </w:r>
          </w:p>
        </w:tc>
        <w:tc>
          <w:tcPr>
            <w:tcW w:w="1280" w:type="pct"/>
            <w:tcBorders>
              <w:top w:val="nil"/>
              <w:left w:val="nil"/>
              <w:bottom w:val="single" w:color="auto" w:sz="4" w:space="0"/>
              <w:right w:val="single" w:color="auto" w:sz="4" w:space="0"/>
            </w:tcBorders>
            <w:vAlign w:val="center"/>
          </w:tcPr>
          <w:p w14:paraId="29B92ED9">
            <w:pPr>
              <w:widowControl/>
              <w:spacing w:line="240" w:lineRule="auto"/>
              <w:ind w:firstLine="0" w:firstLineChars="0"/>
              <w:jc w:val="left"/>
              <w:textAlignment w:val="center"/>
              <w:rPr>
                <w:rFonts w:hint="eastAsia"/>
                <w:color w:val="000000"/>
                <w:sz w:val="21"/>
                <w:szCs w:val="21"/>
              </w:rPr>
            </w:pPr>
            <w:r>
              <w:rPr>
                <w:rFonts w:ascii="Songti SC" w:hAnsi="Songti SC" w:eastAsia="Songti SC" w:cs="Songti SC"/>
                <w:color w:val="000000"/>
              </w:rPr>
              <w:t>建设55台更新终端共用的人员与权限同步、任务编号、设备状态和异常回执管理，形成平台公共接入服务；三类设备本机交易、称重和专属协议适配归第10—12项，本项不重复计列。</w:t>
            </w:r>
          </w:p>
        </w:tc>
        <w:tc>
          <w:tcPr>
            <w:tcW w:w="426" w:type="pct"/>
            <w:tcBorders>
              <w:top w:val="nil"/>
              <w:left w:val="nil"/>
              <w:bottom w:val="single" w:color="auto" w:sz="4" w:space="0"/>
              <w:right w:val="single" w:color="auto" w:sz="4" w:space="0"/>
            </w:tcBorders>
            <w:vAlign w:val="center"/>
          </w:tcPr>
          <w:p w14:paraId="4047037A">
            <w:pPr>
              <w:pStyle w:val="129"/>
              <w:rPr>
                <w:rFonts w:hint="eastAsia"/>
                <w:color w:val="000000"/>
                <w:sz w:val="21"/>
              </w:rPr>
            </w:pPr>
            <w:r>
              <w:rPr>
                <w:rFonts w:ascii="Songti SC" w:hAnsi="Songti SC" w:eastAsia="Songti SC" w:cs="Songti SC"/>
                <w:color w:val="000000"/>
              </w:rPr>
              <w:t>项</w:t>
            </w:r>
          </w:p>
        </w:tc>
        <w:tc>
          <w:tcPr>
            <w:tcW w:w="426" w:type="pct"/>
            <w:tcBorders>
              <w:top w:val="nil"/>
              <w:left w:val="nil"/>
              <w:bottom w:val="single" w:color="auto" w:sz="4" w:space="0"/>
              <w:right w:val="single" w:color="auto" w:sz="4" w:space="0"/>
            </w:tcBorders>
            <w:vAlign w:val="center"/>
          </w:tcPr>
          <w:p w14:paraId="7F5D29D5">
            <w:pPr>
              <w:pStyle w:val="129"/>
              <w:rPr>
                <w:rFonts w:hint="eastAsia"/>
                <w:color w:val="000000"/>
                <w:sz w:val="21"/>
              </w:rPr>
            </w:pPr>
            <w:r>
              <w:rPr>
                <w:rFonts w:ascii="Songti SC" w:hAnsi="Songti SC" w:eastAsia="Songti SC" w:cs="Songti SC"/>
                <w:color w:val="000000"/>
              </w:rPr>
              <w:t>1</w:t>
            </w:r>
          </w:p>
        </w:tc>
        <w:tc>
          <w:tcPr>
            <w:tcW w:w="516" w:type="pct"/>
            <w:tcBorders>
              <w:top w:val="nil"/>
              <w:left w:val="nil"/>
              <w:bottom w:val="single" w:color="auto" w:sz="4" w:space="0"/>
              <w:right w:val="single" w:color="auto" w:sz="4" w:space="0"/>
            </w:tcBorders>
            <w:vAlign w:val="center"/>
          </w:tcPr>
          <w:p w14:paraId="341AD60D">
            <w:pPr>
              <w:pStyle w:val="129"/>
              <w:rPr>
                <w:rFonts w:hint="eastAsia"/>
                <w:color w:val="000000"/>
                <w:sz w:val="21"/>
              </w:rPr>
            </w:pPr>
            <w:r>
              <w:rPr>
                <w:rFonts w:ascii="Songti SC" w:hAnsi="Songti SC" w:eastAsia="Songti SC" w:cs="Songti SC"/>
                <w:color w:val="000000"/>
              </w:rPr>
              <w:t>1.85</w:t>
            </w:r>
          </w:p>
        </w:tc>
        <w:tc>
          <w:tcPr>
            <w:tcW w:w="597" w:type="pct"/>
            <w:tcBorders>
              <w:top w:val="nil"/>
              <w:left w:val="nil"/>
              <w:bottom w:val="single" w:color="auto" w:sz="4" w:space="0"/>
              <w:right w:val="single" w:color="auto" w:sz="4" w:space="0"/>
            </w:tcBorders>
            <w:vAlign w:val="center"/>
          </w:tcPr>
          <w:p w14:paraId="04928C5D">
            <w:pPr>
              <w:pStyle w:val="129"/>
              <w:rPr>
                <w:rFonts w:hint="eastAsia"/>
                <w:color w:val="000000"/>
                <w:sz w:val="21"/>
              </w:rPr>
            </w:pPr>
            <w:r>
              <w:rPr>
                <w:rFonts w:ascii="Songti SC" w:hAnsi="Songti SC" w:eastAsia="Songti SC" w:cs="Songti SC"/>
                <w:color w:val="000000"/>
              </w:rPr>
              <w:t>1.85</w:t>
            </w:r>
          </w:p>
        </w:tc>
        <w:tc>
          <w:tcPr>
            <w:tcW w:w="561" w:type="pct"/>
            <w:tcBorders>
              <w:top w:val="nil"/>
              <w:left w:val="nil"/>
              <w:bottom w:val="single" w:color="auto" w:sz="4" w:space="0"/>
              <w:right w:val="single" w:color="auto" w:sz="4" w:space="0"/>
            </w:tcBorders>
            <w:vAlign w:val="center"/>
          </w:tcPr>
          <w:p w14:paraId="051F84E2">
            <w:pPr>
              <w:pStyle w:val="129"/>
              <w:jc w:val="left"/>
              <w:rPr>
                <w:rFonts w:hint="eastAsia"/>
                <w:color w:val="000000"/>
                <w:sz w:val="21"/>
              </w:rPr>
            </w:pPr>
          </w:p>
        </w:tc>
      </w:tr>
      <w:tr w14:paraId="4D2E29C7">
        <w:trPr>
          <w:trHeight w:val="1200" w:hRule="atLeast"/>
        </w:trPr>
        <w:tc>
          <w:tcPr>
            <w:tcW w:w="401" w:type="pct"/>
            <w:tcBorders>
              <w:top w:val="nil"/>
              <w:left w:val="single" w:color="auto" w:sz="4" w:space="0"/>
              <w:bottom w:val="single" w:color="auto" w:sz="4" w:space="0"/>
              <w:right w:val="single" w:color="auto" w:sz="4" w:space="0"/>
            </w:tcBorders>
            <w:vAlign w:val="center"/>
          </w:tcPr>
          <w:p w14:paraId="2D21F548">
            <w:pPr>
              <w:widowControl/>
              <w:spacing w:line="240" w:lineRule="auto"/>
              <w:ind w:firstLine="0" w:firstLineChars="0"/>
              <w:textAlignment w:val="center"/>
              <w:rPr>
                <w:rFonts w:hint="eastAsia"/>
                <w:color w:val="000000"/>
                <w:sz w:val="21"/>
                <w:szCs w:val="21"/>
              </w:rPr>
            </w:pPr>
            <w:r>
              <w:rPr>
                <w:rFonts w:ascii="Songti SC" w:hAnsi="Songti SC" w:eastAsia="Songti SC" w:cs="Songti SC"/>
                <w:color w:val="000000"/>
              </w:rPr>
              <w:t>14</w:t>
            </w:r>
          </w:p>
        </w:tc>
        <w:tc>
          <w:tcPr>
            <w:tcW w:w="793" w:type="pct"/>
            <w:tcBorders>
              <w:top w:val="nil"/>
              <w:left w:val="nil"/>
              <w:bottom w:val="single" w:color="auto" w:sz="4" w:space="0"/>
              <w:right w:val="single" w:color="auto" w:sz="4" w:space="0"/>
            </w:tcBorders>
            <w:vAlign w:val="center"/>
          </w:tcPr>
          <w:p w14:paraId="0ACB8F1F">
            <w:pPr>
              <w:widowControl/>
              <w:spacing w:line="240" w:lineRule="auto"/>
              <w:ind w:firstLine="0" w:firstLineChars="0"/>
              <w:jc w:val="left"/>
              <w:textAlignment w:val="center"/>
              <w:rPr>
                <w:rFonts w:hint="eastAsia"/>
                <w:color w:val="000000"/>
                <w:sz w:val="21"/>
                <w:szCs w:val="21"/>
              </w:rPr>
            </w:pPr>
            <w:r>
              <w:rPr>
                <w:rFonts w:ascii="Songti SC" w:hAnsi="Songti SC" w:eastAsia="Songti SC" w:cs="Songti SC"/>
                <w:color w:val="000000"/>
              </w:rPr>
              <w:t>小程序端线上充值及工商银行接口适配</w:t>
            </w:r>
          </w:p>
        </w:tc>
        <w:tc>
          <w:tcPr>
            <w:tcW w:w="1280" w:type="pct"/>
            <w:tcBorders>
              <w:top w:val="nil"/>
              <w:left w:val="nil"/>
              <w:bottom w:val="single" w:color="auto" w:sz="4" w:space="0"/>
              <w:right w:val="single" w:color="auto" w:sz="4" w:space="0"/>
            </w:tcBorders>
            <w:vAlign w:val="center"/>
          </w:tcPr>
          <w:p w14:paraId="3E3E4212">
            <w:pPr>
              <w:widowControl/>
              <w:spacing w:line="240" w:lineRule="auto"/>
              <w:ind w:firstLine="0" w:firstLineChars="0"/>
              <w:jc w:val="left"/>
              <w:textAlignment w:val="center"/>
              <w:rPr>
                <w:rFonts w:hint="eastAsia"/>
                <w:color w:val="000000"/>
                <w:sz w:val="21"/>
                <w:szCs w:val="21"/>
              </w:rPr>
            </w:pPr>
            <w:r>
              <w:rPr>
                <w:rFonts w:ascii="Songti SC" w:hAnsi="Songti SC" w:eastAsia="Songti SC" w:cs="Songti SC"/>
                <w:color w:val="000000"/>
              </w:rPr>
              <w:t>完成小程序端线上充值及工商银行接口的配置、开发、联调和业务验证，支撑充值发起、结果接收、余额更新、查询对账和异常补偿；区大数据平台共享接口及其前置库工作归入第1项，不在本项重复计列。</w:t>
            </w:r>
          </w:p>
        </w:tc>
        <w:tc>
          <w:tcPr>
            <w:tcW w:w="426" w:type="pct"/>
            <w:tcBorders>
              <w:top w:val="nil"/>
              <w:left w:val="nil"/>
              <w:bottom w:val="single" w:color="auto" w:sz="4" w:space="0"/>
              <w:right w:val="single" w:color="auto" w:sz="4" w:space="0"/>
            </w:tcBorders>
            <w:vAlign w:val="center"/>
          </w:tcPr>
          <w:p w14:paraId="75799403">
            <w:pPr>
              <w:pStyle w:val="129"/>
              <w:rPr>
                <w:rFonts w:hint="eastAsia"/>
                <w:color w:val="000000"/>
                <w:sz w:val="21"/>
              </w:rPr>
            </w:pPr>
            <w:r>
              <w:rPr>
                <w:rFonts w:ascii="Songti SC" w:hAnsi="Songti SC" w:eastAsia="Songti SC" w:cs="Songti SC"/>
                <w:color w:val="000000"/>
              </w:rPr>
              <w:t>项</w:t>
            </w:r>
          </w:p>
        </w:tc>
        <w:tc>
          <w:tcPr>
            <w:tcW w:w="426" w:type="pct"/>
            <w:tcBorders>
              <w:top w:val="nil"/>
              <w:left w:val="nil"/>
              <w:bottom w:val="single" w:color="auto" w:sz="4" w:space="0"/>
              <w:right w:val="single" w:color="auto" w:sz="4" w:space="0"/>
            </w:tcBorders>
            <w:vAlign w:val="center"/>
          </w:tcPr>
          <w:p w14:paraId="5430315F">
            <w:pPr>
              <w:pStyle w:val="129"/>
              <w:rPr>
                <w:rFonts w:hint="eastAsia"/>
                <w:color w:val="000000"/>
                <w:sz w:val="21"/>
              </w:rPr>
            </w:pPr>
            <w:r>
              <w:rPr>
                <w:rFonts w:ascii="Songti SC" w:hAnsi="Songti SC" w:eastAsia="Songti SC" w:cs="Songti SC"/>
                <w:color w:val="000000"/>
              </w:rPr>
              <w:t>1</w:t>
            </w:r>
          </w:p>
        </w:tc>
        <w:tc>
          <w:tcPr>
            <w:tcW w:w="516" w:type="pct"/>
            <w:tcBorders>
              <w:top w:val="nil"/>
              <w:left w:val="nil"/>
              <w:bottom w:val="single" w:color="auto" w:sz="4" w:space="0"/>
              <w:right w:val="single" w:color="auto" w:sz="4" w:space="0"/>
            </w:tcBorders>
            <w:vAlign w:val="center"/>
          </w:tcPr>
          <w:p w14:paraId="57E2F422">
            <w:pPr>
              <w:pStyle w:val="129"/>
              <w:rPr>
                <w:rFonts w:hint="eastAsia"/>
                <w:color w:val="000000"/>
                <w:sz w:val="21"/>
              </w:rPr>
            </w:pPr>
            <w:r>
              <w:rPr>
                <w:rFonts w:ascii="Songti SC" w:hAnsi="Songti SC" w:eastAsia="Songti SC" w:cs="Songti SC"/>
                <w:color w:val="000000"/>
              </w:rPr>
              <w:t>8.00</w:t>
            </w:r>
          </w:p>
        </w:tc>
        <w:tc>
          <w:tcPr>
            <w:tcW w:w="597" w:type="pct"/>
            <w:tcBorders>
              <w:top w:val="nil"/>
              <w:left w:val="nil"/>
              <w:bottom w:val="single" w:color="auto" w:sz="4" w:space="0"/>
              <w:right w:val="single" w:color="auto" w:sz="4" w:space="0"/>
            </w:tcBorders>
            <w:vAlign w:val="center"/>
          </w:tcPr>
          <w:p w14:paraId="38BCA866">
            <w:pPr>
              <w:pStyle w:val="129"/>
              <w:rPr>
                <w:rFonts w:hint="eastAsia"/>
                <w:color w:val="000000"/>
                <w:sz w:val="21"/>
              </w:rPr>
            </w:pPr>
            <w:r>
              <w:rPr>
                <w:rFonts w:ascii="Songti SC" w:hAnsi="Songti SC" w:eastAsia="Songti SC" w:cs="Songti SC"/>
                <w:color w:val="000000"/>
              </w:rPr>
              <w:t>8.00</w:t>
            </w:r>
          </w:p>
        </w:tc>
        <w:tc>
          <w:tcPr>
            <w:tcW w:w="561" w:type="pct"/>
            <w:tcBorders>
              <w:top w:val="nil"/>
              <w:left w:val="nil"/>
              <w:bottom w:val="single" w:color="auto" w:sz="4" w:space="0"/>
              <w:right w:val="single" w:color="auto" w:sz="4" w:space="0"/>
            </w:tcBorders>
            <w:vAlign w:val="center"/>
          </w:tcPr>
          <w:p w14:paraId="3895280C">
            <w:pPr>
              <w:pStyle w:val="129"/>
              <w:jc w:val="left"/>
              <w:rPr>
                <w:rFonts w:hint="eastAsia"/>
                <w:color w:val="000000"/>
                <w:sz w:val="21"/>
              </w:rPr>
            </w:pPr>
          </w:p>
        </w:tc>
      </w:tr>
      <w:tr w14:paraId="5872A84E">
        <w:trPr>
          <w:trHeight w:val="519" w:hRule="atLeast"/>
        </w:trPr>
        <w:tc>
          <w:tcPr>
            <w:tcW w:w="3842" w:type="pct"/>
            <w:gridSpan w:val="6"/>
            <w:tcBorders>
              <w:top w:val="single" w:color="auto" w:sz="4" w:space="0"/>
              <w:left w:val="single" w:color="auto" w:sz="4" w:space="0"/>
              <w:bottom w:val="single" w:color="auto" w:sz="4" w:space="0"/>
              <w:right w:val="single" w:color="auto" w:sz="4" w:space="0"/>
            </w:tcBorders>
            <w:noWrap/>
            <w:vAlign w:val="center"/>
          </w:tcPr>
          <w:p w14:paraId="7F0593D3">
            <w:pPr>
              <w:pStyle w:val="129"/>
              <w:jc w:val="left"/>
              <w:rPr>
                <w:rFonts w:hint="eastAsia"/>
                <w:b/>
                <w:bCs w:val="0"/>
                <w:color w:val="000000"/>
                <w:sz w:val="21"/>
              </w:rPr>
            </w:pPr>
            <w:r>
              <w:rPr>
                <w:rFonts w:ascii="Songti SC" w:hAnsi="Songti SC" w:eastAsia="Songti SC" w:cs="Songti SC"/>
                <w:b/>
                <w:color w:val="000000"/>
              </w:rPr>
              <w:t>小计</w:t>
            </w:r>
          </w:p>
        </w:tc>
        <w:tc>
          <w:tcPr>
            <w:tcW w:w="597" w:type="pct"/>
            <w:tcBorders>
              <w:top w:val="nil"/>
              <w:left w:val="nil"/>
              <w:bottom w:val="single" w:color="auto" w:sz="4" w:space="0"/>
              <w:right w:val="single" w:color="auto" w:sz="4" w:space="0"/>
            </w:tcBorders>
            <w:noWrap/>
            <w:vAlign w:val="center"/>
          </w:tcPr>
          <w:p w14:paraId="1405125F">
            <w:pPr>
              <w:pStyle w:val="129"/>
              <w:rPr>
                <w:rFonts w:hint="eastAsia"/>
                <w:b/>
                <w:bCs w:val="0"/>
                <w:color w:val="000000"/>
                <w:sz w:val="21"/>
              </w:rPr>
            </w:pPr>
            <w:r>
              <w:rPr>
                <w:rFonts w:ascii="Songti SC" w:hAnsi="Songti SC" w:eastAsia="Songti SC" w:cs="Songti SC"/>
                <w:b/>
                <w:color w:val="000000"/>
              </w:rPr>
              <w:t>28.13</w:t>
            </w:r>
          </w:p>
        </w:tc>
        <w:tc>
          <w:tcPr>
            <w:tcW w:w="561" w:type="pct"/>
            <w:tcBorders>
              <w:top w:val="nil"/>
              <w:left w:val="nil"/>
              <w:bottom w:val="single" w:color="auto" w:sz="4" w:space="0"/>
              <w:right w:val="single" w:color="auto" w:sz="4" w:space="0"/>
            </w:tcBorders>
            <w:noWrap/>
            <w:vAlign w:val="center"/>
          </w:tcPr>
          <w:p w14:paraId="219E7EC9">
            <w:pPr>
              <w:pStyle w:val="129"/>
              <w:rPr>
                <w:rFonts w:hint="eastAsia"/>
                <w:b/>
                <w:bCs w:val="0"/>
                <w:color w:val="000000"/>
                <w:sz w:val="21"/>
              </w:rPr>
            </w:pPr>
          </w:p>
        </w:tc>
      </w:tr>
      <w:tr w14:paraId="082E5286">
        <w:trPr>
          <w:trHeight w:val="290" w:hRule="atLeast"/>
        </w:trPr>
        <w:tc>
          <w:tcPr>
            <w:tcW w:w="5000" w:type="pct"/>
            <w:gridSpan w:val="8"/>
            <w:tcBorders>
              <w:top w:val="single" w:color="auto" w:sz="4" w:space="0"/>
              <w:left w:val="single" w:color="auto" w:sz="4" w:space="0"/>
              <w:bottom w:val="single" w:color="auto" w:sz="4" w:space="0"/>
              <w:right w:val="single" w:color="000000" w:sz="4" w:space="0"/>
            </w:tcBorders>
            <w:vAlign w:val="center"/>
          </w:tcPr>
          <w:p w14:paraId="41AF9685">
            <w:pPr>
              <w:pStyle w:val="128"/>
              <w:jc w:val="left"/>
              <w:rPr>
                <w:rFonts w:hint="eastAsia"/>
                <w:color w:val="000000"/>
                <w:sz w:val="21"/>
              </w:rPr>
            </w:pPr>
            <w:r>
              <w:rPr>
                <w:rFonts w:ascii="Songti SC" w:hAnsi="Songti SC" w:eastAsia="Songti SC" w:cs="Songti SC"/>
                <w:color w:val="000000"/>
              </w:rPr>
              <w:t>（三）实施调试及接口联调</w:t>
            </w:r>
          </w:p>
        </w:tc>
      </w:tr>
      <w:tr w14:paraId="502C4FB2">
        <w:trPr>
          <w:trHeight w:val="1200" w:hRule="atLeast"/>
        </w:trPr>
        <w:tc>
          <w:tcPr>
            <w:tcW w:w="401" w:type="pct"/>
            <w:tcBorders>
              <w:top w:val="nil"/>
              <w:left w:val="single" w:color="auto" w:sz="4" w:space="0"/>
              <w:bottom w:val="single" w:color="auto" w:sz="4" w:space="0"/>
              <w:right w:val="single" w:color="auto" w:sz="4" w:space="0"/>
            </w:tcBorders>
            <w:vAlign w:val="center"/>
          </w:tcPr>
          <w:p w14:paraId="742088DD">
            <w:pPr>
              <w:widowControl/>
              <w:spacing w:line="240" w:lineRule="auto"/>
              <w:ind w:firstLine="0" w:firstLineChars="0"/>
              <w:textAlignment w:val="center"/>
              <w:rPr>
                <w:rFonts w:hint="eastAsia"/>
                <w:color w:val="000000"/>
                <w:sz w:val="21"/>
                <w:szCs w:val="21"/>
              </w:rPr>
            </w:pPr>
            <w:r>
              <w:rPr>
                <w:rFonts w:ascii="Songti SC" w:hAnsi="Songti SC" w:eastAsia="Songti SC" w:cs="Songti SC"/>
                <w:color w:val="000000"/>
              </w:rPr>
              <w:t>15</w:t>
            </w:r>
          </w:p>
        </w:tc>
        <w:tc>
          <w:tcPr>
            <w:tcW w:w="793" w:type="pct"/>
            <w:tcBorders>
              <w:top w:val="nil"/>
              <w:left w:val="nil"/>
              <w:bottom w:val="single" w:color="auto" w:sz="4" w:space="0"/>
              <w:right w:val="single" w:color="auto" w:sz="4" w:space="0"/>
            </w:tcBorders>
            <w:vAlign w:val="center"/>
          </w:tcPr>
          <w:p w14:paraId="1F2F6A3E">
            <w:pPr>
              <w:widowControl/>
              <w:spacing w:line="240" w:lineRule="auto"/>
              <w:ind w:firstLine="0" w:firstLineChars="0"/>
              <w:jc w:val="left"/>
              <w:textAlignment w:val="center"/>
              <w:rPr>
                <w:rFonts w:hint="eastAsia"/>
                <w:color w:val="000000"/>
                <w:sz w:val="21"/>
                <w:szCs w:val="21"/>
              </w:rPr>
            </w:pPr>
            <w:r>
              <w:rPr>
                <w:rFonts w:ascii="Songti SC" w:hAnsi="Songti SC" w:eastAsia="Songti SC" w:cs="Songti SC"/>
                <w:color w:val="000000"/>
              </w:rPr>
              <w:t>系统适配升级</w:t>
            </w:r>
          </w:p>
        </w:tc>
        <w:tc>
          <w:tcPr>
            <w:tcW w:w="1280" w:type="pct"/>
            <w:tcBorders>
              <w:top w:val="nil"/>
              <w:left w:val="nil"/>
              <w:bottom w:val="single" w:color="auto" w:sz="4" w:space="0"/>
              <w:right w:val="single" w:color="auto" w:sz="4" w:space="0"/>
            </w:tcBorders>
            <w:vAlign w:val="center"/>
          </w:tcPr>
          <w:p w14:paraId="790B8BFC">
            <w:pPr>
              <w:widowControl/>
              <w:spacing w:line="240" w:lineRule="auto"/>
              <w:ind w:firstLine="0" w:firstLineChars="0"/>
              <w:jc w:val="left"/>
              <w:textAlignment w:val="center"/>
              <w:rPr>
                <w:rFonts w:hint="eastAsia"/>
                <w:color w:val="000000"/>
                <w:sz w:val="21"/>
                <w:szCs w:val="21"/>
              </w:rPr>
            </w:pPr>
            <w:r>
              <w:rPr>
                <w:rFonts w:ascii="Songti SC" w:hAnsi="Songti SC" w:eastAsia="Songti SC" w:cs="Songti SC"/>
                <w:color w:val="000000"/>
              </w:rPr>
              <w:t>系统适配升级涉及目标运行环境配置、PHP数据库驱动及SQL适配、接口和终端兼容验证；相关工作按所属业务模块计量，不与各模块已有开发、调试和功能验证重复计费。原金额作为归并核对基数，不新增计费范围。</w:t>
            </w:r>
          </w:p>
        </w:tc>
        <w:tc>
          <w:tcPr>
            <w:tcW w:w="426" w:type="pct"/>
            <w:tcBorders>
              <w:top w:val="nil"/>
              <w:left w:val="nil"/>
              <w:bottom w:val="single" w:color="auto" w:sz="4" w:space="0"/>
              <w:right w:val="single" w:color="auto" w:sz="4" w:space="0"/>
            </w:tcBorders>
            <w:vAlign w:val="center"/>
          </w:tcPr>
          <w:p w14:paraId="4B063CFB">
            <w:pPr>
              <w:pStyle w:val="129"/>
              <w:rPr>
                <w:rFonts w:hint="eastAsia"/>
                <w:color w:val="000000"/>
                <w:sz w:val="21"/>
              </w:rPr>
            </w:pPr>
            <w:r>
              <w:rPr>
                <w:rFonts w:ascii="Songti SC" w:hAnsi="Songti SC" w:eastAsia="Songti SC" w:cs="Songti SC"/>
                <w:color w:val="000000"/>
              </w:rPr>
              <w:t>项</w:t>
            </w:r>
          </w:p>
        </w:tc>
        <w:tc>
          <w:tcPr>
            <w:tcW w:w="426" w:type="pct"/>
            <w:tcBorders>
              <w:top w:val="nil"/>
              <w:left w:val="nil"/>
              <w:bottom w:val="single" w:color="auto" w:sz="4" w:space="0"/>
              <w:right w:val="single" w:color="auto" w:sz="4" w:space="0"/>
            </w:tcBorders>
            <w:vAlign w:val="center"/>
          </w:tcPr>
          <w:p w14:paraId="495E3B88">
            <w:pPr>
              <w:pStyle w:val="129"/>
              <w:rPr>
                <w:rFonts w:hint="eastAsia"/>
                <w:color w:val="000000"/>
                <w:sz w:val="21"/>
              </w:rPr>
            </w:pPr>
            <w:r>
              <w:rPr>
                <w:rFonts w:ascii="Songti SC" w:hAnsi="Songti SC" w:eastAsia="Songti SC" w:cs="Songti SC"/>
                <w:color w:val="000000"/>
              </w:rPr>
              <w:t>1</w:t>
            </w:r>
          </w:p>
        </w:tc>
        <w:tc>
          <w:tcPr>
            <w:tcW w:w="516" w:type="pct"/>
            <w:tcBorders>
              <w:top w:val="nil"/>
              <w:left w:val="nil"/>
              <w:bottom w:val="single" w:color="auto" w:sz="4" w:space="0"/>
              <w:right w:val="single" w:color="auto" w:sz="4" w:space="0"/>
            </w:tcBorders>
            <w:vAlign w:val="center"/>
          </w:tcPr>
          <w:p w14:paraId="3F1E9BC9">
            <w:pPr>
              <w:pStyle w:val="129"/>
              <w:rPr>
                <w:rFonts w:hint="eastAsia"/>
                <w:color w:val="000000"/>
                <w:sz w:val="21"/>
              </w:rPr>
            </w:pPr>
            <w:r>
              <w:rPr>
                <w:rFonts w:ascii="Songti SC" w:hAnsi="Songti SC" w:eastAsia="Songti SC" w:cs="Songti SC"/>
                <w:color w:val="000000"/>
              </w:rPr>
              <w:t>7.00</w:t>
            </w:r>
          </w:p>
        </w:tc>
        <w:tc>
          <w:tcPr>
            <w:tcW w:w="597" w:type="pct"/>
            <w:tcBorders>
              <w:top w:val="nil"/>
              <w:left w:val="nil"/>
              <w:bottom w:val="single" w:color="auto" w:sz="4" w:space="0"/>
              <w:right w:val="single" w:color="auto" w:sz="4" w:space="0"/>
            </w:tcBorders>
            <w:vAlign w:val="center"/>
          </w:tcPr>
          <w:p w14:paraId="144B3D85">
            <w:pPr>
              <w:pStyle w:val="129"/>
              <w:rPr>
                <w:rFonts w:hint="eastAsia"/>
                <w:color w:val="000000"/>
                <w:sz w:val="21"/>
              </w:rPr>
            </w:pPr>
            <w:r>
              <w:rPr>
                <w:rFonts w:ascii="Songti SC" w:hAnsi="Songti SC" w:eastAsia="Songti SC" w:cs="Songti SC"/>
                <w:color w:val="000000"/>
              </w:rPr>
              <w:t>7.00</w:t>
            </w:r>
          </w:p>
        </w:tc>
        <w:tc>
          <w:tcPr>
            <w:tcW w:w="561" w:type="pct"/>
            <w:tcBorders>
              <w:top w:val="nil"/>
              <w:left w:val="nil"/>
              <w:bottom w:val="single" w:color="auto" w:sz="4" w:space="0"/>
              <w:right w:val="single" w:color="auto" w:sz="4" w:space="0"/>
            </w:tcBorders>
            <w:vAlign w:val="center"/>
          </w:tcPr>
          <w:p w14:paraId="2583E671">
            <w:pPr>
              <w:pStyle w:val="129"/>
              <w:jc w:val="left"/>
              <w:rPr>
                <w:rFonts w:hint="eastAsia"/>
                <w:color w:val="000000"/>
                <w:sz w:val="21"/>
              </w:rPr>
            </w:pPr>
          </w:p>
        </w:tc>
      </w:tr>
      <w:tr w14:paraId="4E01DE41">
        <w:trPr>
          <w:trHeight w:val="1200" w:hRule="atLeast"/>
        </w:trPr>
        <w:tc>
          <w:tcPr>
            <w:tcW w:w="401" w:type="pct"/>
            <w:tcBorders>
              <w:top w:val="nil"/>
              <w:left w:val="single" w:color="auto" w:sz="4" w:space="0"/>
              <w:bottom w:val="single" w:color="auto" w:sz="4" w:space="0"/>
              <w:right w:val="single" w:color="auto" w:sz="4" w:space="0"/>
            </w:tcBorders>
            <w:vAlign w:val="center"/>
          </w:tcPr>
          <w:p w14:paraId="4EFA46EA">
            <w:pPr>
              <w:widowControl/>
              <w:spacing w:line="240" w:lineRule="auto"/>
              <w:ind w:firstLine="0" w:firstLineChars="0"/>
              <w:textAlignment w:val="center"/>
              <w:rPr>
                <w:rFonts w:hint="eastAsia"/>
                <w:color w:val="000000"/>
                <w:sz w:val="21"/>
                <w:szCs w:val="21"/>
              </w:rPr>
            </w:pPr>
            <w:r>
              <w:rPr>
                <w:rFonts w:ascii="Songti SC" w:hAnsi="Songti SC" w:eastAsia="Songti SC" w:cs="Songti SC"/>
                <w:color w:val="000000"/>
              </w:rPr>
              <w:t>16</w:t>
            </w:r>
          </w:p>
        </w:tc>
        <w:tc>
          <w:tcPr>
            <w:tcW w:w="793" w:type="pct"/>
            <w:tcBorders>
              <w:top w:val="nil"/>
              <w:left w:val="nil"/>
              <w:bottom w:val="single" w:color="auto" w:sz="4" w:space="0"/>
              <w:right w:val="single" w:color="auto" w:sz="4" w:space="0"/>
            </w:tcBorders>
            <w:vAlign w:val="center"/>
          </w:tcPr>
          <w:p w14:paraId="727F6462">
            <w:pPr>
              <w:widowControl/>
              <w:spacing w:line="240" w:lineRule="auto"/>
              <w:ind w:firstLine="0" w:firstLineChars="0"/>
              <w:jc w:val="left"/>
              <w:textAlignment w:val="center"/>
              <w:rPr>
                <w:rFonts w:hint="eastAsia"/>
                <w:color w:val="000000"/>
                <w:sz w:val="21"/>
                <w:szCs w:val="21"/>
              </w:rPr>
            </w:pPr>
            <w:r>
              <w:rPr>
                <w:rFonts w:ascii="Songti SC" w:hAnsi="Songti SC" w:eastAsia="Songti SC" w:cs="Songti SC"/>
                <w:color w:val="000000"/>
              </w:rPr>
              <w:t>上线支持、培训交付及安全密码配合</w:t>
            </w:r>
          </w:p>
        </w:tc>
        <w:tc>
          <w:tcPr>
            <w:tcW w:w="1280" w:type="pct"/>
            <w:tcBorders>
              <w:top w:val="nil"/>
              <w:left w:val="nil"/>
              <w:bottom w:val="single" w:color="auto" w:sz="4" w:space="0"/>
              <w:right w:val="single" w:color="auto" w:sz="4" w:space="0"/>
            </w:tcBorders>
            <w:vAlign w:val="center"/>
          </w:tcPr>
          <w:p w14:paraId="1C3AFA97">
            <w:pPr>
              <w:widowControl/>
              <w:spacing w:line="240" w:lineRule="auto"/>
              <w:ind w:firstLine="0" w:firstLineChars="0"/>
              <w:jc w:val="left"/>
              <w:textAlignment w:val="center"/>
              <w:rPr>
                <w:rFonts w:hint="eastAsia"/>
                <w:color w:val="000000"/>
                <w:sz w:val="21"/>
                <w:szCs w:val="21"/>
              </w:rPr>
            </w:pPr>
            <w:r>
              <w:rPr>
                <w:rFonts w:ascii="Songti SC" w:hAnsi="Songti SC" w:eastAsia="Songti SC" w:cs="Songti SC"/>
                <w:color w:val="000000"/>
              </w:rPr>
              <w:t>上线支持、试运行、培训及资料交接属于对应模块的完整交付，按业务模块归集；安全及密码测评整改配合与第三方测评服务区分，不重复计列。原金额作为交付工作归并核对基数。</w:t>
            </w:r>
          </w:p>
        </w:tc>
        <w:tc>
          <w:tcPr>
            <w:tcW w:w="426" w:type="pct"/>
            <w:tcBorders>
              <w:top w:val="nil"/>
              <w:left w:val="nil"/>
              <w:bottom w:val="single" w:color="auto" w:sz="4" w:space="0"/>
              <w:right w:val="single" w:color="auto" w:sz="4" w:space="0"/>
            </w:tcBorders>
            <w:vAlign w:val="center"/>
          </w:tcPr>
          <w:p w14:paraId="1DAC376B">
            <w:pPr>
              <w:pStyle w:val="129"/>
              <w:rPr>
                <w:rFonts w:hint="eastAsia"/>
                <w:color w:val="000000"/>
                <w:sz w:val="21"/>
              </w:rPr>
            </w:pPr>
            <w:r>
              <w:rPr>
                <w:rFonts w:ascii="Songti SC" w:hAnsi="Songti SC" w:eastAsia="Songti SC" w:cs="Songti SC"/>
                <w:color w:val="000000"/>
              </w:rPr>
              <w:t>项</w:t>
            </w:r>
          </w:p>
        </w:tc>
        <w:tc>
          <w:tcPr>
            <w:tcW w:w="426" w:type="pct"/>
            <w:tcBorders>
              <w:top w:val="nil"/>
              <w:left w:val="nil"/>
              <w:bottom w:val="single" w:color="auto" w:sz="4" w:space="0"/>
              <w:right w:val="single" w:color="auto" w:sz="4" w:space="0"/>
            </w:tcBorders>
            <w:vAlign w:val="center"/>
          </w:tcPr>
          <w:p w14:paraId="72D6BF10">
            <w:pPr>
              <w:pStyle w:val="129"/>
              <w:rPr>
                <w:rFonts w:hint="eastAsia"/>
                <w:color w:val="000000"/>
                <w:sz w:val="21"/>
              </w:rPr>
            </w:pPr>
            <w:r>
              <w:rPr>
                <w:rFonts w:ascii="Songti SC" w:hAnsi="Songti SC" w:eastAsia="Songti SC" w:cs="Songti SC"/>
                <w:color w:val="000000"/>
              </w:rPr>
              <w:t>1</w:t>
            </w:r>
          </w:p>
        </w:tc>
        <w:tc>
          <w:tcPr>
            <w:tcW w:w="516" w:type="pct"/>
            <w:tcBorders>
              <w:top w:val="nil"/>
              <w:left w:val="nil"/>
              <w:bottom w:val="single" w:color="auto" w:sz="4" w:space="0"/>
              <w:right w:val="single" w:color="auto" w:sz="4" w:space="0"/>
            </w:tcBorders>
            <w:vAlign w:val="center"/>
          </w:tcPr>
          <w:p w14:paraId="336CB5AF">
            <w:pPr>
              <w:pStyle w:val="129"/>
              <w:rPr>
                <w:rFonts w:hint="eastAsia"/>
                <w:color w:val="000000"/>
                <w:sz w:val="21"/>
              </w:rPr>
            </w:pPr>
            <w:r>
              <w:rPr>
                <w:rFonts w:ascii="Songti SC" w:hAnsi="Songti SC" w:eastAsia="Songti SC" w:cs="Songti SC"/>
                <w:color w:val="000000"/>
              </w:rPr>
              <w:t>4.00</w:t>
            </w:r>
          </w:p>
        </w:tc>
        <w:tc>
          <w:tcPr>
            <w:tcW w:w="597" w:type="pct"/>
            <w:tcBorders>
              <w:top w:val="nil"/>
              <w:left w:val="nil"/>
              <w:bottom w:val="single" w:color="auto" w:sz="4" w:space="0"/>
              <w:right w:val="single" w:color="auto" w:sz="4" w:space="0"/>
            </w:tcBorders>
            <w:vAlign w:val="center"/>
          </w:tcPr>
          <w:p w14:paraId="6C82D190">
            <w:pPr>
              <w:pStyle w:val="129"/>
              <w:rPr>
                <w:rFonts w:hint="eastAsia"/>
                <w:color w:val="000000"/>
                <w:sz w:val="21"/>
              </w:rPr>
            </w:pPr>
            <w:r>
              <w:rPr>
                <w:rFonts w:ascii="Songti SC" w:hAnsi="Songti SC" w:eastAsia="Songti SC" w:cs="Songti SC"/>
                <w:color w:val="000000"/>
              </w:rPr>
              <w:t>4.00</w:t>
            </w:r>
          </w:p>
        </w:tc>
        <w:tc>
          <w:tcPr>
            <w:tcW w:w="561" w:type="pct"/>
            <w:tcBorders>
              <w:top w:val="nil"/>
              <w:left w:val="nil"/>
              <w:bottom w:val="single" w:color="auto" w:sz="4" w:space="0"/>
              <w:right w:val="single" w:color="auto" w:sz="4" w:space="0"/>
            </w:tcBorders>
            <w:vAlign w:val="center"/>
          </w:tcPr>
          <w:p w14:paraId="71AE7D17">
            <w:pPr>
              <w:pStyle w:val="129"/>
              <w:jc w:val="left"/>
              <w:rPr>
                <w:rFonts w:hint="eastAsia"/>
                <w:color w:val="000000"/>
                <w:sz w:val="21"/>
              </w:rPr>
            </w:pPr>
          </w:p>
        </w:tc>
      </w:tr>
      <w:tr w14:paraId="2279B0EF">
        <w:trPr>
          <w:trHeight w:val="519" w:hRule="atLeast"/>
        </w:trPr>
        <w:tc>
          <w:tcPr>
            <w:tcW w:w="3842" w:type="pct"/>
            <w:gridSpan w:val="6"/>
            <w:tcBorders>
              <w:top w:val="single" w:color="auto" w:sz="4" w:space="0"/>
              <w:left w:val="single" w:color="auto" w:sz="4" w:space="0"/>
              <w:bottom w:val="single" w:color="auto" w:sz="4" w:space="0"/>
              <w:right w:val="single" w:color="auto" w:sz="4" w:space="0"/>
            </w:tcBorders>
            <w:noWrap/>
            <w:vAlign w:val="center"/>
          </w:tcPr>
          <w:p w14:paraId="38B84A0B">
            <w:pPr>
              <w:pStyle w:val="129"/>
              <w:jc w:val="left"/>
              <w:rPr>
                <w:rFonts w:hint="eastAsia"/>
                <w:b/>
                <w:bCs w:val="0"/>
                <w:color w:val="000000"/>
                <w:sz w:val="21"/>
              </w:rPr>
            </w:pPr>
            <w:r>
              <w:rPr>
                <w:rFonts w:ascii="Songti SC" w:hAnsi="Songti SC" w:eastAsia="Songti SC" w:cs="Songti SC"/>
                <w:b/>
                <w:color w:val="000000"/>
              </w:rPr>
              <w:t>小计</w:t>
            </w:r>
          </w:p>
        </w:tc>
        <w:tc>
          <w:tcPr>
            <w:tcW w:w="597" w:type="pct"/>
            <w:tcBorders>
              <w:top w:val="nil"/>
              <w:left w:val="nil"/>
              <w:bottom w:val="single" w:color="auto" w:sz="4" w:space="0"/>
              <w:right w:val="single" w:color="auto" w:sz="4" w:space="0"/>
            </w:tcBorders>
            <w:noWrap/>
            <w:vAlign w:val="center"/>
          </w:tcPr>
          <w:p w14:paraId="10FD4717">
            <w:pPr>
              <w:pStyle w:val="129"/>
              <w:rPr>
                <w:rFonts w:hint="eastAsia"/>
                <w:b/>
                <w:bCs w:val="0"/>
                <w:color w:val="000000"/>
                <w:sz w:val="21"/>
              </w:rPr>
            </w:pPr>
            <w:r>
              <w:rPr>
                <w:rFonts w:ascii="Songti SC" w:hAnsi="Songti SC" w:eastAsia="Songti SC" w:cs="Songti SC"/>
                <w:b/>
                <w:color w:val="000000"/>
              </w:rPr>
              <w:t>11.00</w:t>
            </w:r>
          </w:p>
        </w:tc>
        <w:tc>
          <w:tcPr>
            <w:tcW w:w="561" w:type="pct"/>
            <w:tcBorders>
              <w:top w:val="nil"/>
              <w:left w:val="nil"/>
              <w:bottom w:val="single" w:color="auto" w:sz="4" w:space="0"/>
              <w:right w:val="single" w:color="auto" w:sz="4" w:space="0"/>
            </w:tcBorders>
            <w:noWrap/>
            <w:vAlign w:val="center"/>
          </w:tcPr>
          <w:p w14:paraId="5F9CEE95">
            <w:pPr>
              <w:pStyle w:val="129"/>
              <w:rPr>
                <w:rFonts w:hint="eastAsia"/>
                <w:b/>
                <w:bCs w:val="0"/>
                <w:color w:val="000000"/>
                <w:sz w:val="21"/>
              </w:rPr>
            </w:pPr>
          </w:p>
        </w:tc>
      </w:tr>
      <w:tr w14:paraId="6C4D7F00">
        <w:trPr>
          <w:trHeight w:val="519" w:hRule="atLeast"/>
        </w:trPr>
        <w:tc>
          <w:tcPr>
            <w:tcW w:w="3842" w:type="pct"/>
            <w:gridSpan w:val="6"/>
            <w:tcBorders>
              <w:top w:val="single" w:color="auto" w:sz="4" w:space="0"/>
              <w:left w:val="single" w:color="auto" w:sz="4" w:space="0"/>
              <w:bottom w:val="single" w:color="auto" w:sz="4" w:space="0"/>
              <w:right w:val="single" w:color="auto" w:sz="4" w:space="0"/>
            </w:tcBorders>
            <w:noWrap/>
            <w:vAlign w:val="center"/>
          </w:tcPr>
          <w:p w14:paraId="31857C65">
            <w:pPr>
              <w:pStyle w:val="129"/>
              <w:rPr>
                <w:rFonts w:hint="eastAsia"/>
                <w:b/>
                <w:bCs w:val="0"/>
                <w:color w:val="000000"/>
                <w:sz w:val="21"/>
              </w:rPr>
            </w:pPr>
            <w:r>
              <w:rPr>
                <w:rFonts w:ascii="Songti SC" w:hAnsi="Songti SC" w:eastAsia="Songti SC" w:cs="Songti SC"/>
                <w:color w:val="000000"/>
              </w:rPr>
              <w:t>系统适配升级费合计</w:t>
            </w:r>
          </w:p>
        </w:tc>
        <w:tc>
          <w:tcPr>
            <w:tcW w:w="597" w:type="pct"/>
            <w:tcBorders>
              <w:top w:val="nil"/>
              <w:left w:val="nil"/>
              <w:bottom w:val="single" w:color="auto" w:sz="4" w:space="0"/>
              <w:right w:val="single" w:color="auto" w:sz="4" w:space="0"/>
            </w:tcBorders>
            <w:noWrap/>
            <w:vAlign w:val="center"/>
          </w:tcPr>
          <w:p w14:paraId="6901F1AD">
            <w:pPr>
              <w:pStyle w:val="129"/>
              <w:rPr>
                <w:rFonts w:hint="eastAsia"/>
                <w:b/>
                <w:bCs w:val="0"/>
                <w:color w:val="000000"/>
                <w:sz w:val="21"/>
              </w:rPr>
            </w:pPr>
            <w:r>
              <w:rPr>
                <w:rFonts w:ascii="Songti SC" w:hAnsi="Songti SC" w:eastAsia="Songti SC" w:cs="Songti SC"/>
                <w:color w:val="000000"/>
              </w:rPr>
              <w:t>67.63</w:t>
            </w:r>
          </w:p>
        </w:tc>
        <w:tc>
          <w:tcPr>
            <w:tcW w:w="561" w:type="pct"/>
            <w:tcBorders>
              <w:top w:val="nil"/>
              <w:left w:val="nil"/>
              <w:bottom w:val="single" w:color="auto" w:sz="4" w:space="0"/>
              <w:right w:val="single" w:color="auto" w:sz="4" w:space="0"/>
            </w:tcBorders>
            <w:noWrap/>
            <w:vAlign w:val="center"/>
          </w:tcPr>
          <w:p w14:paraId="0AA16287">
            <w:pPr>
              <w:pStyle w:val="129"/>
              <w:jc w:val="left"/>
              <w:rPr>
                <w:rFonts w:hint="eastAsia"/>
                <w:b/>
                <w:bCs w:val="0"/>
                <w:color w:val="000000"/>
                <w:sz w:val="21"/>
              </w:rPr>
            </w:pPr>
          </w:p>
        </w:tc>
      </w:tr>
      <w:tr w14:paraId="251EE465">
        <w:trPr>
          <w:trHeight w:val="480" w:hRule="atLeast"/>
        </w:trPr>
        <w:tc>
          <w:tcPr>
            <w:tcW w:w="5000" w:type="pct"/>
            <w:gridSpan w:val="8"/>
            <w:tcBorders>
              <w:top w:val="single" w:color="auto" w:sz="4" w:space="0"/>
              <w:left w:val="single" w:color="auto" w:sz="4" w:space="0"/>
              <w:bottom w:val="single" w:color="auto" w:sz="4" w:space="0"/>
              <w:right w:val="single" w:color="000000" w:sz="4" w:space="0"/>
            </w:tcBorders>
            <w:vAlign w:val="center"/>
          </w:tcPr>
          <w:p w14:paraId="740E1869">
            <w:pPr>
              <w:pStyle w:val="128"/>
              <w:jc w:val="left"/>
              <w:rPr>
                <w:rFonts w:hint="eastAsia"/>
                <w:color w:val="000000"/>
                <w:sz w:val="21"/>
              </w:rPr>
            </w:pPr>
            <w:r>
              <w:rPr>
                <w:rFonts w:ascii="Songti SC" w:hAnsi="Songti SC" w:eastAsia="Songti SC" w:cs="Songti SC"/>
                <w:color w:val="000000"/>
              </w:rPr>
              <w:t>二、基础软件采购 说明：建设单位统筹确定的政务云环境计算、存储、网络等资源由建设单位依托政务云统一提供；本表基础软件采购数量按授权或套数计列，不等同于虚拟服务器节点数量。</w:t>
            </w:r>
          </w:p>
          <w:p w14:paraId="5BCB6642">
            <w:pPr>
              <w:pStyle w:val="128"/>
              <w:jc w:val="left"/>
              <w:rPr>
                <w:rFonts w:hint="eastAsia"/>
                <w:color w:val="000000"/>
                <w:sz w:val="21"/>
              </w:rPr>
            </w:pPr>
          </w:p>
        </w:tc>
      </w:tr>
      <w:tr w14:paraId="3084EDBD">
        <w:trPr>
          <w:trHeight w:val="540" w:hRule="atLeast"/>
        </w:trPr>
        <w:tc>
          <w:tcPr>
            <w:tcW w:w="401" w:type="pct"/>
            <w:tcBorders>
              <w:top w:val="nil"/>
              <w:left w:val="single" w:color="auto" w:sz="4" w:space="0"/>
              <w:bottom w:val="single" w:color="auto" w:sz="4" w:space="0"/>
              <w:right w:val="single" w:color="auto" w:sz="4" w:space="0"/>
            </w:tcBorders>
            <w:vAlign w:val="center"/>
          </w:tcPr>
          <w:p w14:paraId="2D2CB82E">
            <w:pPr>
              <w:pStyle w:val="128"/>
              <w:rPr>
                <w:rFonts w:hint="eastAsia"/>
                <w:color w:val="000000"/>
                <w:sz w:val="21"/>
              </w:rPr>
            </w:pPr>
            <w:r>
              <w:rPr>
                <w:rFonts w:ascii="Songti SC" w:hAnsi="Songti SC" w:eastAsia="Songti SC" w:cs="Songti SC"/>
                <w:color w:val="000000"/>
              </w:rPr>
              <w:t>序号</w:t>
            </w:r>
          </w:p>
        </w:tc>
        <w:tc>
          <w:tcPr>
            <w:tcW w:w="793" w:type="pct"/>
            <w:tcBorders>
              <w:top w:val="nil"/>
              <w:left w:val="nil"/>
              <w:bottom w:val="single" w:color="auto" w:sz="4" w:space="0"/>
              <w:right w:val="single" w:color="auto" w:sz="4" w:space="0"/>
            </w:tcBorders>
            <w:vAlign w:val="center"/>
          </w:tcPr>
          <w:p w14:paraId="27A28D1C">
            <w:pPr>
              <w:pStyle w:val="128"/>
              <w:jc w:val="left"/>
              <w:rPr>
                <w:rFonts w:hint="eastAsia"/>
                <w:color w:val="000000"/>
                <w:sz w:val="21"/>
              </w:rPr>
            </w:pPr>
            <w:r>
              <w:rPr>
                <w:rFonts w:ascii="Songti SC" w:hAnsi="Songti SC" w:eastAsia="Songti SC" w:cs="Songti SC"/>
                <w:color w:val="000000"/>
              </w:rPr>
              <w:t>项目名称</w:t>
            </w:r>
          </w:p>
        </w:tc>
        <w:tc>
          <w:tcPr>
            <w:tcW w:w="1280" w:type="pct"/>
            <w:tcBorders>
              <w:top w:val="nil"/>
              <w:left w:val="nil"/>
              <w:bottom w:val="single" w:color="auto" w:sz="4" w:space="0"/>
              <w:right w:val="single" w:color="auto" w:sz="4" w:space="0"/>
            </w:tcBorders>
            <w:vAlign w:val="center"/>
          </w:tcPr>
          <w:p w14:paraId="220C4131">
            <w:pPr>
              <w:pStyle w:val="128"/>
              <w:jc w:val="left"/>
              <w:rPr>
                <w:rFonts w:hint="eastAsia"/>
                <w:color w:val="000000"/>
                <w:sz w:val="21"/>
              </w:rPr>
            </w:pPr>
            <w:r>
              <w:rPr>
                <w:rFonts w:ascii="Songti SC" w:hAnsi="Songti SC" w:eastAsia="Songti SC" w:cs="Songti SC"/>
                <w:color w:val="000000"/>
              </w:rPr>
              <w:t>技术参数</w:t>
            </w:r>
          </w:p>
        </w:tc>
        <w:tc>
          <w:tcPr>
            <w:tcW w:w="426" w:type="pct"/>
            <w:tcBorders>
              <w:top w:val="nil"/>
              <w:left w:val="nil"/>
              <w:bottom w:val="single" w:color="auto" w:sz="4" w:space="0"/>
              <w:right w:val="single" w:color="auto" w:sz="4" w:space="0"/>
            </w:tcBorders>
            <w:vAlign w:val="center"/>
          </w:tcPr>
          <w:p w14:paraId="4B2DBC5B">
            <w:pPr>
              <w:pStyle w:val="128"/>
              <w:rPr>
                <w:rFonts w:hint="eastAsia"/>
                <w:color w:val="000000"/>
                <w:sz w:val="21"/>
              </w:rPr>
            </w:pPr>
            <w:r>
              <w:rPr>
                <w:rFonts w:ascii="Songti SC" w:hAnsi="Songti SC" w:eastAsia="Songti SC" w:cs="Songti SC"/>
                <w:color w:val="000000"/>
              </w:rPr>
              <w:t>单位</w:t>
            </w:r>
          </w:p>
        </w:tc>
        <w:tc>
          <w:tcPr>
            <w:tcW w:w="426" w:type="pct"/>
            <w:tcBorders>
              <w:top w:val="nil"/>
              <w:left w:val="nil"/>
              <w:bottom w:val="single" w:color="auto" w:sz="4" w:space="0"/>
              <w:right w:val="single" w:color="auto" w:sz="4" w:space="0"/>
            </w:tcBorders>
            <w:vAlign w:val="center"/>
          </w:tcPr>
          <w:p w14:paraId="349FDACE">
            <w:pPr>
              <w:pStyle w:val="128"/>
              <w:rPr>
                <w:rFonts w:hint="eastAsia"/>
                <w:color w:val="000000"/>
                <w:sz w:val="21"/>
              </w:rPr>
            </w:pPr>
            <w:r>
              <w:rPr>
                <w:rFonts w:ascii="Songti SC" w:hAnsi="Songti SC" w:eastAsia="Songti SC" w:cs="Songti SC"/>
                <w:color w:val="000000"/>
              </w:rPr>
              <w:t>数量</w:t>
            </w:r>
          </w:p>
        </w:tc>
        <w:tc>
          <w:tcPr>
            <w:tcW w:w="516" w:type="pct"/>
            <w:tcBorders>
              <w:top w:val="nil"/>
              <w:left w:val="nil"/>
              <w:bottom w:val="single" w:color="auto" w:sz="4" w:space="0"/>
              <w:right w:val="single" w:color="auto" w:sz="4" w:space="0"/>
            </w:tcBorders>
            <w:vAlign w:val="center"/>
          </w:tcPr>
          <w:p w14:paraId="7399F251">
            <w:pPr>
              <w:pStyle w:val="128"/>
              <w:rPr>
                <w:rFonts w:hint="eastAsia"/>
                <w:color w:val="000000"/>
                <w:sz w:val="21"/>
              </w:rPr>
            </w:pPr>
            <w:r>
              <w:rPr>
                <w:rFonts w:ascii="Songti SC" w:hAnsi="Songti SC" w:eastAsia="Songti SC" w:cs="Songti SC"/>
                <w:color w:val="000000"/>
              </w:rPr>
              <w:t>单价 / (万元)</w:t>
            </w:r>
          </w:p>
        </w:tc>
        <w:tc>
          <w:tcPr>
            <w:tcW w:w="597" w:type="pct"/>
            <w:tcBorders>
              <w:top w:val="nil"/>
              <w:left w:val="nil"/>
              <w:bottom w:val="single" w:color="auto" w:sz="4" w:space="0"/>
              <w:right w:val="single" w:color="auto" w:sz="4" w:space="0"/>
            </w:tcBorders>
            <w:vAlign w:val="center"/>
          </w:tcPr>
          <w:p w14:paraId="73F1F353">
            <w:pPr>
              <w:pStyle w:val="128"/>
              <w:rPr>
                <w:rFonts w:hint="eastAsia"/>
                <w:color w:val="000000"/>
                <w:sz w:val="21"/>
              </w:rPr>
            </w:pPr>
            <w:r>
              <w:rPr>
                <w:rFonts w:ascii="Songti SC" w:hAnsi="Songti SC" w:eastAsia="Songti SC" w:cs="Songti SC"/>
                <w:color w:val="000000"/>
              </w:rPr>
              <w:t>总价 / (万元)</w:t>
            </w:r>
          </w:p>
        </w:tc>
        <w:tc>
          <w:tcPr>
            <w:tcW w:w="561" w:type="pct"/>
            <w:tcBorders>
              <w:top w:val="nil"/>
              <w:left w:val="nil"/>
              <w:bottom w:val="single" w:color="auto" w:sz="4" w:space="0"/>
              <w:right w:val="single" w:color="auto" w:sz="4" w:space="0"/>
            </w:tcBorders>
            <w:vAlign w:val="center"/>
          </w:tcPr>
          <w:p w14:paraId="2410B88E">
            <w:pPr>
              <w:pStyle w:val="128"/>
              <w:jc w:val="left"/>
              <w:rPr>
                <w:rFonts w:hint="eastAsia"/>
                <w:color w:val="000000"/>
                <w:sz w:val="21"/>
              </w:rPr>
            </w:pPr>
            <w:r>
              <w:rPr>
                <w:rFonts w:ascii="Songti SC" w:hAnsi="Songti SC" w:eastAsia="Songti SC" w:cs="Songti SC"/>
                <w:color w:val="000000"/>
              </w:rPr>
              <w:t>备注</w:t>
            </w:r>
          </w:p>
        </w:tc>
      </w:tr>
      <w:tr w14:paraId="5F44D0AB">
        <w:trPr>
          <w:trHeight w:val="1200" w:hRule="atLeast"/>
        </w:trPr>
        <w:tc>
          <w:tcPr>
            <w:tcW w:w="401" w:type="pct"/>
            <w:tcBorders>
              <w:top w:val="nil"/>
              <w:left w:val="single" w:color="auto" w:sz="4" w:space="0"/>
              <w:bottom w:val="single" w:color="auto" w:sz="4" w:space="0"/>
              <w:right w:val="single" w:color="auto" w:sz="4" w:space="0"/>
            </w:tcBorders>
            <w:vAlign w:val="center"/>
          </w:tcPr>
          <w:p w14:paraId="76A13071">
            <w:pPr>
              <w:widowControl/>
              <w:spacing w:line="240" w:lineRule="auto"/>
              <w:ind w:firstLine="0" w:firstLineChars="0"/>
              <w:textAlignment w:val="center"/>
              <w:rPr>
                <w:rFonts w:hint="eastAsia"/>
                <w:color w:val="000000"/>
                <w:sz w:val="21"/>
                <w:szCs w:val="21"/>
              </w:rPr>
            </w:pPr>
            <w:r>
              <w:rPr>
                <w:rFonts w:ascii="Songti SC" w:hAnsi="Songti SC" w:eastAsia="Songti SC" w:cs="Songti SC"/>
                <w:color w:val="000000"/>
              </w:rPr>
              <w:t>1</w:t>
            </w:r>
          </w:p>
        </w:tc>
        <w:tc>
          <w:tcPr>
            <w:tcW w:w="793" w:type="pct"/>
            <w:tcBorders>
              <w:top w:val="nil"/>
              <w:left w:val="nil"/>
              <w:bottom w:val="single" w:color="auto" w:sz="4" w:space="0"/>
              <w:right w:val="single" w:color="auto" w:sz="4" w:space="0"/>
            </w:tcBorders>
            <w:vAlign w:val="center"/>
          </w:tcPr>
          <w:p w14:paraId="20CC5584">
            <w:pPr>
              <w:widowControl/>
              <w:spacing w:line="240" w:lineRule="auto"/>
              <w:ind w:firstLine="0" w:firstLineChars="0"/>
              <w:jc w:val="left"/>
              <w:textAlignment w:val="center"/>
              <w:rPr>
                <w:rFonts w:hint="eastAsia"/>
                <w:color w:val="000000"/>
                <w:sz w:val="21"/>
                <w:szCs w:val="21"/>
              </w:rPr>
            </w:pPr>
            <w:r>
              <w:rPr>
                <w:rFonts w:ascii="Songti SC" w:hAnsi="Songti SC" w:eastAsia="Songti SC" w:cs="Songti SC"/>
                <w:color w:val="000000"/>
              </w:rPr>
              <w:t>操作系统</w:t>
            </w:r>
          </w:p>
        </w:tc>
        <w:tc>
          <w:tcPr>
            <w:tcW w:w="1280" w:type="pct"/>
            <w:tcBorders>
              <w:top w:val="nil"/>
              <w:left w:val="nil"/>
              <w:bottom w:val="single" w:color="auto" w:sz="4" w:space="0"/>
              <w:right w:val="single" w:color="auto" w:sz="4" w:space="0"/>
            </w:tcBorders>
            <w:vAlign w:val="center"/>
          </w:tcPr>
          <w:p w14:paraId="59F9632C">
            <w:pPr>
              <w:widowControl/>
              <w:spacing w:line="240" w:lineRule="auto"/>
              <w:ind w:firstLine="0" w:firstLineChars="0"/>
              <w:jc w:val="left"/>
              <w:textAlignment w:val="center"/>
              <w:rPr>
                <w:rFonts w:hint="eastAsia"/>
                <w:color w:val="000000"/>
                <w:sz w:val="21"/>
                <w:szCs w:val="21"/>
              </w:rPr>
            </w:pPr>
            <w:r>
              <w:rPr>
                <w:rFonts w:ascii="Songti SC" w:hAnsi="Songti SC" w:eastAsia="Songti SC" w:cs="Songti SC"/>
                <w:color w:val="000000"/>
              </w:rPr>
              <w:t>服务器操作系统</w:t>
            </w:r>
          </w:p>
        </w:tc>
        <w:tc>
          <w:tcPr>
            <w:tcW w:w="426" w:type="pct"/>
            <w:tcBorders>
              <w:top w:val="nil"/>
              <w:left w:val="nil"/>
              <w:bottom w:val="single" w:color="auto" w:sz="4" w:space="0"/>
              <w:right w:val="single" w:color="auto" w:sz="4" w:space="0"/>
            </w:tcBorders>
            <w:vAlign w:val="center"/>
          </w:tcPr>
          <w:p w14:paraId="4F5E6DFE">
            <w:pPr>
              <w:pStyle w:val="129"/>
              <w:rPr>
                <w:rFonts w:hint="eastAsia"/>
                <w:color w:val="000000"/>
                <w:sz w:val="21"/>
              </w:rPr>
            </w:pPr>
            <w:r>
              <w:rPr>
                <w:rFonts w:ascii="Songti SC" w:hAnsi="Songti SC" w:eastAsia="Songti SC" w:cs="Songti SC"/>
                <w:color w:val="000000"/>
              </w:rPr>
              <w:t>套</w:t>
            </w:r>
          </w:p>
        </w:tc>
        <w:tc>
          <w:tcPr>
            <w:tcW w:w="426" w:type="pct"/>
            <w:tcBorders>
              <w:top w:val="nil"/>
              <w:left w:val="nil"/>
              <w:bottom w:val="single" w:color="auto" w:sz="4" w:space="0"/>
              <w:right w:val="single" w:color="auto" w:sz="4" w:space="0"/>
            </w:tcBorders>
            <w:vAlign w:val="center"/>
          </w:tcPr>
          <w:p w14:paraId="74AE8F66">
            <w:pPr>
              <w:pStyle w:val="129"/>
              <w:rPr>
                <w:rFonts w:hint="eastAsia"/>
                <w:color w:val="000000"/>
                <w:sz w:val="21"/>
              </w:rPr>
            </w:pPr>
            <w:r>
              <w:rPr>
                <w:rFonts w:ascii="Songti SC" w:hAnsi="Songti SC" w:eastAsia="Songti SC" w:cs="Songti SC"/>
                <w:color w:val="000000"/>
              </w:rPr>
              <w:t>1</w:t>
            </w:r>
          </w:p>
        </w:tc>
        <w:tc>
          <w:tcPr>
            <w:tcW w:w="516" w:type="pct"/>
            <w:tcBorders>
              <w:top w:val="nil"/>
              <w:left w:val="nil"/>
              <w:bottom w:val="single" w:color="auto" w:sz="4" w:space="0"/>
              <w:right w:val="single" w:color="auto" w:sz="4" w:space="0"/>
            </w:tcBorders>
            <w:vAlign w:val="center"/>
          </w:tcPr>
          <w:p w14:paraId="67C02BFF">
            <w:pPr>
              <w:pStyle w:val="129"/>
              <w:rPr>
                <w:rFonts w:hint="eastAsia"/>
                <w:color w:val="000000"/>
                <w:sz w:val="21"/>
              </w:rPr>
            </w:pPr>
            <w:r>
              <w:rPr>
                <w:rFonts w:ascii="Songti SC" w:hAnsi="Songti SC" w:eastAsia="Songti SC" w:cs="Songti SC"/>
                <w:color w:val="000000"/>
              </w:rPr>
              <w:t>2.10</w:t>
            </w:r>
          </w:p>
        </w:tc>
        <w:tc>
          <w:tcPr>
            <w:tcW w:w="597" w:type="pct"/>
            <w:tcBorders>
              <w:top w:val="nil"/>
              <w:left w:val="nil"/>
              <w:bottom w:val="single" w:color="auto" w:sz="4" w:space="0"/>
              <w:right w:val="single" w:color="auto" w:sz="4" w:space="0"/>
            </w:tcBorders>
            <w:vAlign w:val="center"/>
          </w:tcPr>
          <w:p w14:paraId="5264BDDC">
            <w:pPr>
              <w:pStyle w:val="129"/>
              <w:rPr>
                <w:rFonts w:hint="eastAsia"/>
                <w:color w:val="000000"/>
                <w:sz w:val="21"/>
              </w:rPr>
            </w:pPr>
            <w:r>
              <w:rPr>
                <w:rFonts w:ascii="Songti SC" w:hAnsi="Songti SC" w:eastAsia="Songti SC" w:cs="Songti SC"/>
                <w:color w:val="000000"/>
              </w:rPr>
              <w:t>2.10</w:t>
            </w:r>
          </w:p>
        </w:tc>
        <w:tc>
          <w:tcPr>
            <w:tcW w:w="561" w:type="pct"/>
            <w:tcBorders>
              <w:top w:val="nil"/>
              <w:left w:val="nil"/>
              <w:bottom w:val="single" w:color="auto" w:sz="4" w:space="0"/>
              <w:right w:val="single" w:color="auto" w:sz="4" w:space="0"/>
            </w:tcBorders>
            <w:vAlign w:val="center"/>
          </w:tcPr>
          <w:p w14:paraId="7DD49428">
            <w:pPr>
              <w:pStyle w:val="129"/>
              <w:jc w:val="left"/>
              <w:rPr>
                <w:rFonts w:hint="eastAsia"/>
                <w:color w:val="000000"/>
                <w:sz w:val="21"/>
              </w:rPr>
            </w:pPr>
            <w:r>
              <w:rPr>
                <w:rFonts w:hint="eastAsia" w:ascii="Songti SC" w:hAnsi="Songti SC" w:eastAsia="Songti SC" w:cs="Songti SC"/>
                <w:color w:val="000000"/>
                <w:lang w:bidi="ar"/>
              </w:rPr>
              <w:t>银河麒麟高级服务器操作系统V10；9节点许可待核。</w:t>
            </w:r>
          </w:p>
        </w:tc>
      </w:tr>
      <w:tr w14:paraId="3BDAC39B">
        <w:trPr>
          <w:trHeight w:val="1200" w:hRule="atLeast"/>
        </w:trPr>
        <w:tc>
          <w:tcPr>
            <w:tcW w:w="401" w:type="pct"/>
            <w:tcBorders>
              <w:top w:val="nil"/>
              <w:left w:val="single" w:color="auto" w:sz="4" w:space="0"/>
              <w:bottom w:val="single" w:color="auto" w:sz="4" w:space="0"/>
              <w:right w:val="single" w:color="auto" w:sz="4" w:space="0"/>
            </w:tcBorders>
            <w:vAlign w:val="center"/>
          </w:tcPr>
          <w:p w14:paraId="6E061FFD">
            <w:pPr>
              <w:widowControl/>
              <w:spacing w:line="240" w:lineRule="auto"/>
              <w:ind w:firstLine="0" w:firstLineChars="0"/>
              <w:textAlignment w:val="center"/>
              <w:rPr>
                <w:rFonts w:hint="eastAsia"/>
                <w:color w:val="000000"/>
                <w:sz w:val="21"/>
                <w:szCs w:val="21"/>
              </w:rPr>
            </w:pPr>
            <w:r>
              <w:rPr>
                <w:rFonts w:ascii="Songti SC" w:hAnsi="Songti SC" w:eastAsia="Songti SC" w:cs="Songti SC"/>
                <w:color w:val="000000"/>
              </w:rPr>
              <w:t>2</w:t>
            </w:r>
          </w:p>
        </w:tc>
        <w:tc>
          <w:tcPr>
            <w:tcW w:w="793" w:type="pct"/>
            <w:tcBorders>
              <w:top w:val="nil"/>
              <w:left w:val="nil"/>
              <w:bottom w:val="single" w:color="auto" w:sz="4" w:space="0"/>
              <w:right w:val="single" w:color="auto" w:sz="4" w:space="0"/>
            </w:tcBorders>
            <w:vAlign w:val="center"/>
          </w:tcPr>
          <w:p w14:paraId="7C060E04">
            <w:pPr>
              <w:widowControl/>
              <w:spacing w:line="240" w:lineRule="auto"/>
              <w:ind w:firstLine="0" w:firstLineChars="0"/>
              <w:jc w:val="left"/>
              <w:textAlignment w:val="center"/>
              <w:rPr>
                <w:rFonts w:hint="eastAsia"/>
                <w:color w:val="000000"/>
                <w:sz w:val="21"/>
                <w:szCs w:val="21"/>
              </w:rPr>
            </w:pPr>
            <w:r>
              <w:rPr>
                <w:rFonts w:ascii="Songti SC" w:hAnsi="Songti SC" w:eastAsia="Songti SC" w:cs="Songti SC"/>
                <w:color w:val="000000"/>
              </w:rPr>
              <w:t>中间件</w:t>
            </w:r>
          </w:p>
        </w:tc>
        <w:tc>
          <w:tcPr>
            <w:tcW w:w="1280" w:type="pct"/>
            <w:tcBorders>
              <w:top w:val="nil"/>
              <w:left w:val="nil"/>
              <w:bottom w:val="single" w:color="auto" w:sz="4" w:space="0"/>
              <w:right w:val="single" w:color="auto" w:sz="4" w:space="0"/>
            </w:tcBorders>
            <w:vAlign w:val="center"/>
          </w:tcPr>
          <w:p w14:paraId="0F5498E1">
            <w:pPr>
              <w:widowControl/>
              <w:spacing w:line="240" w:lineRule="auto"/>
              <w:ind w:firstLine="0" w:firstLineChars="0"/>
              <w:jc w:val="left"/>
              <w:textAlignment w:val="center"/>
              <w:rPr>
                <w:rFonts w:hint="eastAsia"/>
                <w:color w:val="000000"/>
                <w:sz w:val="21"/>
                <w:szCs w:val="21"/>
              </w:rPr>
            </w:pPr>
            <w:r>
              <w:rPr>
                <w:rFonts w:ascii="Songti SC" w:hAnsi="Songti SC" w:eastAsia="Songti SC" w:cs="Songti SC"/>
                <w:color w:val="000000"/>
              </w:rPr>
              <w:t>兼容性中间件</w:t>
            </w:r>
          </w:p>
        </w:tc>
        <w:tc>
          <w:tcPr>
            <w:tcW w:w="426" w:type="pct"/>
            <w:tcBorders>
              <w:top w:val="nil"/>
              <w:left w:val="nil"/>
              <w:bottom w:val="single" w:color="auto" w:sz="4" w:space="0"/>
              <w:right w:val="single" w:color="auto" w:sz="4" w:space="0"/>
            </w:tcBorders>
            <w:vAlign w:val="center"/>
          </w:tcPr>
          <w:p w14:paraId="3B79B918">
            <w:pPr>
              <w:pStyle w:val="129"/>
              <w:rPr>
                <w:rFonts w:hint="eastAsia"/>
                <w:color w:val="000000"/>
                <w:sz w:val="21"/>
              </w:rPr>
            </w:pPr>
            <w:r>
              <w:rPr>
                <w:rFonts w:ascii="Songti SC" w:hAnsi="Songti SC" w:eastAsia="Songti SC" w:cs="Songti SC"/>
                <w:color w:val="000000"/>
              </w:rPr>
              <w:t>套</w:t>
            </w:r>
          </w:p>
        </w:tc>
        <w:tc>
          <w:tcPr>
            <w:tcW w:w="426" w:type="pct"/>
            <w:tcBorders>
              <w:top w:val="nil"/>
              <w:left w:val="nil"/>
              <w:bottom w:val="single" w:color="auto" w:sz="4" w:space="0"/>
              <w:right w:val="single" w:color="auto" w:sz="4" w:space="0"/>
            </w:tcBorders>
            <w:vAlign w:val="center"/>
          </w:tcPr>
          <w:p w14:paraId="47BEA0E4">
            <w:pPr>
              <w:pStyle w:val="129"/>
              <w:rPr>
                <w:rFonts w:hint="eastAsia"/>
                <w:color w:val="000000"/>
                <w:sz w:val="21"/>
              </w:rPr>
            </w:pPr>
            <w:r>
              <w:rPr>
                <w:rFonts w:ascii="Songti SC" w:hAnsi="Songti SC" w:eastAsia="Songti SC" w:cs="Songti SC"/>
                <w:color w:val="000000"/>
              </w:rPr>
              <w:t>1</w:t>
            </w:r>
          </w:p>
        </w:tc>
        <w:tc>
          <w:tcPr>
            <w:tcW w:w="516" w:type="pct"/>
            <w:tcBorders>
              <w:top w:val="nil"/>
              <w:left w:val="nil"/>
              <w:bottom w:val="single" w:color="auto" w:sz="4" w:space="0"/>
              <w:right w:val="single" w:color="auto" w:sz="4" w:space="0"/>
            </w:tcBorders>
            <w:vAlign w:val="center"/>
          </w:tcPr>
          <w:p w14:paraId="772F1621">
            <w:pPr>
              <w:pStyle w:val="129"/>
              <w:rPr>
                <w:rFonts w:hint="eastAsia"/>
                <w:color w:val="000000"/>
                <w:sz w:val="21"/>
              </w:rPr>
            </w:pPr>
            <w:r>
              <w:rPr>
                <w:rFonts w:ascii="Songti SC" w:hAnsi="Songti SC" w:eastAsia="Songti SC" w:cs="Songti SC"/>
                <w:color w:val="000000"/>
              </w:rPr>
              <w:t>5.40</w:t>
            </w:r>
          </w:p>
        </w:tc>
        <w:tc>
          <w:tcPr>
            <w:tcW w:w="597" w:type="pct"/>
            <w:tcBorders>
              <w:top w:val="nil"/>
              <w:left w:val="nil"/>
              <w:bottom w:val="single" w:color="auto" w:sz="4" w:space="0"/>
              <w:right w:val="single" w:color="auto" w:sz="4" w:space="0"/>
            </w:tcBorders>
            <w:vAlign w:val="center"/>
          </w:tcPr>
          <w:p w14:paraId="6470DEE1">
            <w:pPr>
              <w:pStyle w:val="129"/>
              <w:rPr>
                <w:rFonts w:hint="eastAsia"/>
                <w:color w:val="000000"/>
                <w:sz w:val="21"/>
              </w:rPr>
            </w:pPr>
            <w:r>
              <w:rPr>
                <w:rFonts w:ascii="Songti SC" w:hAnsi="Songti SC" w:eastAsia="Songti SC" w:cs="Songti SC"/>
                <w:color w:val="000000"/>
              </w:rPr>
              <w:t>5.40</w:t>
            </w:r>
          </w:p>
        </w:tc>
        <w:tc>
          <w:tcPr>
            <w:tcW w:w="561" w:type="pct"/>
            <w:tcBorders>
              <w:top w:val="nil"/>
              <w:left w:val="nil"/>
              <w:bottom w:val="single" w:color="auto" w:sz="4" w:space="0"/>
              <w:right w:val="single" w:color="auto" w:sz="4" w:space="0"/>
            </w:tcBorders>
            <w:vAlign w:val="center"/>
          </w:tcPr>
          <w:p w14:paraId="59235758">
            <w:pPr>
              <w:pStyle w:val="129"/>
              <w:jc w:val="left"/>
              <w:rPr>
                <w:rFonts w:hint="eastAsia"/>
                <w:color w:val="000000"/>
                <w:sz w:val="21"/>
              </w:rPr>
            </w:pPr>
            <w:r>
              <w:rPr>
                <w:rFonts w:hint="eastAsia" w:ascii="Songti SC" w:hAnsi="Songti SC" w:eastAsia="Songti SC" w:cs="Songti SC"/>
                <w:color w:val="000000"/>
                <w:lang w:bidi="ar"/>
              </w:rPr>
              <w:t>金蝶；型号、部署角色及许可待确认。</w:t>
            </w:r>
          </w:p>
        </w:tc>
      </w:tr>
      <w:tr w14:paraId="12C1FD26">
        <w:trPr>
          <w:trHeight w:val="1200" w:hRule="atLeast"/>
        </w:trPr>
        <w:tc>
          <w:tcPr>
            <w:tcW w:w="401" w:type="pct"/>
            <w:tcBorders>
              <w:top w:val="nil"/>
              <w:left w:val="single" w:color="auto" w:sz="4" w:space="0"/>
              <w:bottom w:val="single" w:color="auto" w:sz="4" w:space="0"/>
              <w:right w:val="single" w:color="auto" w:sz="4" w:space="0"/>
            </w:tcBorders>
            <w:vAlign w:val="center"/>
          </w:tcPr>
          <w:p w14:paraId="528ED5B8">
            <w:pPr>
              <w:widowControl/>
              <w:spacing w:line="240" w:lineRule="auto"/>
              <w:ind w:firstLine="0" w:firstLineChars="0"/>
              <w:textAlignment w:val="center"/>
              <w:rPr>
                <w:rFonts w:hint="eastAsia"/>
                <w:color w:val="000000"/>
                <w:sz w:val="21"/>
                <w:szCs w:val="21"/>
              </w:rPr>
            </w:pPr>
            <w:r>
              <w:rPr>
                <w:rFonts w:ascii="Songti SC" w:hAnsi="Songti SC" w:eastAsia="Songti SC" w:cs="Songti SC"/>
                <w:color w:val="000000"/>
              </w:rPr>
              <w:t>3</w:t>
            </w:r>
          </w:p>
        </w:tc>
        <w:tc>
          <w:tcPr>
            <w:tcW w:w="793" w:type="pct"/>
            <w:tcBorders>
              <w:top w:val="nil"/>
              <w:left w:val="nil"/>
              <w:bottom w:val="single" w:color="auto" w:sz="4" w:space="0"/>
              <w:right w:val="single" w:color="auto" w:sz="4" w:space="0"/>
            </w:tcBorders>
            <w:vAlign w:val="center"/>
          </w:tcPr>
          <w:p w14:paraId="4CA9C777">
            <w:pPr>
              <w:widowControl/>
              <w:spacing w:line="240" w:lineRule="auto"/>
              <w:ind w:firstLine="0" w:firstLineChars="0"/>
              <w:jc w:val="left"/>
              <w:textAlignment w:val="center"/>
              <w:rPr>
                <w:rFonts w:hint="eastAsia"/>
                <w:color w:val="000000"/>
                <w:sz w:val="21"/>
                <w:szCs w:val="21"/>
              </w:rPr>
            </w:pPr>
            <w:r>
              <w:rPr>
                <w:rFonts w:ascii="Songti SC" w:hAnsi="Songti SC" w:eastAsia="Songti SC" w:cs="Songti SC"/>
                <w:color w:val="000000"/>
              </w:rPr>
              <w:t>数据库</w:t>
            </w:r>
          </w:p>
        </w:tc>
        <w:tc>
          <w:tcPr>
            <w:tcW w:w="1280" w:type="pct"/>
            <w:tcBorders>
              <w:top w:val="nil"/>
              <w:left w:val="nil"/>
              <w:bottom w:val="single" w:color="auto" w:sz="4" w:space="0"/>
              <w:right w:val="single" w:color="auto" w:sz="4" w:space="0"/>
            </w:tcBorders>
            <w:vAlign w:val="center"/>
          </w:tcPr>
          <w:p w14:paraId="2855EEFB">
            <w:pPr>
              <w:widowControl/>
              <w:spacing w:line="240" w:lineRule="auto"/>
              <w:ind w:firstLine="0" w:firstLineChars="0"/>
              <w:jc w:val="left"/>
              <w:textAlignment w:val="center"/>
              <w:rPr>
                <w:rFonts w:hint="eastAsia"/>
                <w:color w:val="000000"/>
                <w:sz w:val="21"/>
                <w:szCs w:val="21"/>
              </w:rPr>
            </w:pPr>
            <w:r>
              <w:rPr>
                <w:rFonts w:ascii="Songti SC" w:hAnsi="Songti SC" w:eastAsia="Songti SC" w:cs="Songti SC"/>
                <w:color w:val="000000"/>
              </w:rPr>
              <w:t>数据库</w:t>
            </w:r>
          </w:p>
        </w:tc>
        <w:tc>
          <w:tcPr>
            <w:tcW w:w="426" w:type="pct"/>
            <w:tcBorders>
              <w:top w:val="nil"/>
              <w:left w:val="nil"/>
              <w:bottom w:val="single" w:color="auto" w:sz="4" w:space="0"/>
              <w:right w:val="single" w:color="auto" w:sz="4" w:space="0"/>
            </w:tcBorders>
            <w:vAlign w:val="center"/>
          </w:tcPr>
          <w:p w14:paraId="03BDE95B">
            <w:pPr>
              <w:pStyle w:val="129"/>
              <w:rPr>
                <w:rFonts w:hint="eastAsia"/>
                <w:color w:val="000000"/>
                <w:sz w:val="21"/>
              </w:rPr>
            </w:pPr>
            <w:r>
              <w:rPr>
                <w:rFonts w:ascii="Songti SC" w:hAnsi="Songti SC" w:eastAsia="Songti SC" w:cs="Songti SC"/>
                <w:color w:val="000000"/>
              </w:rPr>
              <w:t>套</w:t>
            </w:r>
          </w:p>
        </w:tc>
        <w:tc>
          <w:tcPr>
            <w:tcW w:w="426" w:type="pct"/>
            <w:tcBorders>
              <w:top w:val="nil"/>
              <w:left w:val="nil"/>
              <w:bottom w:val="single" w:color="auto" w:sz="4" w:space="0"/>
              <w:right w:val="single" w:color="auto" w:sz="4" w:space="0"/>
            </w:tcBorders>
            <w:vAlign w:val="center"/>
          </w:tcPr>
          <w:p w14:paraId="27ADF731">
            <w:pPr>
              <w:pStyle w:val="129"/>
              <w:rPr>
                <w:rFonts w:hint="eastAsia"/>
                <w:color w:val="000000"/>
                <w:sz w:val="21"/>
              </w:rPr>
            </w:pPr>
            <w:r>
              <w:rPr>
                <w:rFonts w:ascii="Songti SC" w:hAnsi="Songti SC" w:eastAsia="Songti SC" w:cs="Songti SC"/>
                <w:color w:val="000000"/>
              </w:rPr>
              <w:t>1</w:t>
            </w:r>
          </w:p>
        </w:tc>
        <w:tc>
          <w:tcPr>
            <w:tcW w:w="516" w:type="pct"/>
            <w:tcBorders>
              <w:top w:val="nil"/>
              <w:left w:val="nil"/>
              <w:bottom w:val="single" w:color="auto" w:sz="4" w:space="0"/>
              <w:right w:val="single" w:color="auto" w:sz="4" w:space="0"/>
            </w:tcBorders>
            <w:vAlign w:val="center"/>
          </w:tcPr>
          <w:p w14:paraId="57F0CFF1">
            <w:pPr>
              <w:pStyle w:val="129"/>
              <w:rPr>
                <w:rFonts w:hint="eastAsia"/>
                <w:color w:val="000000"/>
                <w:sz w:val="21"/>
              </w:rPr>
            </w:pPr>
            <w:r>
              <w:rPr>
                <w:rFonts w:ascii="Songti SC" w:hAnsi="Songti SC" w:eastAsia="Songti SC" w:cs="Songti SC"/>
                <w:color w:val="000000"/>
              </w:rPr>
              <w:t>12.00</w:t>
            </w:r>
          </w:p>
        </w:tc>
        <w:tc>
          <w:tcPr>
            <w:tcW w:w="597" w:type="pct"/>
            <w:tcBorders>
              <w:top w:val="nil"/>
              <w:left w:val="nil"/>
              <w:bottom w:val="single" w:color="auto" w:sz="4" w:space="0"/>
              <w:right w:val="single" w:color="auto" w:sz="4" w:space="0"/>
            </w:tcBorders>
            <w:vAlign w:val="center"/>
          </w:tcPr>
          <w:p w14:paraId="4C6632C8">
            <w:pPr>
              <w:pStyle w:val="129"/>
              <w:rPr>
                <w:rFonts w:hint="eastAsia"/>
                <w:color w:val="000000"/>
                <w:sz w:val="21"/>
              </w:rPr>
            </w:pPr>
            <w:r>
              <w:rPr>
                <w:rFonts w:ascii="Songti SC" w:hAnsi="Songti SC" w:eastAsia="Songti SC" w:cs="Songti SC"/>
                <w:color w:val="000000"/>
              </w:rPr>
              <w:t>12.00</w:t>
            </w:r>
          </w:p>
        </w:tc>
        <w:tc>
          <w:tcPr>
            <w:tcW w:w="561" w:type="pct"/>
            <w:tcBorders>
              <w:top w:val="nil"/>
              <w:left w:val="nil"/>
              <w:bottom w:val="single" w:color="auto" w:sz="4" w:space="0"/>
              <w:right w:val="single" w:color="auto" w:sz="4" w:space="0"/>
            </w:tcBorders>
            <w:vAlign w:val="center"/>
          </w:tcPr>
          <w:p w14:paraId="07B70185">
            <w:pPr>
              <w:pStyle w:val="129"/>
              <w:jc w:val="left"/>
              <w:rPr>
                <w:rFonts w:hint="eastAsia"/>
                <w:color w:val="000000"/>
                <w:sz w:val="21"/>
              </w:rPr>
            </w:pPr>
            <w:r>
              <w:rPr>
                <w:rFonts w:hint="eastAsia" w:ascii="Songti SC" w:hAnsi="Songti SC" w:eastAsia="Songti SC" w:cs="Songti SC"/>
                <w:color w:val="000000"/>
                <w:lang w:bidi="ar"/>
              </w:rPr>
              <w:t>南大通用GBase 8s V8.8；HAC主备许可待核。</w:t>
            </w:r>
          </w:p>
        </w:tc>
      </w:tr>
      <w:tr w14:paraId="33467D50">
        <w:trPr>
          <w:trHeight w:val="519" w:hRule="atLeast"/>
        </w:trPr>
        <w:tc>
          <w:tcPr>
            <w:tcW w:w="3842" w:type="pct"/>
            <w:gridSpan w:val="6"/>
            <w:tcBorders>
              <w:top w:val="single" w:color="auto" w:sz="4" w:space="0"/>
              <w:left w:val="single" w:color="auto" w:sz="4" w:space="0"/>
              <w:bottom w:val="single" w:color="auto" w:sz="4" w:space="0"/>
              <w:right w:val="single" w:color="auto" w:sz="4" w:space="0"/>
            </w:tcBorders>
            <w:noWrap/>
            <w:vAlign w:val="center"/>
          </w:tcPr>
          <w:p w14:paraId="37194644">
            <w:pPr>
              <w:pStyle w:val="129"/>
              <w:jc w:val="left"/>
              <w:rPr>
                <w:rFonts w:hint="eastAsia"/>
                <w:b/>
                <w:bCs w:val="0"/>
                <w:color w:val="000000"/>
                <w:sz w:val="21"/>
              </w:rPr>
            </w:pPr>
            <w:r>
              <w:rPr>
                <w:rFonts w:ascii="Songti SC" w:hAnsi="Songti SC" w:eastAsia="Songti SC" w:cs="Songti SC"/>
                <w:b/>
                <w:color w:val="000000"/>
              </w:rPr>
              <w:t>小计</w:t>
            </w:r>
          </w:p>
        </w:tc>
        <w:tc>
          <w:tcPr>
            <w:tcW w:w="597" w:type="pct"/>
            <w:tcBorders>
              <w:top w:val="nil"/>
              <w:left w:val="nil"/>
              <w:bottom w:val="single" w:color="auto" w:sz="4" w:space="0"/>
              <w:right w:val="single" w:color="auto" w:sz="4" w:space="0"/>
            </w:tcBorders>
            <w:noWrap/>
            <w:vAlign w:val="center"/>
          </w:tcPr>
          <w:p w14:paraId="5FA95FAA">
            <w:pPr>
              <w:pStyle w:val="129"/>
              <w:rPr>
                <w:rFonts w:hint="eastAsia"/>
                <w:b/>
                <w:bCs w:val="0"/>
                <w:color w:val="000000"/>
                <w:sz w:val="21"/>
              </w:rPr>
            </w:pPr>
            <w:r>
              <w:rPr>
                <w:rFonts w:ascii="Songti SC" w:hAnsi="Songti SC" w:eastAsia="Songti SC" w:cs="Songti SC"/>
                <w:b/>
                <w:color w:val="000000"/>
              </w:rPr>
              <w:t>19.50</w:t>
            </w:r>
          </w:p>
        </w:tc>
        <w:tc>
          <w:tcPr>
            <w:tcW w:w="561" w:type="pct"/>
            <w:tcBorders>
              <w:top w:val="nil"/>
              <w:left w:val="nil"/>
              <w:bottom w:val="single" w:color="auto" w:sz="4" w:space="0"/>
              <w:right w:val="single" w:color="auto" w:sz="4" w:space="0"/>
            </w:tcBorders>
            <w:noWrap/>
            <w:vAlign w:val="center"/>
          </w:tcPr>
          <w:p w14:paraId="7FC7E91A">
            <w:pPr>
              <w:pStyle w:val="129"/>
              <w:rPr>
                <w:rFonts w:hint="eastAsia"/>
                <w:b/>
                <w:bCs w:val="0"/>
                <w:color w:val="000000"/>
                <w:sz w:val="21"/>
              </w:rPr>
            </w:pPr>
          </w:p>
        </w:tc>
      </w:tr>
      <w:tr w14:paraId="7DEADABD">
        <w:trPr>
          <w:trHeight w:val="519" w:hRule="atLeast"/>
        </w:trPr>
        <w:tc>
          <w:tcPr>
            <w:tcW w:w="3842" w:type="pct"/>
            <w:gridSpan w:val="6"/>
            <w:tcBorders>
              <w:top w:val="single" w:color="auto" w:sz="4" w:space="0"/>
              <w:left w:val="single" w:color="auto" w:sz="4" w:space="0"/>
              <w:bottom w:val="single" w:color="auto" w:sz="4" w:space="0"/>
              <w:right w:val="single" w:color="auto" w:sz="4" w:space="0"/>
            </w:tcBorders>
            <w:noWrap/>
            <w:vAlign w:val="center"/>
          </w:tcPr>
          <w:p w14:paraId="32422B13">
            <w:pPr>
              <w:pStyle w:val="129"/>
              <w:rPr>
                <w:rFonts w:hint="eastAsia"/>
                <w:b/>
                <w:bCs w:val="0"/>
                <w:color w:val="000000"/>
                <w:sz w:val="21"/>
              </w:rPr>
            </w:pPr>
            <w:r>
              <w:rPr>
                <w:rFonts w:ascii="Songti SC" w:hAnsi="Songti SC" w:eastAsia="Songti SC" w:cs="Songti SC"/>
                <w:color w:val="000000"/>
              </w:rPr>
              <w:t>工程费合计</w:t>
            </w:r>
          </w:p>
        </w:tc>
        <w:tc>
          <w:tcPr>
            <w:tcW w:w="597" w:type="pct"/>
            <w:tcBorders>
              <w:top w:val="nil"/>
              <w:left w:val="nil"/>
              <w:bottom w:val="single" w:color="auto" w:sz="4" w:space="0"/>
              <w:right w:val="single" w:color="auto" w:sz="4" w:space="0"/>
            </w:tcBorders>
            <w:noWrap/>
            <w:vAlign w:val="center"/>
          </w:tcPr>
          <w:p w14:paraId="2F7B368B">
            <w:pPr>
              <w:pStyle w:val="129"/>
              <w:rPr>
                <w:rFonts w:hint="eastAsia"/>
                <w:b/>
                <w:bCs w:val="0"/>
                <w:color w:val="000000"/>
                <w:sz w:val="21"/>
              </w:rPr>
            </w:pPr>
            <w:r>
              <w:rPr>
                <w:rFonts w:ascii="Songti SC" w:hAnsi="Songti SC" w:eastAsia="Songti SC" w:cs="Songti SC"/>
                <w:color w:val="000000"/>
              </w:rPr>
              <w:t>87.13</w:t>
            </w:r>
          </w:p>
        </w:tc>
        <w:tc>
          <w:tcPr>
            <w:tcW w:w="561" w:type="pct"/>
            <w:tcBorders>
              <w:top w:val="nil"/>
              <w:left w:val="nil"/>
              <w:bottom w:val="single" w:color="auto" w:sz="4" w:space="0"/>
              <w:right w:val="single" w:color="auto" w:sz="4" w:space="0"/>
            </w:tcBorders>
            <w:noWrap/>
            <w:vAlign w:val="center"/>
          </w:tcPr>
          <w:p w14:paraId="24E846A4">
            <w:pPr>
              <w:pStyle w:val="129"/>
              <w:jc w:val="left"/>
              <w:rPr>
                <w:rFonts w:hint="eastAsia"/>
                <w:b/>
                <w:bCs w:val="0"/>
                <w:color w:val="000000"/>
                <w:sz w:val="21"/>
              </w:rPr>
            </w:pPr>
          </w:p>
        </w:tc>
      </w:tr>
    </w:tbl>
    <w:p w14:paraId="35D68AB5">
      <w:pPr>
        <w:ind w:firstLine="0" w:firstLineChars="0"/>
        <w:rPr>
          <w:rStyle w:val="79"/>
          <w:rFonts w:hint="eastAsia"/>
          <w:color w:val="000000"/>
        </w:rPr>
      </w:pPr>
    </w:p>
    <w:p w14:paraId="029419F3">
      <w:pPr>
        <w:pStyle w:val="3"/>
        <w:rPr>
          <w:rFonts w:hint="eastAsia"/>
          <w:color w:val="000000"/>
        </w:rPr>
      </w:pPr>
      <w:bookmarkStart w:id="816" w:name="_Toc1878964593"/>
      <w:bookmarkStart w:id="817" w:name="_Toc259782120"/>
      <w:bookmarkStart w:id="818" w:name="_Toc271804429"/>
      <w:bookmarkStart w:id="819" w:name="_Toc66881499"/>
      <w:bookmarkStart w:id="820" w:name="_Toc1839343017"/>
      <w:bookmarkStart w:id="821" w:name="_Toc14369"/>
      <w:bookmarkStart w:id="822" w:name="_Toc42179684"/>
      <w:r>
        <w:rPr>
          <w:rFonts w:ascii="Songti SC" w:hAnsi="Songti SC" w:eastAsia="Songti SC" w:cs="Songti SC"/>
          <w:color w:val="000000"/>
        </w:rPr>
        <w:t>资金来源与落实情况</w:t>
      </w:r>
      <w:bookmarkEnd w:id="814"/>
      <w:bookmarkEnd w:id="815"/>
      <w:bookmarkEnd w:id="816"/>
      <w:bookmarkEnd w:id="817"/>
      <w:bookmarkEnd w:id="818"/>
      <w:bookmarkEnd w:id="819"/>
      <w:bookmarkEnd w:id="820"/>
      <w:bookmarkEnd w:id="821"/>
      <w:bookmarkEnd w:id="822"/>
    </w:p>
    <w:p w14:paraId="06B42ABD">
      <w:pPr>
        <w:ind w:firstLine="480"/>
        <w:rPr>
          <w:rFonts w:hint="eastAsia"/>
          <w:color w:val="000000"/>
        </w:rPr>
      </w:pPr>
      <w:r>
        <w:rPr>
          <w:rFonts w:ascii="Songti SC" w:hAnsi="Songti SC" w:eastAsia="Songti SC" w:cs="Songti SC"/>
          <w:color w:val="000000"/>
        </w:rPr>
        <w:t>拟全部申请</w:t>
      </w:r>
      <w:r>
        <w:rPr>
          <w:rFonts w:hint="eastAsia" w:ascii="Songti SC" w:hAnsi="Songti SC" w:eastAsia="Songti SC" w:cs="Songti SC"/>
          <w:color w:val="000000"/>
        </w:rPr>
        <w:t>财政资金解决</w:t>
      </w:r>
      <w:r>
        <w:rPr>
          <w:rFonts w:ascii="Songti SC" w:hAnsi="Songti SC" w:eastAsia="Songti SC" w:cs="Songti SC"/>
          <w:color w:val="000000"/>
        </w:rPr>
        <w:t>。</w:t>
      </w:r>
      <w:r>
        <w:rPr>
          <w:rFonts w:ascii="Songti SC" w:hAnsi="Songti SC" w:eastAsia="Songti SC" w:cs="Songti SC"/>
          <w:color w:val="000000"/>
        </w:rPr>
        <w:br w:type="page"/>
      </w:r>
    </w:p>
    <w:p w14:paraId="48D855A0">
      <w:pPr>
        <w:pStyle w:val="2"/>
        <w:rPr>
          <w:rFonts w:hint="eastAsia"/>
          <w:color w:val="000000"/>
        </w:rPr>
      </w:pPr>
      <w:bookmarkStart w:id="823" w:name="_Toc244345478"/>
      <w:bookmarkStart w:id="824" w:name="_Toc810988154"/>
      <w:bookmarkStart w:id="825" w:name="_Toc259694552"/>
      <w:bookmarkStart w:id="826" w:name="_Toc6527"/>
      <w:bookmarkStart w:id="827" w:name="_Toc245968978"/>
      <w:bookmarkStart w:id="828" w:name="_Toc66881501"/>
      <w:bookmarkStart w:id="829" w:name="_Toc259782122"/>
      <w:bookmarkStart w:id="830" w:name="_Toc271804431"/>
      <w:bookmarkStart w:id="831" w:name="_Toc1010885416"/>
      <w:r>
        <w:rPr>
          <w:rFonts w:hint="eastAsia" w:ascii="Songti SC" w:hAnsi="Songti SC" w:eastAsia="Songti SC" w:cs="Songti SC"/>
          <w:color w:val="000000"/>
        </w:rPr>
        <w:t>社会与经济效益</w:t>
      </w:r>
      <w:bookmarkEnd w:id="823"/>
      <w:bookmarkEnd w:id="824"/>
      <w:bookmarkEnd w:id="825"/>
      <w:bookmarkEnd w:id="826"/>
      <w:bookmarkEnd w:id="827"/>
      <w:bookmarkEnd w:id="828"/>
      <w:bookmarkEnd w:id="829"/>
      <w:bookmarkEnd w:id="830"/>
      <w:bookmarkEnd w:id="831"/>
    </w:p>
    <w:p w14:paraId="2E59B81A">
      <w:pPr>
        <w:pStyle w:val="3"/>
        <w:rPr>
          <w:rFonts w:hint="eastAsia"/>
          <w:color w:val="000000"/>
        </w:rPr>
      </w:pPr>
      <w:bookmarkStart w:id="832" w:name="_Toc199196769"/>
      <w:bookmarkStart w:id="833" w:name="_Toc725715682"/>
      <w:bookmarkStart w:id="834" w:name="_Toc1208055295"/>
      <w:r>
        <w:rPr>
          <w:rFonts w:ascii="Songti SC" w:hAnsi="Songti SC" w:eastAsia="Songti SC" w:cs="Songti SC"/>
          <w:color w:val="000000"/>
        </w:rPr>
        <w:t>社会效益分析</w:t>
      </w:r>
      <w:bookmarkEnd w:id="832"/>
      <w:bookmarkEnd w:id="833"/>
      <w:bookmarkEnd w:id="834"/>
    </w:p>
    <w:p w14:paraId="42F897F5">
      <w:pPr>
        <w:ind w:firstLine="480"/>
        <w:rPr>
          <w:rFonts w:hint="eastAsia"/>
          <w:color w:val="000000"/>
        </w:rPr>
      </w:pPr>
      <w:r>
        <w:rPr>
          <w:rFonts w:ascii="Songti SC" w:hAnsi="Songti SC" w:eastAsia="Songti SC" w:cs="Songti SC"/>
          <w:color w:val="000000"/>
        </w:rPr>
        <w:t>项目完成后，食堂消费系统将在服务器操作系统、数据库和应用中间件环境下稳定运行，形成覆盖17个集中办公区的政务后勤服务支撑能力，持续保障人员就餐、账户充值、消费支付、交易核对、报表统计和财务结算等业务有序开展。</w:t>
      </w:r>
    </w:p>
    <w:p w14:paraId="55EA7C07">
      <w:pPr>
        <w:ind w:firstLine="480"/>
        <w:rPr>
          <w:rFonts w:hint="eastAsia"/>
          <w:color w:val="000000"/>
        </w:rPr>
      </w:pPr>
      <w:r>
        <w:rPr>
          <w:rFonts w:ascii="Songti SC" w:hAnsi="Songti SC" w:eastAsia="Songti SC" w:cs="Songti SC"/>
          <w:color w:val="000000"/>
        </w:rPr>
        <w:t>一是提升安全管理能力。建设单位组织目标基础软件兼容验证、安全测评及密码应用评估，依据结果落实整改、访问控制、日志审计、数据保护和运维管理要求，明确承建单位及运行维护人员的职责，形成可检查、可追溯的管理记录。</w:t>
      </w:r>
    </w:p>
    <w:p w14:paraId="1FA4F335">
      <w:pPr>
        <w:ind w:firstLine="480"/>
        <w:rPr>
          <w:rFonts w:hint="eastAsia"/>
          <w:color w:val="000000"/>
        </w:rPr>
      </w:pPr>
      <w:r>
        <w:rPr>
          <w:rFonts w:ascii="Songti SC" w:hAnsi="Songti SC" w:eastAsia="Songti SC" w:cs="Songti SC"/>
          <w:color w:val="000000"/>
        </w:rPr>
        <w:t>二是服务保障能力更加稳定。系统完成业务平台替代升级和消费终端联调后，可持续支撑集中办公区人员刷卡、扫码、刷脸消费和线上充值等高频业务，减少因运行环境不兼容、接口异常或终端通信异常造成的服务波动，提升集中办公区食堂服务体验。</w:t>
      </w:r>
    </w:p>
    <w:p w14:paraId="161309DB">
      <w:pPr>
        <w:ind w:firstLine="480"/>
        <w:rPr>
          <w:rFonts w:hint="eastAsia"/>
          <w:color w:val="000000"/>
        </w:rPr>
      </w:pPr>
      <w:r>
        <w:rPr>
          <w:rFonts w:ascii="Songti SC" w:hAnsi="Songti SC" w:eastAsia="Songti SC" w:cs="Songti SC"/>
          <w:color w:val="000000"/>
        </w:rPr>
        <w:t>三是系统升级示范更加清晰。项目将目标国产服务器操作系统、GBase 8s V8.8、金蝶中间件、更新后的消费终端和银行充值链路纳入同一业务场景开展适配验证，为政务后勤领域存量系统软件升级改造提供可复制、可参考的实施样板。</w:t>
      </w:r>
    </w:p>
    <w:p w14:paraId="736DC29D">
      <w:pPr>
        <w:pStyle w:val="3"/>
        <w:rPr>
          <w:rFonts w:hint="eastAsia"/>
          <w:color w:val="000000"/>
        </w:rPr>
      </w:pPr>
      <w:bookmarkStart w:id="835" w:name="_Toc2120574557"/>
      <w:bookmarkStart w:id="836" w:name="_Toc1543836061"/>
      <w:bookmarkStart w:id="837" w:name="_Toc1474944327"/>
      <w:r>
        <w:rPr>
          <w:rFonts w:ascii="Songti SC" w:hAnsi="Songti SC" w:eastAsia="Songti SC" w:cs="Songti SC"/>
          <w:color w:val="000000"/>
        </w:rPr>
        <w:t>经济效益分析</w:t>
      </w:r>
      <w:bookmarkEnd w:id="835"/>
      <w:bookmarkEnd w:id="836"/>
      <w:bookmarkEnd w:id="837"/>
    </w:p>
    <w:p w14:paraId="54CFF9BE">
      <w:pPr>
        <w:ind w:firstLine="480"/>
        <w:rPr>
          <w:rFonts w:hint="eastAsia"/>
          <w:color w:val="000000"/>
        </w:rPr>
      </w:pPr>
      <w:r>
        <w:rPr>
          <w:rFonts w:ascii="Songti SC" w:hAnsi="Songti SC" w:eastAsia="Songti SC" w:cs="Songti SC"/>
          <w:color w:val="000000"/>
        </w:rPr>
        <w:t>项目建成后，经济效益主要体现为运维风险降低、业务效率提升和资源统筹能力增强。系统投入运行后，可减少传统异构环境带来的兼容问题和重复排障成本，提升后勤餐饮服务的标准化、集约化运维水平。</w:t>
      </w:r>
    </w:p>
    <w:p w14:paraId="49ACDFD7">
      <w:pPr>
        <w:ind w:firstLine="480"/>
        <w:rPr>
          <w:rFonts w:hint="eastAsia"/>
          <w:color w:val="000000"/>
        </w:rPr>
      </w:pPr>
      <w:r>
        <w:rPr>
          <w:rFonts w:ascii="Songti SC" w:hAnsi="Songti SC" w:eastAsia="Songti SC" w:cs="Songti SC"/>
          <w:color w:val="000000"/>
        </w:rPr>
        <w:t>一是降低长期运维风险。通过统一现有基础软件运行环境，操作系统、数据库、中间件、备份恢复、日志监控和故障排查路径更加清晰，有助于减少传统异构环境下的兼容性问题、重复排障成本和长期运维压力。</w:t>
      </w:r>
    </w:p>
    <w:p w14:paraId="08141194">
      <w:pPr>
        <w:ind w:firstLine="480"/>
        <w:rPr>
          <w:rFonts w:hint="eastAsia"/>
          <w:color w:val="000000"/>
        </w:rPr>
      </w:pPr>
      <w:r>
        <w:rPr>
          <w:rFonts w:ascii="Songti SC" w:hAnsi="Songti SC" w:eastAsia="Songti SC" w:cs="Songti SC"/>
          <w:color w:val="000000"/>
        </w:rPr>
        <w:t>二是提升业务处理效率。通过数据库适配、索引优化、接口联调和终端交易链路验证，系统可更好支撑早午餐高峰期消费、充值、提现、余额查询和报表统计等业务，减少因适配问题导致的业务等待和人工核对工作量。</w:t>
      </w:r>
    </w:p>
    <w:p w14:paraId="04F2FF69">
      <w:pPr>
        <w:ind w:firstLine="480"/>
        <w:rPr>
          <w:rFonts w:hint="eastAsia"/>
          <w:color w:val="000000"/>
        </w:rPr>
      </w:pPr>
      <w:r>
        <w:rPr>
          <w:rFonts w:ascii="Songti SC" w:hAnsi="Songti SC" w:eastAsia="Songti SC" w:cs="Songti SC"/>
          <w:color w:val="000000"/>
        </w:rPr>
        <w:t>三是带动数字化运维协同。项目形成的适配记录、测试报告、数据校验记录、点位核验表和验收材料，可作为后续系统运维、问题追溯、同类项目建设和区域信息技术生态完善的重要支撑，提升财政资金使用的规范性和项目建设成果的可持续利用水平。</w:t>
      </w:r>
    </w:p>
    <w:p w14:paraId="793D0BCC">
      <w:pPr>
        <w:pStyle w:val="2"/>
        <w:rPr>
          <w:rFonts w:hint="eastAsia"/>
          <w:color w:val="000000"/>
        </w:rPr>
      </w:pPr>
      <w:bookmarkStart w:id="838" w:name="_Toc201595847"/>
      <w:bookmarkStart w:id="839" w:name="_Toc1576"/>
      <w:bookmarkStart w:id="840" w:name="_Toc259782127"/>
      <w:bookmarkStart w:id="841" w:name="_Toc66881504"/>
      <w:bookmarkStart w:id="842" w:name="_Toc857973887"/>
      <w:bookmarkStart w:id="843" w:name="_Toc271804436"/>
      <w:bookmarkStart w:id="844" w:name="_Toc985566568"/>
      <w:bookmarkStart w:id="845" w:name="_Toc259694559"/>
      <w:bookmarkStart w:id="846" w:name="_Toc1355254173"/>
      <w:r>
        <w:rPr>
          <w:rFonts w:hint="eastAsia" w:ascii="Songti SC" w:hAnsi="Songti SC" w:eastAsia="Songti SC" w:cs="Songti SC"/>
          <w:color w:val="000000"/>
        </w:rPr>
        <w:t>项目风险与风险管理</w:t>
      </w:r>
      <w:bookmarkEnd w:id="838"/>
      <w:bookmarkEnd w:id="839"/>
      <w:bookmarkEnd w:id="840"/>
      <w:bookmarkEnd w:id="841"/>
      <w:bookmarkEnd w:id="842"/>
      <w:bookmarkEnd w:id="843"/>
      <w:bookmarkEnd w:id="844"/>
      <w:bookmarkEnd w:id="845"/>
      <w:bookmarkEnd w:id="846"/>
    </w:p>
    <w:p w14:paraId="35FA9B34">
      <w:pPr>
        <w:pStyle w:val="3"/>
        <w:rPr>
          <w:rFonts w:hint="eastAsia"/>
          <w:color w:val="000000"/>
        </w:rPr>
      </w:pPr>
      <w:bookmarkStart w:id="847" w:name="_Toc875939065"/>
      <w:bookmarkStart w:id="848" w:name="_Toc1761912851"/>
      <w:bookmarkStart w:id="849" w:name="_Toc1545325529"/>
      <w:r>
        <w:rPr>
          <w:rFonts w:hint="eastAsia" w:ascii="Songti SC" w:hAnsi="Songti SC" w:eastAsia="Songti SC" w:cs="Songti SC"/>
          <w:color w:val="000000"/>
        </w:rPr>
        <w:t>风险分析</w:t>
      </w:r>
      <w:bookmarkEnd w:id="847"/>
      <w:bookmarkEnd w:id="848"/>
      <w:bookmarkEnd w:id="849"/>
    </w:p>
    <w:p w14:paraId="6A20EABC">
      <w:pPr>
        <w:pStyle w:val="4"/>
        <w:rPr>
          <w:rFonts w:hint="eastAsia"/>
          <w:color w:val="000000"/>
        </w:rPr>
      </w:pPr>
      <w:bookmarkStart w:id="850" w:name="_Toc817278274"/>
      <w:bookmarkStart w:id="851" w:name="_Toc907465270"/>
      <w:bookmarkStart w:id="852" w:name="_Toc618939085"/>
      <w:r>
        <w:rPr>
          <w:rFonts w:hint="eastAsia" w:ascii="Songti SC" w:hAnsi="Songti SC" w:eastAsia="Songti SC" w:cs="Songti SC"/>
          <w:color w:val="000000"/>
        </w:rPr>
        <w:t>技术风险</w:t>
      </w:r>
      <w:bookmarkEnd w:id="850"/>
      <w:bookmarkEnd w:id="851"/>
      <w:bookmarkEnd w:id="852"/>
    </w:p>
    <w:p w14:paraId="0BDA2E21">
      <w:pPr>
        <w:pStyle w:val="5"/>
        <w:rPr>
          <w:rFonts w:hint="eastAsia"/>
          <w:color w:val="000000"/>
        </w:rPr>
      </w:pPr>
      <w:r>
        <w:rPr>
          <w:rFonts w:hint="eastAsia" w:ascii="Songti SC" w:hAnsi="Songti SC" w:eastAsia="Songti SC" w:cs="Songti SC"/>
          <w:color w:val="000000"/>
        </w:rPr>
        <w:t>基础软硬件兼容问题</w:t>
      </w:r>
    </w:p>
    <w:p w14:paraId="4C2856D1">
      <w:pPr>
        <w:ind w:firstLine="480"/>
        <w:rPr>
          <w:rFonts w:hint="eastAsia"/>
          <w:color w:val="000000"/>
          <w:lang w:bidi="en-US"/>
        </w:rPr>
      </w:pPr>
      <w:r>
        <w:rPr>
          <w:rFonts w:ascii="Songti SC" w:hAnsi="Songti SC" w:eastAsia="Songti SC" w:cs="Songti SC"/>
          <w:color w:val="000000"/>
        </w:rPr>
        <w:t>本项目运行环境涉及目标国产服务器操作系统、GBase 8s V8.8、金蝶中间件及政务云资源等基础组件，需关注不同组件之间的兼容适配、接口调用和终端接入稳定性。若适配验证不足，可能出现部分功能异常、数据交互错误或终端交易链路不稳定，影响项目进度与系统运行。</w:t>
      </w:r>
    </w:p>
    <w:p w14:paraId="42977DEC">
      <w:pPr>
        <w:pStyle w:val="4"/>
        <w:rPr>
          <w:rFonts w:hint="eastAsia"/>
          <w:color w:val="000000"/>
        </w:rPr>
      </w:pPr>
      <w:bookmarkStart w:id="853" w:name="_Toc98415527"/>
      <w:bookmarkStart w:id="854" w:name="_Toc339931896"/>
      <w:bookmarkStart w:id="855" w:name="_Toc690544906"/>
      <w:r>
        <w:rPr>
          <w:rFonts w:hint="eastAsia" w:ascii="Songti SC" w:hAnsi="Songti SC" w:eastAsia="Songti SC" w:cs="Songti SC"/>
          <w:color w:val="000000"/>
        </w:rPr>
        <w:t>管理风险</w:t>
      </w:r>
      <w:bookmarkEnd w:id="853"/>
      <w:bookmarkEnd w:id="854"/>
      <w:bookmarkEnd w:id="855"/>
    </w:p>
    <w:p w14:paraId="48C69316">
      <w:pPr>
        <w:pStyle w:val="5"/>
        <w:rPr>
          <w:rFonts w:hint="eastAsia"/>
          <w:color w:val="000000"/>
        </w:rPr>
      </w:pPr>
      <w:r>
        <w:rPr>
          <w:rFonts w:hint="eastAsia" w:ascii="Songti SC" w:hAnsi="Songti SC" w:eastAsia="Songti SC" w:cs="Songti SC"/>
          <w:color w:val="000000"/>
        </w:rPr>
        <w:t>项目进度管理</w:t>
      </w:r>
    </w:p>
    <w:p w14:paraId="0505905B">
      <w:pPr>
        <w:ind w:firstLine="480"/>
        <w:rPr>
          <w:rFonts w:hint="eastAsia"/>
          <w:color w:val="000000"/>
          <w:lang w:bidi="en-US"/>
        </w:rPr>
      </w:pPr>
      <w:r>
        <w:rPr>
          <w:rFonts w:hint="eastAsia" w:ascii="Songti SC" w:hAnsi="Songti SC" w:eastAsia="Songti SC" w:cs="Songti SC"/>
          <w:color w:val="000000"/>
          <w:lang w:bidi="en-US"/>
        </w:rPr>
        <w:t>本项目涉及本中心业务、技术、财务及运行管理人员，以及承建单位、云资源管理方和接口单位。若需求确认、资源交付、业务核对或验收安排衔接不及时，可能影响实施进度；本中心需明确各方责任和关键节点。</w:t>
      </w:r>
    </w:p>
    <w:p w14:paraId="417FB2F9">
      <w:pPr>
        <w:pStyle w:val="5"/>
        <w:rPr>
          <w:rFonts w:hint="eastAsia"/>
          <w:color w:val="000000"/>
        </w:rPr>
      </w:pPr>
      <w:r>
        <w:rPr>
          <w:rFonts w:hint="eastAsia" w:ascii="Songti SC" w:hAnsi="Songti SC" w:eastAsia="Songti SC" w:cs="Songti SC"/>
          <w:color w:val="000000"/>
        </w:rPr>
        <w:t>人员协调管理</w:t>
      </w:r>
    </w:p>
    <w:p w14:paraId="5B01D1F9">
      <w:pPr>
        <w:ind w:firstLine="480"/>
        <w:rPr>
          <w:rFonts w:hint="eastAsia"/>
          <w:color w:val="000000"/>
          <w:lang w:bidi="en-US"/>
        </w:rPr>
      </w:pPr>
      <w:r>
        <w:rPr>
          <w:rFonts w:hint="eastAsia" w:ascii="Songti SC" w:hAnsi="Songti SC" w:eastAsia="Songti SC" w:cs="Songti SC"/>
          <w:color w:val="000000"/>
          <w:lang w:bidi="en-US"/>
        </w:rPr>
        <w:t>建设单位业务人员、承建单位技术人员及外部接口单位对需求和实施条件的理解可能存在差异。若确认不及时，可能造成重复实施、接口等待或交付不符；本中心应组织业务确认并跟踪问题处理结果。</w:t>
      </w:r>
    </w:p>
    <w:p w14:paraId="6FE11D4A">
      <w:pPr>
        <w:pStyle w:val="5"/>
        <w:rPr>
          <w:rFonts w:hint="eastAsia"/>
          <w:color w:val="000000"/>
        </w:rPr>
      </w:pPr>
      <w:r>
        <w:rPr>
          <w:rFonts w:hint="eastAsia" w:ascii="Songti SC" w:hAnsi="Songti SC" w:eastAsia="Songti SC" w:cs="Songti SC"/>
          <w:color w:val="000000"/>
        </w:rPr>
        <w:t>变更管理</w:t>
      </w:r>
    </w:p>
    <w:p w14:paraId="2A2D85F0">
      <w:pPr>
        <w:ind w:firstLine="480"/>
        <w:rPr>
          <w:rFonts w:hint="eastAsia"/>
          <w:color w:val="000000"/>
          <w:lang w:bidi="en-US"/>
        </w:rPr>
      </w:pPr>
      <w:r>
        <w:rPr>
          <w:rFonts w:hint="eastAsia" w:ascii="Songti SC" w:hAnsi="Songti SC" w:eastAsia="Songti SC" w:cs="Songti SC"/>
          <w:color w:val="000000"/>
          <w:lang w:bidi="en-US"/>
        </w:rPr>
        <w:t>在项目实施过程中，可能因业务需求调整、技术方案优化等原因产生变更。若变更管理流程不规范，未对变更进行充分评估与审批，随意变更项目范围、技术方案等，可能导致项目成本增加、进度失控，甚至影响项目质量与稳定性。</w:t>
      </w:r>
    </w:p>
    <w:p w14:paraId="2F780AF3">
      <w:pPr>
        <w:pStyle w:val="4"/>
        <w:rPr>
          <w:rFonts w:hint="eastAsia"/>
          <w:color w:val="000000"/>
        </w:rPr>
      </w:pPr>
      <w:bookmarkStart w:id="856" w:name="_Toc986606754"/>
      <w:bookmarkStart w:id="857" w:name="_Toc928875052"/>
      <w:bookmarkStart w:id="858" w:name="_Toc507354099"/>
      <w:r>
        <w:rPr>
          <w:rFonts w:hint="eastAsia" w:ascii="Songti SC" w:hAnsi="Songti SC" w:eastAsia="Songti SC" w:cs="Songti SC"/>
          <w:color w:val="000000"/>
        </w:rPr>
        <w:t>安全风险</w:t>
      </w:r>
      <w:bookmarkEnd w:id="856"/>
      <w:bookmarkEnd w:id="857"/>
      <w:bookmarkEnd w:id="858"/>
    </w:p>
    <w:p w14:paraId="2B48E00C">
      <w:pPr>
        <w:pStyle w:val="5"/>
        <w:rPr>
          <w:rFonts w:hint="eastAsia"/>
          <w:color w:val="000000"/>
        </w:rPr>
      </w:pPr>
      <w:r>
        <w:rPr>
          <w:rFonts w:hint="eastAsia" w:ascii="Songti SC" w:hAnsi="Songti SC" w:eastAsia="Songti SC" w:cs="Songti SC"/>
          <w:color w:val="000000"/>
        </w:rPr>
        <w:t>信息安全威胁</w:t>
      </w:r>
    </w:p>
    <w:p w14:paraId="25C8090C">
      <w:pPr>
        <w:ind w:firstLine="480"/>
        <w:rPr>
          <w:rFonts w:hint="eastAsia"/>
          <w:color w:val="000000"/>
          <w:lang w:bidi="en-US"/>
        </w:rPr>
      </w:pPr>
      <w:r>
        <w:rPr>
          <w:rFonts w:hint="eastAsia" w:ascii="Songti SC" w:hAnsi="Songti SC" w:eastAsia="Songti SC" w:cs="Songti SC"/>
          <w:color w:val="000000"/>
          <w:lang w:bidi="en-US"/>
        </w:rPr>
        <w:t>随着平台迁移至现有基础设施环境，面临网络攻击、数据泄露等安全风险。外部恶意攻击者可能利用系统漏洞，入侵平台窃取用户敏感信息，如姓名、证件号码、消费记录等，损害用户权益与政府部门形象。同时，内部人员若权限管理不当，也可能出现数据滥用、泄露等安全事件。</w:t>
      </w:r>
    </w:p>
    <w:p w14:paraId="060FDF4A">
      <w:pPr>
        <w:pStyle w:val="5"/>
        <w:rPr>
          <w:rFonts w:hint="eastAsia"/>
          <w:color w:val="000000"/>
        </w:rPr>
      </w:pPr>
      <w:r>
        <w:rPr>
          <w:rFonts w:hint="eastAsia" w:ascii="Songti SC" w:hAnsi="Songti SC" w:eastAsia="Songti SC" w:cs="Songti SC"/>
          <w:color w:val="000000"/>
        </w:rPr>
        <w:t>基础软硬件安全漏洞</w:t>
      </w:r>
    </w:p>
    <w:p w14:paraId="29F5C9C3">
      <w:pPr>
        <w:ind w:firstLine="480"/>
        <w:rPr>
          <w:rFonts w:hint="eastAsia"/>
          <w:color w:val="000000"/>
          <w:lang w:bidi="en-US"/>
        </w:rPr>
      </w:pPr>
      <w:r>
        <w:rPr>
          <w:rFonts w:hint="eastAsia" w:ascii="Songti SC" w:hAnsi="Songti SC" w:eastAsia="Songti SC" w:cs="Songti SC"/>
          <w:color w:val="000000"/>
          <w:lang w:bidi="en-US"/>
        </w:rPr>
        <w:t>虽然基础软硬件产品在安全防护方面具有优势，但仍可能存在未被发现的安全漏洞。服务器操作系统、数据库等产品在大规模应用过程中，可能暴露出新的安全隐患，被不法分子利用，对平台安全造成威胁，如黑客利用数据库漏洞篡改用户消费数据，影响食堂消费系统正常运营。</w:t>
      </w:r>
    </w:p>
    <w:p w14:paraId="554A1A4D">
      <w:pPr>
        <w:pStyle w:val="3"/>
        <w:rPr>
          <w:rFonts w:hint="eastAsia"/>
          <w:color w:val="000000"/>
        </w:rPr>
      </w:pPr>
      <w:bookmarkStart w:id="859" w:name="_Toc1178475991"/>
      <w:bookmarkStart w:id="860" w:name="_Toc1544368921"/>
      <w:bookmarkStart w:id="861" w:name="_Toc1590263303"/>
      <w:r>
        <w:rPr>
          <w:rFonts w:hint="eastAsia" w:ascii="Songti SC" w:hAnsi="Songti SC" w:eastAsia="Songti SC" w:cs="Songti SC"/>
          <w:color w:val="000000"/>
        </w:rPr>
        <w:t>风险的控制与防范</w:t>
      </w:r>
      <w:bookmarkEnd w:id="859"/>
      <w:bookmarkEnd w:id="860"/>
      <w:bookmarkEnd w:id="861"/>
    </w:p>
    <w:p w14:paraId="16DFDB5C">
      <w:pPr>
        <w:pStyle w:val="4"/>
        <w:rPr>
          <w:rFonts w:hint="eastAsia"/>
          <w:color w:val="000000"/>
        </w:rPr>
      </w:pPr>
      <w:bookmarkStart w:id="862" w:name="_Toc404304456"/>
      <w:bookmarkStart w:id="863" w:name="_Toc1721097605"/>
      <w:bookmarkStart w:id="864" w:name="_Toc2121346606"/>
      <w:r>
        <w:rPr>
          <w:rFonts w:hint="eastAsia" w:ascii="Songti SC" w:hAnsi="Songti SC" w:eastAsia="Songti SC" w:cs="Songti SC"/>
          <w:color w:val="000000"/>
        </w:rPr>
        <w:t>技术风险应对</w:t>
      </w:r>
      <w:bookmarkEnd w:id="862"/>
      <w:bookmarkEnd w:id="863"/>
      <w:bookmarkEnd w:id="864"/>
    </w:p>
    <w:p w14:paraId="24EF14AB">
      <w:pPr>
        <w:pStyle w:val="5"/>
        <w:rPr>
          <w:rFonts w:hint="eastAsia"/>
          <w:color w:val="000000"/>
        </w:rPr>
      </w:pPr>
      <w:r>
        <w:rPr>
          <w:rFonts w:hint="eastAsia" w:ascii="Songti SC" w:hAnsi="Songti SC" w:eastAsia="Songti SC" w:cs="Songti SC"/>
          <w:color w:val="000000"/>
        </w:rPr>
        <w:t>基础软硬件兼容适配</w:t>
      </w:r>
    </w:p>
    <w:p w14:paraId="02F89919">
      <w:pPr>
        <w:ind w:firstLine="480"/>
        <w:rPr>
          <w:rFonts w:hint="eastAsia"/>
          <w:color w:val="000000"/>
          <w:lang w:bidi="en-US"/>
        </w:rPr>
      </w:pPr>
      <w:r>
        <w:rPr>
          <w:rFonts w:hint="eastAsia" w:ascii="Songti SC" w:hAnsi="Songti SC" w:eastAsia="Songti SC" w:cs="Songti SC"/>
          <w:color w:val="000000"/>
          <w:lang w:bidi="en-US"/>
        </w:rPr>
        <w:t>在项目前期，开展全面的基础软硬件产品兼容性测试，选取关键业务模块、核心数据项和典型终端交易场景进行适配验证，提前发现并解决兼容性问题。与基础软硬件产品供应商保持沟通，获取技术支持，及时更新必要补丁和适配版本，确保产品与系统的兼容性。建立应急回退方案，若在正式切换过程中出现严重适配问题，能够迅速回退至可用状态，保障平台正常运行。</w:t>
      </w:r>
    </w:p>
    <w:p w14:paraId="161617AC">
      <w:pPr>
        <w:pStyle w:val="5"/>
        <w:rPr>
          <w:rFonts w:hint="eastAsia"/>
          <w:color w:val="000000"/>
        </w:rPr>
      </w:pPr>
      <w:r>
        <w:rPr>
          <w:rFonts w:hint="eastAsia" w:ascii="Songti SC" w:hAnsi="Songti SC" w:eastAsia="Songti SC" w:cs="Songti SC"/>
          <w:color w:val="000000"/>
        </w:rPr>
        <w:t>技术架构转型</w:t>
      </w:r>
    </w:p>
    <w:p w14:paraId="6896CED1">
      <w:pPr>
        <w:ind w:firstLine="480"/>
        <w:rPr>
          <w:rFonts w:hint="eastAsia"/>
          <w:color w:val="000000"/>
          <w:lang w:bidi="en-US"/>
        </w:rPr>
      </w:pPr>
      <w:r>
        <w:rPr>
          <w:rFonts w:hint="eastAsia" w:ascii="Songti SC" w:hAnsi="Songti SC" w:eastAsia="Songti SC" w:cs="Songti SC"/>
          <w:color w:val="000000"/>
          <w:lang w:bidi="en-US"/>
        </w:rPr>
        <w:t>围绕兼容适配、数据库兼容、接口联调和终端接入建立技术评审机制，明确关键配置、联调范围、测试用例和回退条件。实施过程中分阶段完成环境部署、应用适配、数据核验、接口联调、终端验证和试运行，及时发现并处理技术问题，降低系统切换风险。</w:t>
      </w:r>
    </w:p>
    <w:p w14:paraId="7C8914A5">
      <w:pPr>
        <w:pStyle w:val="4"/>
        <w:rPr>
          <w:rFonts w:hint="eastAsia"/>
          <w:color w:val="000000"/>
        </w:rPr>
      </w:pPr>
      <w:bookmarkStart w:id="865" w:name="_Toc2030205792"/>
      <w:bookmarkStart w:id="866" w:name="_Toc506732884"/>
      <w:bookmarkStart w:id="867" w:name="_Toc948899548"/>
      <w:r>
        <w:rPr>
          <w:rFonts w:hint="eastAsia" w:ascii="Songti SC" w:hAnsi="Songti SC" w:eastAsia="Songti SC" w:cs="Songti SC"/>
          <w:color w:val="000000"/>
        </w:rPr>
        <w:t>管理风险应对</w:t>
      </w:r>
      <w:bookmarkEnd w:id="865"/>
      <w:bookmarkEnd w:id="866"/>
      <w:bookmarkEnd w:id="867"/>
    </w:p>
    <w:p w14:paraId="31E9ED49">
      <w:pPr>
        <w:pStyle w:val="5"/>
        <w:rPr>
          <w:rFonts w:hint="eastAsia"/>
          <w:color w:val="000000"/>
        </w:rPr>
      </w:pPr>
      <w:r>
        <w:rPr>
          <w:rFonts w:hint="eastAsia" w:ascii="Songti SC" w:hAnsi="Songti SC" w:eastAsia="Songti SC" w:cs="Songti SC"/>
          <w:color w:val="000000"/>
        </w:rPr>
        <w:t>项目进度管理</w:t>
      </w:r>
    </w:p>
    <w:p w14:paraId="7640E05C">
      <w:pPr>
        <w:ind w:firstLine="480"/>
        <w:rPr>
          <w:rFonts w:hint="eastAsia"/>
          <w:color w:val="000000"/>
          <w:lang w:bidi="en-US"/>
        </w:rPr>
      </w:pPr>
      <w:r>
        <w:rPr>
          <w:rFonts w:hint="eastAsia" w:ascii="Songti SC" w:hAnsi="Songti SC" w:eastAsia="Songti SC" w:cs="Songti SC"/>
          <w:color w:val="000000"/>
          <w:lang w:bidi="en-US"/>
        </w:rPr>
        <w:t>制定详细、合理的项目进度计划，明确各小组工作任务、时间节点与交付成果。建立项目进度监控机制，定期召开项目进度汇报会议，及时掌握项目进展情况。采用项目管理工具，对项目进度进行可视化管理，对进度滞后的任务及时进行预警与调整，确保项目按计划推进。</w:t>
      </w:r>
    </w:p>
    <w:p w14:paraId="31EC1745">
      <w:pPr>
        <w:pStyle w:val="5"/>
        <w:rPr>
          <w:rFonts w:hint="eastAsia"/>
          <w:color w:val="000000"/>
        </w:rPr>
      </w:pPr>
      <w:r>
        <w:rPr>
          <w:rFonts w:hint="eastAsia" w:ascii="Songti SC" w:hAnsi="Songti SC" w:eastAsia="Songti SC" w:cs="Songti SC"/>
          <w:color w:val="000000"/>
        </w:rPr>
        <w:t>人员协调管理</w:t>
      </w:r>
    </w:p>
    <w:p w14:paraId="494570A2">
      <w:pPr>
        <w:ind w:firstLine="480"/>
        <w:rPr>
          <w:rFonts w:hint="eastAsia"/>
          <w:color w:val="000000"/>
          <w:lang w:bidi="en-US"/>
        </w:rPr>
      </w:pPr>
      <w:r>
        <w:rPr>
          <w:rFonts w:hint="eastAsia" w:ascii="Songti SC" w:hAnsi="Songti SC" w:eastAsia="Songti SC" w:cs="Songti SC"/>
          <w:color w:val="000000"/>
          <w:lang w:bidi="en-US"/>
        </w:rPr>
        <w:t>建立有效的沟通协调机制，定期召开跨部门沟通会议，促进不同小组人员之间的信息共享与交流。在需求分析阶段，组织技术人员与业务人员进行深入沟通，确保对业务需求的准确理解。明确各小组职责与权限，避免职责不清导致的工作推诿与协调不畅。加强团队建设活动，提高团队凝聚力与协作能力。</w:t>
      </w:r>
    </w:p>
    <w:p w14:paraId="07FEC408">
      <w:pPr>
        <w:pStyle w:val="5"/>
        <w:rPr>
          <w:rFonts w:hint="eastAsia"/>
          <w:color w:val="000000"/>
        </w:rPr>
      </w:pPr>
      <w:r>
        <w:rPr>
          <w:rFonts w:hint="eastAsia" w:ascii="Songti SC" w:hAnsi="Songti SC" w:eastAsia="Songti SC" w:cs="Songti SC"/>
          <w:color w:val="000000"/>
        </w:rPr>
        <w:t>变更管理</w:t>
      </w:r>
    </w:p>
    <w:p w14:paraId="53B31DD4">
      <w:pPr>
        <w:ind w:firstLine="480"/>
        <w:rPr>
          <w:rFonts w:hint="eastAsia"/>
          <w:color w:val="000000"/>
          <w:lang w:bidi="en-US"/>
        </w:rPr>
      </w:pPr>
      <w:r>
        <w:rPr>
          <w:rFonts w:hint="eastAsia" w:ascii="Songti SC" w:hAnsi="Songti SC" w:eastAsia="Songti SC" w:cs="Songti SC"/>
          <w:color w:val="000000"/>
          <w:lang w:bidi="en-US"/>
        </w:rPr>
        <w:t>建立规范的变更管理流程，所有变更请求需经过严格的评估与审批。在变更评估过程中，充分考虑变更对项目进度、成本、质量的影响。对已批准的变更，及时更新项目计划、技术文档等，确保项目团队成员对变更内容清晰了解，并按照变更后的要求开展工作。</w:t>
      </w:r>
    </w:p>
    <w:p w14:paraId="198C2D54">
      <w:pPr>
        <w:pStyle w:val="4"/>
        <w:rPr>
          <w:rFonts w:hint="eastAsia"/>
          <w:color w:val="000000"/>
        </w:rPr>
      </w:pPr>
      <w:bookmarkStart w:id="868" w:name="_Toc1886921033"/>
      <w:bookmarkStart w:id="869" w:name="_Toc301078961"/>
      <w:bookmarkStart w:id="870" w:name="_Toc941140614"/>
      <w:r>
        <w:rPr>
          <w:rFonts w:hint="eastAsia" w:ascii="Songti SC" w:hAnsi="Songti SC" w:eastAsia="Songti SC" w:cs="Songti SC"/>
          <w:color w:val="000000"/>
        </w:rPr>
        <w:t>安全风险应对</w:t>
      </w:r>
      <w:bookmarkEnd w:id="868"/>
      <w:bookmarkEnd w:id="869"/>
      <w:bookmarkEnd w:id="870"/>
    </w:p>
    <w:p w14:paraId="31B3A4CA">
      <w:pPr>
        <w:pStyle w:val="5"/>
        <w:rPr>
          <w:rFonts w:hint="eastAsia"/>
          <w:color w:val="000000"/>
        </w:rPr>
      </w:pPr>
      <w:r>
        <w:rPr>
          <w:rFonts w:hint="eastAsia" w:ascii="Songti SC" w:hAnsi="Songti SC" w:eastAsia="Songti SC" w:cs="Songti SC"/>
          <w:color w:val="000000"/>
        </w:rPr>
        <w:t>信息安全防护</w:t>
      </w:r>
    </w:p>
    <w:p w14:paraId="53C5B8D7">
      <w:pPr>
        <w:ind w:firstLine="480"/>
        <w:rPr>
          <w:rFonts w:hint="eastAsia"/>
          <w:color w:val="000000"/>
          <w:lang w:bidi="en-US"/>
        </w:rPr>
      </w:pPr>
      <w:r>
        <w:rPr>
          <w:rFonts w:hint="eastAsia" w:ascii="Songti SC" w:hAnsi="Songti SC" w:eastAsia="Songti SC" w:cs="Songti SC"/>
          <w:color w:val="000000"/>
          <w:lang w:bidi="en-US"/>
        </w:rPr>
        <w:t>加强网络安全防护措施，部署防火墙、入侵检测系统、防病毒软件等安全设备，实时监控网络流量，防范外部网络攻击。建立完善的用户权限管理体系，采用最小权限原则，对不同用户角色分配相应的操作权限，防止内部人员数据滥用。定期开展信息安全培训，提高员工安全意识，增强应对安全事件的能力。</w:t>
      </w:r>
    </w:p>
    <w:p w14:paraId="6350F9AD">
      <w:pPr>
        <w:pStyle w:val="5"/>
        <w:rPr>
          <w:rFonts w:hint="eastAsia"/>
          <w:color w:val="000000"/>
        </w:rPr>
      </w:pPr>
      <w:r>
        <w:rPr>
          <w:rFonts w:hint="eastAsia" w:ascii="Songti SC" w:hAnsi="Songti SC" w:eastAsia="Songti SC" w:cs="Songti SC"/>
          <w:color w:val="000000"/>
        </w:rPr>
        <w:t>基础软硬件安全</w:t>
      </w:r>
    </w:p>
    <w:p w14:paraId="34875F6E">
      <w:pPr>
        <w:ind w:firstLine="480"/>
        <w:rPr>
          <w:rFonts w:hint="eastAsia"/>
          <w:color w:val="000000"/>
          <w:lang w:bidi="en-US"/>
        </w:rPr>
      </w:pPr>
      <w:r>
        <w:rPr>
          <w:rFonts w:hint="eastAsia" w:ascii="Songti SC" w:hAnsi="Songti SC" w:eastAsia="Songti SC" w:cs="Songti SC"/>
          <w:color w:val="000000"/>
          <w:lang w:bidi="en-US"/>
        </w:rPr>
        <w:t>密切关注基础软硬件产品供应商发布的安全公告，及时安装安全补丁，修复产品漏洞。定期对基础软硬件产品进行安全检测与评估，采用漏洞扫描工具、渗透测试等手段，主动发现并解决潜在安全问题。建立安全应急响应机制，在产品出现安全事件时，能够迅速采取措施进行处置，降低安全风险。</w:t>
      </w:r>
    </w:p>
    <w:p w14:paraId="4864C2EC">
      <w:pPr>
        <w:ind w:firstLine="480"/>
        <w:rPr>
          <w:rFonts w:hint="eastAsia"/>
          <w:color w:val="000000"/>
          <w:lang w:bidi="en-US"/>
        </w:rPr>
      </w:pPr>
    </w:p>
    <w:p w14:paraId="5C96A7E8">
      <w:pPr>
        <w:pStyle w:val="2"/>
        <w:rPr>
          <w:rFonts w:hint="eastAsia"/>
          <w:color w:val="000000"/>
        </w:rPr>
      </w:pPr>
      <w:bookmarkStart w:id="871" w:name="_Toc30868"/>
      <w:bookmarkStart w:id="872" w:name="_Toc762625195"/>
      <w:bookmarkStart w:id="873" w:name="_Toc310345095"/>
      <w:bookmarkStart w:id="874" w:name="_Toc1590786382"/>
      <w:bookmarkStart w:id="875" w:name="_Toc66881507"/>
      <w:bookmarkStart w:id="876" w:name="_Toc1533239343"/>
      <w:r>
        <w:rPr>
          <w:rFonts w:hint="eastAsia" w:ascii="Songti SC" w:hAnsi="Songti SC" w:eastAsia="Songti SC" w:cs="Songti SC"/>
          <w:color w:val="000000"/>
        </w:rPr>
        <w:t>结论与建议</w:t>
      </w:r>
      <w:bookmarkEnd w:id="871"/>
      <w:bookmarkEnd w:id="872"/>
      <w:bookmarkEnd w:id="873"/>
      <w:bookmarkEnd w:id="874"/>
      <w:bookmarkEnd w:id="875"/>
      <w:bookmarkEnd w:id="876"/>
    </w:p>
    <w:p w14:paraId="1AB456C3">
      <w:pPr>
        <w:pStyle w:val="3"/>
        <w:rPr>
          <w:rFonts w:hint="eastAsia"/>
          <w:color w:val="000000"/>
        </w:rPr>
      </w:pPr>
      <w:bookmarkStart w:id="877" w:name="_Toc175317124"/>
      <w:bookmarkStart w:id="878" w:name="_Toc1259247069"/>
      <w:bookmarkStart w:id="879" w:name="_Toc66881508"/>
      <w:bookmarkStart w:id="880" w:name="_Toc310345096"/>
      <w:bookmarkStart w:id="881" w:name="_Toc7848"/>
      <w:bookmarkStart w:id="882" w:name="_Toc1497357448"/>
      <w:r>
        <w:rPr>
          <w:rFonts w:hint="eastAsia" w:ascii="Songti SC" w:hAnsi="Songti SC" w:eastAsia="Songti SC" w:cs="Songti SC"/>
          <w:color w:val="000000"/>
        </w:rPr>
        <w:t>结论</w:t>
      </w:r>
      <w:bookmarkEnd w:id="877"/>
      <w:bookmarkEnd w:id="878"/>
      <w:bookmarkEnd w:id="879"/>
      <w:bookmarkEnd w:id="880"/>
      <w:bookmarkEnd w:id="881"/>
      <w:bookmarkEnd w:id="882"/>
    </w:p>
    <w:p w14:paraId="13712466">
      <w:pPr>
        <w:ind w:firstLine="480"/>
        <w:rPr>
          <w:rFonts w:hint="eastAsia"/>
          <w:color w:val="000000"/>
        </w:rPr>
      </w:pPr>
      <w:r>
        <w:rPr>
          <w:rFonts w:hint="eastAsia" w:ascii="Songti SC" w:hAnsi="Songti SC" w:eastAsia="Songti SC" w:cs="Songti SC"/>
          <w:color w:val="000000"/>
        </w:rPr>
        <w:t>本中心拟通过本项目落实食堂消费系统后续承载条件，保障17处集中办公区人员就餐、充值消费和财务核对持续开展。项目必要性以承载调整、实际兼容差距和安全管理需求为依据，拟采用的应用路线以功能、迁移、成本及运维条件核查为支撑，不以.NET或PHP语言名称作为立项理由。</w:t>
      </w:r>
    </w:p>
    <w:p w14:paraId="768E2150">
      <w:pPr>
        <w:ind w:firstLine="480"/>
        <w:rPr>
          <w:rFonts w:hint="eastAsia"/>
          <w:color w:val="000000"/>
        </w:rPr>
      </w:pPr>
      <w:r>
        <w:rPr>
          <w:rFonts w:hint="eastAsia" w:ascii="Songti SC" w:hAnsi="Songti SC" w:eastAsia="Songti SC" w:cs="Songti SC"/>
          <w:color w:val="000000"/>
        </w:rPr>
        <w:t>从政策合规性看，项目遵循政务信息化项目管理、网络安全、商用密码和数据资源管理相关要求；从技术层面看，通过政务云环境和国产基础软件兼容测试、业务回归测试、接口联调、IPv4/IPv6双栈验证和终端验证，保障系统在建设单位统筹确定的政务云环境中稳定运行。</w:t>
      </w:r>
    </w:p>
    <w:p w14:paraId="45A0E61C">
      <w:pPr>
        <w:pStyle w:val="3"/>
        <w:rPr>
          <w:rFonts w:hint="eastAsia"/>
          <w:color w:val="000000"/>
        </w:rPr>
      </w:pPr>
      <w:bookmarkStart w:id="883" w:name="_Toc1873252990"/>
      <w:bookmarkStart w:id="884" w:name="_Toc310345097"/>
      <w:bookmarkStart w:id="885" w:name="_Toc66881509"/>
      <w:bookmarkStart w:id="886" w:name="_Toc714147498"/>
      <w:bookmarkStart w:id="887" w:name="_Toc207339384"/>
      <w:bookmarkStart w:id="888" w:name="_Toc14052"/>
      <w:r>
        <w:rPr>
          <w:rFonts w:hint="eastAsia" w:ascii="Songti SC" w:hAnsi="Songti SC" w:eastAsia="Songti SC" w:cs="Songti SC"/>
          <w:color w:val="000000"/>
        </w:rPr>
        <w:t>建议</w:t>
      </w:r>
      <w:bookmarkEnd w:id="883"/>
      <w:bookmarkEnd w:id="884"/>
      <w:bookmarkEnd w:id="885"/>
      <w:bookmarkEnd w:id="886"/>
      <w:bookmarkEnd w:id="887"/>
      <w:bookmarkEnd w:id="888"/>
    </w:p>
    <w:p w14:paraId="48A89750">
      <w:pPr>
        <w:ind w:firstLine="480"/>
        <w:rPr>
          <w:rFonts w:hint="eastAsia"/>
          <w:color w:val="000000"/>
          <w:lang w:bidi="en-US"/>
        </w:rPr>
      </w:pPr>
      <w:r>
        <w:rPr>
          <w:rFonts w:hint="eastAsia" w:ascii="Songti SC" w:hAnsi="Songti SC" w:eastAsia="Songti SC" w:cs="Songti SC"/>
          <w:color w:val="000000"/>
          <w:lang w:bidi="en-US"/>
        </w:rPr>
        <w:t>尽管项目前期筹备已奠定良好基础，但鉴于系统升级改造项目的复杂性，实际推进中可能遭遇诸多难题，可从以下几方面强化工作：</w:t>
      </w:r>
    </w:p>
    <w:p w14:paraId="06C1BB6C">
      <w:pPr>
        <w:ind w:firstLine="482"/>
        <w:rPr>
          <w:rFonts w:hint="eastAsia"/>
          <w:color w:val="000000"/>
          <w:lang w:bidi="en-US"/>
        </w:rPr>
      </w:pPr>
      <w:r>
        <w:rPr>
          <w:rFonts w:hint="eastAsia" w:ascii="Songti SC" w:hAnsi="Songti SC" w:eastAsia="Songti SC" w:cs="Songti SC"/>
          <w:color w:val="000000"/>
          <w:lang w:bidi="en-US"/>
        </w:rPr>
        <w:t>一是落实建设单位统筹责任。本中心牵头确认需求、资源条件和关键决策，协调各集中办公区、云资源管理方及接口单位，督促承建单位按确认范围实施，及时处理影响业务连续和交付进度的问题。</w:t>
      </w:r>
    </w:p>
    <w:p w14:paraId="513FCC2A">
      <w:pPr>
        <w:ind w:firstLine="482"/>
        <w:rPr>
          <w:rFonts w:hint="eastAsia"/>
          <w:color w:val="000000"/>
          <w:lang w:bidi="en-US"/>
        </w:rPr>
      </w:pPr>
      <w:r>
        <w:rPr>
          <w:rFonts w:hint="eastAsia" w:ascii="Songti SC" w:hAnsi="Songti SC" w:eastAsia="Songti SC" w:cs="Songti SC"/>
          <w:color w:val="000000"/>
          <w:lang w:bidi="en-US"/>
        </w:rPr>
        <w:t>二是落实运行交接。本中心明确运行维护责任及服务边界，接收配置、数据核对、监控、备份恢复和故障处置资料，组织管理人员培训，按实际需要安排后续运维，保障系统持续运行。</w:t>
      </w:r>
    </w:p>
    <w:p w14:paraId="17884E5D">
      <w:pPr>
        <w:ind w:firstLine="482"/>
        <w:rPr>
          <w:rFonts w:hint="eastAsia"/>
          <w:color w:val="000000"/>
        </w:rPr>
      </w:pPr>
      <w:r>
        <w:rPr>
          <w:rFonts w:hint="eastAsia" w:ascii="Songti SC" w:hAnsi="Songti SC" w:eastAsia="Songti SC" w:cs="Songti SC"/>
          <w:color w:val="000000"/>
          <w:lang w:bidi="en-US"/>
        </w:rPr>
        <w:t>三是完善审查和验收依据。本中心根据需要组织专家审查，重点核对现状依据、技术路线、建设范围和交付成果，督促承建单位提交验证材料，依据合同和确认的验收要求组织检查，对未关闭事项明确责任及处理安排。</w:t>
      </w: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embedRegular r:id="rId1" w:fontKey="{DA884F58-663A-0577-399D-9E6A8D7ABB65}"/>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Songti SC">
    <w:panose1 w:val="02010800040101010101"/>
    <w:charset w:val="86"/>
    <w:family w:val="auto"/>
    <w:pitch w:val="default"/>
    <w:sig w:usb0="00000001" w:usb1="080F0000" w:usb2="00000000" w:usb3="00000000" w:csb0="00040000" w:csb1="00000000"/>
  </w:font>
  <w:font w:name="Helvetica Neue">
    <w:panose1 w:val="02000503000000020004"/>
    <w:charset w:val="00"/>
    <w:family w:val="auto"/>
    <w:pitch w:val="default"/>
    <w:sig w:usb0="E50002FF" w:usb1="500079DB" w:usb2="00000010" w:usb3="00000000" w:csb0="00000000" w:csb1="00000000"/>
  </w:font>
  <w:font w:name="Kingsoft Sign">
    <w:panose1 w:val="05050102010706020507"/>
    <w:charset w:val="00"/>
    <w:family w:val="auto"/>
    <w:pitch w:val="default"/>
    <w:sig w:usb0="00000000" w:usb1="10000000" w:usb2="00000000" w:usb3="00000000" w:csb0="00000001" w:csb1="00000000"/>
  </w:font>
  <w:font w:name="汉仪中黑KW">
    <w:panose1 w:val="00020600040101010101"/>
    <w:charset w:val="86"/>
    <w:family w:val="auto"/>
    <w:pitch w:val="default"/>
    <w:sig w:usb0="A00002BF" w:usb1="18EF7CFA" w:usb2="00000016" w:usb3="00000000" w:csb0="00040000" w:csb1="00000000"/>
  </w:font>
  <w:font w:name="PingFang SC">
    <w:panose1 w:val="020B0400000000000000"/>
    <w:charset w:val="86"/>
    <w:family w:val="auto"/>
    <w:pitch w:val="default"/>
    <w:sig w:usb0="A00002FF" w:usb1="7ACFFDFB" w:usb2="00000017" w:usb3="00000000" w:csb0="00040001" w:csb1="00000000"/>
  </w:font>
  <w:font w:name="Tahoma">
    <w:panose1 w:val="020B0604030504040204"/>
    <w:charset w:val="00"/>
    <w:family w:val="auto"/>
    <w:pitch w:val="default"/>
    <w:sig w:usb0="E1002AFF" w:usb1="C000605B" w:usb2="00000029" w:usb3="00000000" w:csb0="200101FF" w:csb1="20280000"/>
  </w:font>
  <w:font w:name="宋体-简">
    <w:panose1 w:val="02010800040101010101"/>
    <w:charset w:val="86"/>
    <w:family w:val="auto"/>
    <w:pitch w:val="default"/>
    <w:sig w:usb0="00000001" w:usb1="080F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766267">
    <w:pPr>
      <w:pStyle w:val="37"/>
      <w:ind w:firstLine="360"/>
      <w:rPr>
        <w:rFonts w:hint="eastAsi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43B8FA">
    <w:pPr>
      <w:pStyle w:val="37"/>
      <w:ind w:firstLine="360"/>
      <w:rPr>
        <w:rFonts w:hint="eastAsia"/>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3E95E6">
    <w:pPr>
      <w:pStyle w:val="37"/>
      <w:ind w:firstLine="360"/>
      <w:rPr>
        <w:rFonts w:hint="eastAsia"/>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
    </w:sdtPr>
    <w:sdtContent>
      <w:p w14:paraId="105ABCC1">
        <w:pPr>
          <w:pStyle w:val="37"/>
          <w:ind w:firstLine="0" w:firstLineChars="0"/>
          <w:jc w:val="center"/>
          <w:rPr>
            <w:rFonts w:hint="eastAsia"/>
          </w:rPr>
        </w:pPr>
        <w:r>
          <w:rPr>
            <w:rFonts w:ascii="Songti SC" w:hAnsi="Songti SC" w:eastAsia="Songti SC" w:cs="Songti SC"/>
          </w:rPr>
          <w:fldChar w:fldCharType="begin"/>
        </w:r>
        <w:r>
          <w:rPr>
            <w:rFonts w:ascii="Songti SC" w:hAnsi="Songti SC" w:eastAsia="Songti SC" w:cs="Songti SC"/>
          </w:rPr>
          <w:instrText xml:space="preserve">PAGE   \* MERGEFORMAT</w:instrText>
        </w:r>
        <w:r>
          <w:rPr>
            <w:rFonts w:ascii="Songti SC" w:hAnsi="Songti SC" w:eastAsia="Songti SC" w:cs="Songti SC"/>
          </w:rPr>
          <w:fldChar w:fldCharType="separate"/>
        </w:r>
        <w:r>
          <w:rPr>
            <w:rFonts w:ascii="Songti SC" w:hAnsi="Songti SC" w:eastAsia="Songti SC" w:cs="Songti SC"/>
            <w:lang w:val="zh-CN"/>
          </w:rPr>
          <w:t>I</w:t>
        </w:r>
        <w:r>
          <w:rPr>
            <w:rFonts w:ascii="Songti SC" w:hAnsi="Songti SC" w:eastAsia="Songti SC" w:cs="Songti SC"/>
          </w:rPr>
          <w:fldChar w:fldCharType="end"/>
        </w:r>
      </w:p>
    </w:sdtContent>
  </w:sdt>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31235152"/>
    </w:sdtPr>
    <w:sdtContent>
      <w:p w14:paraId="42BA056D">
        <w:pPr>
          <w:pStyle w:val="37"/>
          <w:ind w:firstLine="0" w:firstLineChars="0"/>
          <w:jc w:val="center"/>
          <w:rPr>
            <w:rFonts w:hint="eastAsia"/>
          </w:rPr>
        </w:pPr>
        <w:r>
          <w:rPr>
            <w:rFonts w:ascii="Songti SC" w:hAnsi="Songti SC" w:eastAsia="Songti SC" w:cs="Songti SC"/>
          </w:rPr>
          <w:fldChar w:fldCharType="begin"/>
        </w:r>
        <w:r>
          <w:rPr>
            <w:rFonts w:ascii="Songti SC" w:hAnsi="Songti SC" w:eastAsia="Songti SC" w:cs="Songti SC"/>
          </w:rPr>
          <w:instrText xml:space="preserve">PAGE   \* MERGEFORMAT</w:instrText>
        </w:r>
        <w:r>
          <w:rPr>
            <w:rFonts w:ascii="Songti SC" w:hAnsi="Songti SC" w:eastAsia="Songti SC" w:cs="Songti SC"/>
          </w:rPr>
          <w:fldChar w:fldCharType="separate"/>
        </w:r>
        <w:r>
          <w:rPr>
            <w:rFonts w:ascii="Songti SC" w:hAnsi="Songti SC" w:eastAsia="Songti SC" w:cs="Songti SC"/>
            <w:lang w:val="zh-CN"/>
          </w:rPr>
          <w:t>2</w:t>
        </w:r>
        <w:r>
          <w:rPr>
            <w:rFonts w:ascii="Songti SC" w:hAnsi="Songti SC" w:eastAsia="Songti SC" w:cs="Songti SC"/>
          </w:rPr>
          <w:fldChar w:fldCharType="end"/>
        </w:r>
      </w:p>
    </w:sdtContent>
  </w:sdt>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996472773"/>
    </w:sdtPr>
    <w:sdtContent>
      <w:p w14:paraId="407EA2B1">
        <w:pPr>
          <w:pStyle w:val="37"/>
          <w:ind w:firstLine="0" w:firstLineChars="0"/>
          <w:jc w:val="center"/>
          <w:rPr>
            <w:rFonts w:hint="eastAsia"/>
          </w:rPr>
        </w:pPr>
        <w:r>
          <w:rPr>
            <w:rFonts w:ascii="Songti SC" w:hAnsi="Songti SC" w:eastAsia="Songti SC" w:cs="Songti SC"/>
          </w:rPr>
          <w:fldChar w:fldCharType="begin"/>
        </w:r>
        <w:r>
          <w:rPr>
            <w:rFonts w:ascii="Songti SC" w:hAnsi="Songti SC" w:eastAsia="Songti SC" w:cs="Songti SC"/>
          </w:rPr>
          <w:instrText xml:space="preserve">PAGE   \* MERGEFORMAT</w:instrText>
        </w:r>
        <w:r>
          <w:rPr>
            <w:rFonts w:ascii="Songti SC" w:hAnsi="Songti SC" w:eastAsia="Songti SC" w:cs="Songti SC"/>
          </w:rPr>
          <w:fldChar w:fldCharType="separate"/>
        </w:r>
        <w:r>
          <w:rPr>
            <w:rFonts w:ascii="Songti SC" w:hAnsi="Songti SC" w:eastAsia="Songti SC" w:cs="Songti SC"/>
            <w:lang w:val="zh-CN"/>
          </w:rPr>
          <w:t>2</w:t>
        </w:r>
        <w:r>
          <w:rPr>
            <w:rFonts w:ascii="Songti SC" w:hAnsi="Songti SC" w:eastAsia="Songti SC" w:cs="Songti SC"/>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80"/>
      </w:pPr>
      <w:r>
        <w:separator/>
      </w:r>
    </w:p>
  </w:footnote>
  <w:footnote w:type="continuationSeparator" w:id="1">
    <w:p>
      <w:pPr>
        <w:spacing w:line="360" w:lineRule="auto"/>
        <w:ind w:firstLine="48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F449AC">
    <w:pPr>
      <w:ind w:firstLine="480"/>
      <w:rPr>
        <w:rFonts w:hint="eastAsia"/>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28FED3">
    <w:pPr>
      <w:pStyle w:val="38"/>
      <w:ind w:firstLine="360"/>
      <w:rPr>
        <w:rFonts w:hint="eastAsia"/>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995D73">
    <w:pPr>
      <w:pStyle w:val="38"/>
      <w:ind w:firstLine="360"/>
      <w:rPr>
        <w:rFonts w:hint="eastAsia"/>
      </w:rPr>
    </w:pPr>
    <w:r>
      <w:rPr>
        <w:rFonts w:ascii="Songti SC" w:hAnsi="Songti SC" w:eastAsia="Songti SC" w:cs="Songti SC"/>
      </w:rPr>
      <w:drawing>
        <wp:inline distT="0" distB="0" distL="0" distR="0">
          <wp:extent cx="495300" cy="209550"/>
          <wp:effectExtent l="0" t="0" r="0" b="0"/>
          <wp:docPr id="879209300" name="图片 1" desc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9209300" name="图片 1" descr="B"/>
                  <pic:cNvPicPr>
                    <a:picLocks noChangeAspect="1" noChangeArrowheads="1"/>
                  </pic:cNvPicPr>
                </pic:nvPicPr>
                <pic:blipFill>
                  <a:blip r:embed="rId1">
                    <a:extLst>
                      <a:ext uri="{28A0092B-C50C-407E-A947-70E740481C1C}">
                        <a14:useLocalDpi xmlns:a14="http://schemas.microsoft.com/office/drawing/2010/main" val="0"/>
                      </a:ext>
                    </a:extLst>
                  </a:blip>
                  <a:srcRect l="9375" t="29762" r="12500" b="32143"/>
                  <a:stretch>
                    <a:fillRect/>
                  </a:stretch>
                </pic:blipFill>
                <pic:spPr>
                  <a:xfrm>
                    <a:off x="0" y="0"/>
                    <a:ext cx="495300" cy="209550"/>
                  </a:xfrm>
                  <a:prstGeom prst="rect">
                    <a:avLst/>
                  </a:prstGeom>
                  <a:noFill/>
                  <a:ln>
                    <a:noFill/>
                  </a:ln>
                </pic:spPr>
              </pic:pic>
            </a:graphicData>
          </a:graphic>
        </wp:inline>
      </w:drawing>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3135F6">
    <w:pPr>
      <w:pBdr>
        <w:bottom w:val="single" w:color="auto" w:sz="4" w:space="1"/>
      </w:pBdr>
      <w:tabs>
        <w:tab w:val="center" w:pos="4153"/>
        <w:tab w:val="right" w:pos="8306"/>
      </w:tabs>
      <w:snapToGrid w:val="0"/>
      <w:spacing w:line="240" w:lineRule="auto"/>
      <w:ind w:firstLine="0" w:firstLineChars="0"/>
      <w:jc w:val="center"/>
      <w:rPr>
        <w:rFonts w:hint="eastAsia"/>
        <w:sz w:val="18"/>
        <w:szCs w:val="18"/>
      </w:rPr>
    </w:pPr>
    <w:r>
      <w:rPr>
        <w:rFonts w:hint="eastAsia" w:ascii="Songti SC" w:hAnsi="Songti SC" w:eastAsia="Songti SC" w:cs="Songti SC"/>
        <w:sz w:val="18"/>
        <w:szCs w:val="18"/>
      </w:rPr>
      <w:t>食堂消费系统升级改造项目实施方案</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F6F6527"/>
    <w:multiLevelType w:val="singleLevel"/>
    <w:tmpl w:val="EF6F6527"/>
    <w:lvl w:ilvl="0" w:tentative="0">
      <w:start w:val="1"/>
      <w:numFmt w:val="bullet"/>
      <w:pStyle w:val="16"/>
      <w:lvlText w:val=""/>
      <w:lvlJc w:val="left"/>
      <w:pPr>
        <w:tabs>
          <w:tab w:val="left" w:pos="360"/>
        </w:tabs>
        <w:ind w:left="360" w:hanging="360"/>
      </w:pPr>
      <w:rPr>
        <w:rFonts w:hint="default" w:ascii="宋体" w:hAnsi="宋体" w:eastAsia="宋体" w:cs="宋体"/>
      </w:rPr>
    </w:lvl>
  </w:abstractNum>
  <w:abstractNum w:abstractNumId="1">
    <w:nsid w:val="FFAE6895"/>
    <w:multiLevelType w:val="multilevel"/>
    <w:tmpl w:val="FFAE6895"/>
    <w:lvl w:ilvl="0" w:tentative="0">
      <w:start w:val="1"/>
      <w:numFmt w:val="decimal"/>
      <w:pStyle w:val="2"/>
      <w:lvlText w:val="第%1章"/>
      <w:lvlJc w:val="left"/>
      <w:pPr>
        <w:ind w:left="0" w:firstLine="0"/>
      </w:pPr>
    </w:lvl>
    <w:lvl w:ilvl="1" w:tentative="0">
      <w:start w:val="1"/>
      <w:numFmt w:val="decimal"/>
      <w:pStyle w:val="3"/>
      <w:lvlText w:val="%1.%2"/>
      <w:lvlJc w:val="left"/>
      <w:pPr>
        <w:ind w:left="0" w:firstLine="0"/>
      </w:pPr>
    </w:lvl>
    <w:lvl w:ilvl="2" w:tentative="0">
      <w:start w:val="1"/>
      <w:numFmt w:val="decimal"/>
      <w:pStyle w:val="4"/>
      <w:lvlText w:val="%1.%2.%3"/>
      <w:lvlJc w:val="left"/>
      <w:pPr>
        <w:ind w:left="0" w:firstLine="0"/>
      </w:pPr>
    </w:lvl>
    <w:lvl w:ilvl="3" w:tentative="0">
      <w:start w:val="1"/>
      <w:numFmt w:val="decimal"/>
      <w:pStyle w:val="5"/>
      <w:lvlText w:val="%1.%2.%3.%4"/>
      <w:lvlJc w:val="left"/>
      <w:pPr>
        <w:ind w:left="0" w:firstLine="0"/>
      </w:pPr>
    </w:lvl>
    <w:lvl w:ilvl="4" w:tentative="0">
      <w:start w:val="1"/>
      <w:numFmt w:val="decimal"/>
      <w:pStyle w:val="6"/>
      <w:lvlText w:val="%1.%2.%3.%4.%5"/>
      <w:lvlJc w:val="left"/>
      <w:pPr>
        <w:ind w:left="0" w:firstLine="0"/>
      </w:pPr>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2">
    <w:nsid w:val="FFFFFF7E"/>
    <w:multiLevelType w:val="singleLevel"/>
    <w:tmpl w:val="FFFFFF7E"/>
    <w:lvl w:ilvl="0" w:tentative="0">
      <w:start w:val="1"/>
      <w:numFmt w:val="decimal"/>
      <w:pStyle w:val="24"/>
      <w:lvlText w:val="%1."/>
      <w:lvlJc w:val="left"/>
      <w:pPr>
        <w:tabs>
          <w:tab w:val="left" w:pos="1200"/>
        </w:tabs>
        <w:ind w:left="1200" w:hanging="360"/>
      </w:pPr>
    </w:lvl>
  </w:abstractNum>
  <w:abstractNum w:abstractNumId="3">
    <w:nsid w:val="FFFFFF83"/>
    <w:multiLevelType w:val="singleLevel"/>
    <w:tmpl w:val="FFFFFF83"/>
    <w:lvl w:ilvl="0" w:tentative="0">
      <w:start w:val="1"/>
      <w:numFmt w:val="bullet"/>
      <w:pStyle w:val="26"/>
      <w:lvlText w:val=""/>
      <w:lvlJc w:val="left"/>
      <w:pPr>
        <w:tabs>
          <w:tab w:val="left" w:pos="780"/>
        </w:tabs>
        <w:ind w:left="780" w:leftChars="200" w:hanging="360" w:hangingChars="200"/>
      </w:pPr>
      <w:rPr>
        <w:rFonts w:hint="default" w:ascii="宋体" w:hAnsi="宋体" w:eastAsia="宋体" w:cs="宋体"/>
      </w:rPr>
    </w:lvl>
  </w:abstractNum>
  <w:abstractNum w:abstractNumId="4">
    <w:nsid w:val="FFFFFF88"/>
    <w:multiLevelType w:val="singleLevel"/>
    <w:tmpl w:val="FFFFFF88"/>
    <w:lvl w:ilvl="0" w:tentative="0">
      <w:start w:val="1"/>
      <w:numFmt w:val="decimal"/>
      <w:pStyle w:val="413"/>
      <w:lvlText w:val="第%1章"/>
      <w:lvlJc w:val="left"/>
      <w:pPr>
        <w:tabs>
          <w:tab w:val="left" w:pos="360"/>
        </w:tabs>
        <w:ind w:left="360" w:hanging="360"/>
      </w:pPr>
      <w:rPr>
        <w:rFonts w:hint="eastAsia" w:ascii="宋体" w:hAnsi="宋体" w:eastAsia="宋体" w:cs="宋体"/>
        <w:b/>
        <w:sz w:val="44"/>
        <w:szCs w:val="44"/>
      </w:rPr>
    </w:lvl>
  </w:abstractNum>
  <w:abstractNum w:abstractNumId="5">
    <w:nsid w:val="FFFFFFFB"/>
    <w:multiLevelType w:val="multilevel"/>
    <w:tmpl w:val="FFFFFFFB"/>
    <w:lvl w:ilvl="0" w:tentative="0">
      <w:start w:val="1"/>
      <w:numFmt w:val="none"/>
      <w:pStyle w:val="410"/>
      <w:suff w:val="nothing"/>
      <w:lvlText w:val=""/>
      <w:lvlJc w:val="left"/>
      <w:pPr>
        <w:ind w:left="425" w:hanging="425"/>
      </w:pPr>
    </w:lvl>
    <w:lvl w:ilvl="1" w:tentative="0">
      <w:start w:val="1"/>
      <w:numFmt w:val="decimal"/>
      <w:lvlText w:val="%2 "/>
      <w:legacy w:legacy="1" w:legacySpace="0" w:legacyIndent="0"/>
      <w:lvlJc w:val="left"/>
    </w:lvl>
    <w:lvl w:ilvl="2" w:tentative="0">
      <w:start w:val="1"/>
      <w:numFmt w:val="decimal"/>
      <w:lvlText w:val="%2 .%3"/>
      <w:legacy w:legacy="1" w:legacySpace="0" w:legacyIndent="0"/>
      <w:lvlJc w:val="left"/>
    </w:lvl>
    <w:lvl w:ilvl="3" w:tentative="0">
      <w:start w:val="1"/>
      <w:numFmt w:val="decimal"/>
      <w:lvlText w:val="%2 .%3.%4"/>
      <w:legacy w:legacy="1" w:legacySpace="0" w:legacyIndent="0"/>
      <w:lvlJc w:val="left"/>
    </w:lvl>
    <w:lvl w:ilvl="4" w:tentative="0">
      <w:start w:val="1"/>
      <w:numFmt w:val="decimal"/>
      <w:lvlText w:val="(%5)"/>
      <w:legacy w:legacy="1" w:legacySpace="0" w:legacyIndent="0"/>
      <w:lvlJc w:val="left"/>
      <w:pPr>
        <w:ind w:left="0" w:firstLine="0"/>
      </w:pPr>
      <w:rPr>
        <w:rFonts w:hint="eastAsia" w:ascii="宋体" w:hAnsi="宋体" w:eastAsia="宋体" w:cs="宋体"/>
        <w:b w:val="0"/>
        <w:i w:val="0"/>
        <w:sz w:val="24"/>
      </w:rPr>
    </w:lvl>
    <w:lvl w:ilvl="5" w:tentative="0">
      <w:start w:val="1"/>
      <w:numFmt w:val="lowerLetter"/>
      <w:lvlText w:val="%6."/>
      <w:legacy w:legacy="1" w:legacySpace="0" w:legacyIndent="0"/>
      <w:lvlJc w:val="left"/>
      <w:pPr>
        <w:ind w:left="0" w:firstLine="0"/>
      </w:pPr>
    </w:lvl>
    <w:lvl w:ilvl="6" w:tentative="0">
      <w:start w:val="1"/>
      <w:numFmt w:val="lowerRoman"/>
      <w:lvlText w:val="(%7)"/>
      <w:legacy w:legacy="1" w:legacySpace="0" w:legacyIndent="425"/>
      <w:lvlJc w:val="left"/>
      <w:pPr>
        <w:ind w:left="850" w:hanging="425"/>
      </w:pPr>
    </w:lvl>
    <w:lvl w:ilvl="7" w:tentative="0">
      <w:start w:val="1"/>
      <w:numFmt w:val="lowerLetter"/>
      <w:lvlText w:val="(%8)"/>
      <w:legacy w:legacy="1" w:legacySpace="0" w:legacyIndent="425"/>
      <w:lvlJc w:val="left"/>
      <w:pPr>
        <w:ind w:left="1275" w:hanging="425"/>
      </w:pPr>
    </w:lvl>
    <w:lvl w:ilvl="8" w:tentative="0">
      <w:start w:val="1"/>
      <w:numFmt w:val="lowerRoman"/>
      <w:lvlText w:val="(%9)"/>
      <w:legacy w:legacy="1" w:legacySpace="0" w:legacyIndent="425"/>
      <w:lvlJc w:val="left"/>
      <w:pPr>
        <w:ind w:left="1700" w:hanging="425"/>
      </w:pPr>
    </w:lvl>
  </w:abstractNum>
  <w:abstractNum w:abstractNumId="6">
    <w:nsid w:val="061746A5"/>
    <w:multiLevelType w:val="multilevel"/>
    <w:tmpl w:val="061746A5"/>
    <w:lvl w:ilvl="0" w:tentative="0">
      <w:start w:val="1"/>
      <w:numFmt w:val="chineseCountingThousand"/>
      <w:pStyle w:val="468"/>
      <w:lvlText w:val="%1、"/>
      <w:lvlJc w:val="left"/>
      <w:pPr>
        <w:tabs>
          <w:tab w:val="left" w:pos="420"/>
        </w:tabs>
        <w:ind w:left="420" w:hanging="420"/>
      </w:pPr>
      <w:rPr>
        <w:lang w:val="en-US"/>
      </w:rPr>
    </w:lvl>
    <w:lvl w:ilvl="1" w:tentative="0">
      <w:start w:val="1"/>
      <w:numFmt w:val="lowerLetter"/>
      <w:lvlText w:val="%2)"/>
      <w:lvlJc w:val="left"/>
      <w:pPr>
        <w:tabs>
          <w:tab w:val="left" w:pos="840"/>
        </w:tabs>
        <w:ind w:left="840" w:hanging="420"/>
      </w:pPr>
    </w:lvl>
    <w:lvl w:ilvl="2" w:tentative="0">
      <w:start w:val="1"/>
      <w:numFmt w:val="decimal"/>
      <w:lvlText w:val="%3、"/>
      <w:lvlJc w:val="left"/>
      <w:pPr>
        <w:tabs>
          <w:tab w:val="left" w:pos="1200"/>
        </w:tabs>
        <w:ind w:left="1200" w:hanging="360"/>
      </w:pPr>
      <w:rPr>
        <w:rFonts w:hint="default" w:ascii="宋体" w:hAnsi="宋体" w:eastAsia="宋体" w:cs="宋体"/>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7">
    <w:nsid w:val="079102AD"/>
    <w:multiLevelType w:val="multilevel"/>
    <w:tmpl w:val="079102AD"/>
    <w:lvl w:ilvl="0" w:tentative="0">
      <w:start w:val="1"/>
      <w:numFmt w:val="decimal"/>
      <w:pStyle w:val="231"/>
      <w:suff w:val="nothing"/>
      <w:lvlText w:val="注%1："/>
      <w:lvlJc w:val="left"/>
      <w:pPr>
        <w:ind w:left="811" w:hanging="448"/>
      </w:pPr>
      <w:rPr>
        <w:rFonts w:hint="eastAsia" w:ascii="宋体" w:hAnsi="宋体" w:eastAsia="宋体" w:cs="宋体"/>
        <w:b w:val="0"/>
        <w:i w:val="0"/>
        <w:sz w:val="18"/>
        <w:lang w:val="en-US"/>
      </w:rPr>
    </w:lvl>
    <w:lvl w:ilvl="1" w:tentative="0">
      <w:start w:val="1"/>
      <w:numFmt w:val="lowerLetter"/>
      <w:lvlText w:val="%2)"/>
      <w:lvlJc w:val="left"/>
      <w:pPr>
        <w:tabs>
          <w:tab w:val="left" w:pos="0"/>
        </w:tabs>
        <w:ind w:left="992" w:hanging="629"/>
      </w:pPr>
      <w:rPr>
        <w:rFonts w:hint="eastAsia" w:ascii="宋体" w:hAnsi="宋体" w:eastAsia="宋体" w:cs="宋体"/>
      </w:rPr>
    </w:lvl>
    <w:lvl w:ilvl="2" w:tentative="0">
      <w:start w:val="1"/>
      <w:numFmt w:val="lowerRoman"/>
      <w:lvlText w:val="%3."/>
      <w:lvlJc w:val="right"/>
      <w:pPr>
        <w:tabs>
          <w:tab w:val="left" w:pos="0"/>
        </w:tabs>
        <w:ind w:left="992" w:hanging="629"/>
      </w:pPr>
      <w:rPr>
        <w:rFonts w:hint="eastAsia" w:ascii="宋体" w:hAnsi="宋体" w:eastAsia="宋体" w:cs="宋体"/>
      </w:rPr>
    </w:lvl>
    <w:lvl w:ilvl="3" w:tentative="0">
      <w:start w:val="1"/>
      <w:numFmt w:val="decimal"/>
      <w:lvlText w:val="%4."/>
      <w:lvlJc w:val="left"/>
      <w:pPr>
        <w:tabs>
          <w:tab w:val="left" w:pos="0"/>
        </w:tabs>
        <w:ind w:left="992" w:hanging="629"/>
      </w:pPr>
      <w:rPr>
        <w:rFonts w:hint="eastAsia" w:ascii="宋体" w:hAnsi="宋体" w:eastAsia="宋体" w:cs="宋体"/>
      </w:rPr>
    </w:lvl>
    <w:lvl w:ilvl="4" w:tentative="0">
      <w:start w:val="1"/>
      <w:numFmt w:val="lowerLetter"/>
      <w:lvlText w:val="%5)"/>
      <w:lvlJc w:val="left"/>
      <w:pPr>
        <w:tabs>
          <w:tab w:val="left" w:pos="0"/>
        </w:tabs>
        <w:ind w:left="992" w:hanging="629"/>
      </w:pPr>
      <w:rPr>
        <w:rFonts w:hint="eastAsia" w:ascii="宋体" w:hAnsi="宋体" w:eastAsia="宋体" w:cs="宋体"/>
      </w:rPr>
    </w:lvl>
    <w:lvl w:ilvl="5" w:tentative="0">
      <w:start w:val="1"/>
      <w:numFmt w:val="lowerRoman"/>
      <w:lvlText w:val="%6."/>
      <w:lvlJc w:val="right"/>
      <w:pPr>
        <w:tabs>
          <w:tab w:val="left" w:pos="0"/>
        </w:tabs>
        <w:ind w:left="992" w:hanging="629"/>
      </w:pPr>
      <w:rPr>
        <w:rFonts w:hint="eastAsia" w:ascii="宋体" w:hAnsi="宋体" w:eastAsia="宋体" w:cs="宋体"/>
      </w:rPr>
    </w:lvl>
    <w:lvl w:ilvl="6" w:tentative="0">
      <w:start w:val="1"/>
      <w:numFmt w:val="decimal"/>
      <w:lvlText w:val="%7."/>
      <w:lvlJc w:val="left"/>
      <w:pPr>
        <w:tabs>
          <w:tab w:val="left" w:pos="0"/>
        </w:tabs>
        <w:ind w:left="992" w:hanging="629"/>
      </w:pPr>
      <w:rPr>
        <w:rFonts w:hint="eastAsia" w:ascii="宋体" w:hAnsi="宋体" w:eastAsia="宋体" w:cs="宋体"/>
      </w:rPr>
    </w:lvl>
    <w:lvl w:ilvl="7" w:tentative="0">
      <w:start w:val="1"/>
      <w:numFmt w:val="lowerLetter"/>
      <w:lvlText w:val="%8)"/>
      <w:lvlJc w:val="left"/>
      <w:pPr>
        <w:tabs>
          <w:tab w:val="left" w:pos="0"/>
        </w:tabs>
        <w:ind w:left="992" w:hanging="629"/>
      </w:pPr>
      <w:rPr>
        <w:rFonts w:hint="eastAsia" w:ascii="宋体" w:hAnsi="宋体" w:eastAsia="宋体" w:cs="宋体"/>
      </w:rPr>
    </w:lvl>
    <w:lvl w:ilvl="8" w:tentative="0">
      <w:start w:val="1"/>
      <w:numFmt w:val="lowerRoman"/>
      <w:lvlText w:val="%9."/>
      <w:lvlJc w:val="right"/>
      <w:pPr>
        <w:tabs>
          <w:tab w:val="left" w:pos="0"/>
        </w:tabs>
        <w:ind w:left="992" w:hanging="629"/>
      </w:pPr>
      <w:rPr>
        <w:rFonts w:hint="eastAsia" w:ascii="宋体" w:hAnsi="宋体" w:eastAsia="宋体" w:cs="宋体"/>
      </w:rPr>
    </w:lvl>
  </w:abstractNum>
  <w:abstractNum w:abstractNumId="8">
    <w:nsid w:val="166E2401"/>
    <w:multiLevelType w:val="multilevel"/>
    <w:tmpl w:val="166E2401"/>
    <w:lvl w:ilvl="0" w:tentative="0">
      <w:start w:val="0"/>
      <w:numFmt w:val="bullet"/>
      <w:pStyle w:val="551"/>
      <w:lvlText w:val=""/>
      <w:lvlJc w:val="left"/>
      <w:pPr>
        <w:tabs>
          <w:tab w:val="left" w:pos="1588"/>
        </w:tabs>
        <w:ind w:left="1588" w:hanging="397"/>
      </w:pPr>
      <w:rPr>
        <w:rFonts w:hint="default" w:ascii="宋体" w:hAnsi="宋体" w:eastAsia="宋体" w:cs="宋体"/>
        <w:sz w:val="15"/>
        <w:szCs w:val="15"/>
      </w:rPr>
    </w:lvl>
    <w:lvl w:ilvl="1" w:tentative="0">
      <w:start w:val="1"/>
      <w:numFmt w:val="bullet"/>
      <w:lvlText w:val=""/>
      <w:lvlJc w:val="left"/>
      <w:pPr>
        <w:tabs>
          <w:tab w:val="left" w:pos="840"/>
        </w:tabs>
        <w:ind w:left="840" w:hanging="420"/>
      </w:pPr>
      <w:rPr>
        <w:rFonts w:hint="default" w:ascii="宋体" w:hAnsi="宋体" w:eastAsia="宋体" w:cs="宋体"/>
      </w:rPr>
    </w:lvl>
    <w:lvl w:ilvl="2" w:tentative="0">
      <w:start w:val="1"/>
      <w:numFmt w:val="bullet"/>
      <w:lvlText w:val=""/>
      <w:lvlJc w:val="left"/>
      <w:pPr>
        <w:tabs>
          <w:tab w:val="left" w:pos="1260"/>
        </w:tabs>
        <w:ind w:left="1260" w:hanging="420"/>
      </w:pPr>
      <w:rPr>
        <w:rFonts w:hint="default" w:ascii="宋体" w:hAnsi="宋体" w:eastAsia="宋体" w:cs="宋体"/>
      </w:rPr>
    </w:lvl>
    <w:lvl w:ilvl="3" w:tentative="0">
      <w:start w:val="1"/>
      <w:numFmt w:val="bullet"/>
      <w:lvlText w:val=""/>
      <w:lvlJc w:val="left"/>
      <w:pPr>
        <w:tabs>
          <w:tab w:val="left" w:pos="1680"/>
        </w:tabs>
        <w:ind w:left="1680" w:hanging="420"/>
      </w:pPr>
      <w:rPr>
        <w:rFonts w:hint="default" w:ascii="宋体" w:hAnsi="宋体" w:eastAsia="宋体" w:cs="宋体"/>
      </w:rPr>
    </w:lvl>
    <w:lvl w:ilvl="4" w:tentative="0">
      <w:start w:val="1"/>
      <w:numFmt w:val="bullet"/>
      <w:lvlText w:val=""/>
      <w:lvlJc w:val="left"/>
      <w:pPr>
        <w:tabs>
          <w:tab w:val="left" w:pos="2100"/>
        </w:tabs>
        <w:ind w:left="2100" w:hanging="420"/>
      </w:pPr>
      <w:rPr>
        <w:rFonts w:hint="default" w:ascii="宋体" w:hAnsi="宋体" w:eastAsia="宋体" w:cs="宋体"/>
      </w:rPr>
    </w:lvl>
    <w:lvl w:ilvl="5" w:tentative="0">
      <w:start w:val="1"/>
      <w:numFmt w:val="bullet"/>
      <w:lvlText w:val=""/>
      <w:lvlJc w:val="left"/>
      <w:pPr>
        <w:tabs>
          <w:tab w:val="left" w:pos="2520"/>
        </w:tabs>
        <w:ind w:left="2520" w:hanging="420"/>
      </w:pPr>
      <w:rPr>
        <w:rFonts w:hint="default" w:ascii="宋体" w:hAnsi="宋体" w:eastAsia="宋体" w:cs="宋体"/>
      </w:rPr>
    </w:lvl>
    <w:lvl w:ilvl="6" w:tentative="0">
      <w:start w:val="1"/>
      <w:numFmt w:val="bullet"/>
      <w:lvlText w:val=""/>
      <w:lvlJc w:val="left"/>
      <w:pPr>
        <w:tabs>
          <w:tab w:val="left" w:pos="2940"/>
        </w:tabs>
        <w:ind w:left="2940" w:hanging="420"/>
      </w:pPr>
      <w:rPr>
        <w:rFonts w:hint="default" w:ascii="宋体" w:hAnsi="宋体" w:eastAsia="宋体" w:cs="宋体"/>
      </w:rPr>
    </w:lvl>
    <w:lvl w:ilvl="7" w:tentative="0">
      <w:start w:val="1"/>
      <w:numFmt w:val="bullet"/>
      <w:lvlText w:val=""/>
      <w:lvlJc w:val="left"/>
      <w:pPr>
        <w:tabs>
          <w:tab w:val="left" w:pos="3360"/>
        </w:tabs>
        <w:ind w:left="3360" w:hanging="420"/>
      </w:pPr>
      <w:rPr>
        <w:rFonts w:hint="default" w:ascii="宋体" w:hAnsi="宋体" w:eastAsia="宋体" w:cs="宋体"/>
      </w:rPr>
    </w:lvl>
    <w:lvl w:ilvl="8" w:tentative="0">
      <w:start w:val="1"/>
      <w:numFmt w:val="bullet"/>
      <w:lvlText w:val=""/>
      <w:lvlJc w:val="left"/>
      <w:pPr>
        <w:tabs>
          <w:tab w:val="left" w:pos="3780"/>
        </w:tabs>
        <w:ind w:left="3780" w:hanging="420"/>
      </w:pPr>
      <w:rPr>
        <w:rFonts w:hint="default" w:ascii="宋体" w:hAnsi="宋体" w:eastAsia="宋体" w:cs="宋体"/>
      </w:rPr>
    </w:lvl>
  </w:abstractNum>
  <w:abstractNum w:abstractNumId="9">
    <w:nsid w:val="1A335806"/>
    <w:multiLevelType w:val="multilevel"/>
    <w:tmpl w:val="1A335806"/>
    <w:lvl w:ilvl="0" w:tentative="0">
      <w:start w:val="1"/>
      <w:numFmt w:val="decimal"/>
      <w:pStyle w:val="201"/>
      <w:lvlText w:val="%1"/>
      <w:lvlJc w:val="left"/>
      <w:pPr>
        <w:ind w:left="425" w:hanging="425"/>
      </w:pPr>
      <w:rPr>
        <w:rFonts w:hint="eastAsia" w:ascii="宋体" w:hAnsi="宋体" w:eastAsia="宋体" w:cs="宋体"/>
      </w:rPr>
    </w:lvl>
    <w:lvl w:ilvl="1" w:tentative="0">
      <w:start w:val="1"/>
      <w:numFmt w:val="decimal"/>
      <w:lvlText w:val="%1.%2"/>
      <w:lvlJc w:val="left"/>
      <w:pPr>
        <w:ind w:left="1418" w:hanging="567"/>
      </w:pPr>
      <w:rPr>
        <w:rFonts w:hint="eastAsia" w:ascii="宋体" w:hAnsi="宋体" w:eastAsia="宋体" w:cs="宋体"/>
      </w:rPr>
    </w:lvl>
    <w:lvl w:ilvl="2" w:tentative="0">
      <w:start w:val="1"/>
      <w:numFmt w:val="decimal"/>
      <w:lvlText w:val="%3."/>
      <w:lvlJc w:val="left"/>
      <w:pPr>
        <w:ind w:left="1985" w:hanging="567"/>
      </w:pPr>
      <w:rPr>
        <w:rFonts w:hint="eastAsia" w:ascii="宋体" w:hAnsi="宋体" w:eastAsia="宋体" w:cs="宋体"/>
      </w:rPr>
    </w:lvl>
    <w:lvl w:ilvl="3" w:tentative="0">
      <w:start w:val="1"/>
      <w:numFmt w:val="decimal"/>
      <w:lvlText w:val="%4)"/>
      <w:lvlJc w:val="left"/>
      <w:pPr>
        <w:ind w:left="1984" w:hanging="708"/>
      </w:pPr>
      <w:rPr>
        <w:rFonts w:hint="eastAsia" w:ascii="宋体" w:hAnsi="宋体" w:eastAsia="宋体" w:cs="宋体"/>
      </w:rPr>
    </w:lvl>
    <w:lvl w:ilvl="4" w:tentative="0">
      <w:start w:val="1"/>
      <w:numFmt w:val="decimal"/>
      <w:lvlText w:val="%1.%2.%3.%4.%5"/>
      <w:lvlJc w:val="left"/>
      <w:pPr>
        <w:ind w:left="2551" w:hanging="850"/>
      </w:pPr>
      <w:rPr>
        <w:rFonts w:hint="eastAsia" w:ascii="宋体" w:hAnsi="宋体" w:eastAsia="宋体" w:cs="宋体"/>
      </w:rPr>
    </w:lvl>
    <w:lvl w:ilvl="5" w:tentative="0">
      <w:start w:val="1"/>
      <w:numFmt w:val="decimal"/>
      <w:lvlText w:val="%1.%2.%3.%4.%5.%6"/>
      <w:lvlJc w:val="left"/>
      <w:pPr>
        <w:ind w:left="3260" w:hanging="1134"/>
      </w:pPr>
      <w:rPr>
        <w:rFonts w:hint="eastAsia" w:ascii="宋体" w:hAnsi="宋体" w:eastAsia="宋体" w:cs="宋体"/>
      </w:rPr>
    </w:lvl>
    <w:lvl w:ilvl="6" w:tentative="0">
      <w:start w:val="1"/>
      <w:numFmt w:val="decimal"/>
      <w:lvlText w:val="%1.%2.%3.%4.%5.%6.%7"/>
      <w:lvlJc w:val="left"/>
      <w:pPr>
        <w:ind w:left="3827" w:hanging="1276"/>
      </w:pPr>
      <w:rPr>
        <w:rFonts w:hint="eastAsia" w:ascii="宋体" w:hAnsi="宋体" w:eastAsia="宋体" w:cs="宋体"/>
      </w:rPr>
    </w:lvl>
    <w:lvl w:ilvl="7" w:tentative="0">
      <w:start w:val="1"/>
      <w:numFmt w:val="decimal"/>
      <w:lvlText w:val="%1.%2.%3.%4.%5.%6.%7.%8"/>
      <w:lvlJc w:val="left"/>
      <w:pPr>
        <w:ind w:left="4394" w:hanging="1418"/>
      </w:pPr>
      <w:rPr>
        <w:rFonts w:hint="eastAsia" w:ascii="宋体" w:hAnsi="宋体" w:eastAsia="宋体" w:cs="宋体"/>
      </w:rPr>
    </w:lvl>
    <w:lvl w:ilvl="8" w:tentative="0">
      <w:start w:val="1"/>
      <w:numFmt w:val="decimal"/>
      <w:lvlText w:val="%1.%2.%3.%4.%5.%6.%7.%8.%9"/>
      <w:lvlJc w:val="left"/>
      <w:pPr>
        <w:ind w:left="5102" w:hanging="1700"/>
      </w:pPr>
      <w:rPr>
        <w:rFonts w:hint="eastAsia" w:ascii="宋体" w:hAnsi="宋体" w:eastAsia="宋体" w:cs="宋体"/>
      </w:rPr>
    </w:lvl>
  </w:abstractNum>
  <w:abstractNum w:abstractNumId="10">
    <w:nsid w:val="1D3941E3"/>
    <w:multiLevelType w:val="multilevel"/>
    <w:tmpl w:val="1D3941E3"/>
    <w:lvl w:ilvl="0" w:tentative="0">
      <w:start w:val="1"/>
      <w:numFmt w:val="decimal"/>
      <w:pStyle w:val="385"/>
      <w:lvlText w:val="%1"/>
      <w:lvlJc w:val="left"/>
      <w:pPr>
        <w:tabs>
          <w:tab w:val="left" w:pos="425"/>
        </w:tabs>
        <w:ind w:left="425" w:hanging="425"/>
      </w:pPr>
      <w:rPr>
        <w:rFonts w:hint="eastAsia" w:ascii="宋体" w:hAnsi="宋体" w:eastAsia="宋体" w:cs="宋体"/>
      </w:rPr>
    </w:lvl>
    <w:lvl w:ilvl="1" w:tentative="0">
      <w:start w:val="2"/>
      <w:numFmt w:val="decimal"/>
      <w:lvlText w:val="%1.%2"/>
      <w:lvlJc w:val="left"/>
      <w:pPr>
        <w:tabs>
          <w:tab w:val="left" w:pos="992"/>
        </w:tabs>
        <w:ind w:left="992" w:hanging="567"/>
      </w:pPr>
      <w:rPr>
        <w:rFonts w:hint="eastAsia" w:ascii="宋体" w:hAnsi="宋体" w:eastAsia="宋体" w:cs="宋体"/>
      </w:rPr>
    </w:lvl>
    <w:lvl w:ilvl="2" w:tentative="0">
      <w:start w:val="3"/>
      <w:numFmt w:val="decimal"/>
      <w:lvlText w:val="%1.%2.%3"/>
      <w:lvlJc w:val="left"/>
      <w:pPr>
        <w:tabs>
          <w:tab w:val="left" w:pos="1418"/>
        </w:tabs>
        <w:ind w:left="1418" w:hanging="567"/>
      </w:pPr>
      <w:rPr>
        <w:rFonts w:hint="eastAsia" w:ascii="宋体" w:hAnsi="宋体" w:eastAsia="宋体" w:cs="宋体"/>
      </w:rPr>
    </w:lvl>
    <w:lvl w:ilvl="3" w:tentative="0">
      <w:start w:val="1"/>
      <w:numFmt w:val="decimal"/>
      <w:lvlText w:val="%1.%2.3.%4"/>
      <w:lvlJc w:val="left"/>
      <w:pPr>
        <w:tabs>
          <w:tab w:val="left" w:pos="567"/>
        </w:tabs>
        <w:ind w:left="0" w:firstLine="0"/>
      </w:pPr>
      <w:rPr>
        <w:rFonts w:hint="eastAsia" w:ascii="宋体" w:hAnsi="宋体" w:eastAsia="宋体" w:cs="宋体"/>
      </w:rPr>
    </w:lvl>
    <w:lvl w:ilvl="4" w:tentative="0">
      <w:start w:val="1"/>
      <w:numFmt w:val="decimal"/>
      <w:lvlText w:val="%1.%2.%3.%4.%5"/>
      <w:lvlJc w:val="left"/>
      <w:pPr>
        <w:tabs>
          <w:tab w:val="left" w:pos="2551"/>
        </w:tabs>
        <w:ind w:left="2551" w:hanging="850"/>
      </w:pPr>
      <w:rPr>
        <w:rFonts w:hint="eastAsia" w:ascii="宋体" w:hAnsi="宋体" w:eastAsia="宋体" w:cs="宋体"/>
      </w:rPr>
    </w:lvl>
    <w:lvl w:ilvl="5" w:tentative="0">
      <w:start w:val="1"/>
      <w:numFmt w:val="decimal"/>
      <w:lvlText w:val="%1.%2.%3.%4.%5.%6"/>
      <w:lvlJc w:val="left"/>
      <w:pPr>
        <w:tabs>
          <w:tab w:val="left" w:pos="3260"/>
        </w:tabs>
        <w:ind w:left="3260" w:hanging="1134"/>
      </w:pPr>
      <w:rPr>
        <w:rFonts w:hint="eastAsia" w:ascii="宋体" w:hAnsi="宋体" w:eastAsia="宋体" w:cs="宋体"/>
      </w:rPr>
    </w:lvl>
    <w:lvl w:ilvl="6" w:tentative="0">
      <w:start w:val="1"/>
      <w:numFmt w:val="decimal"/>
      <w:lvlText w:val="%1.%2.%3.%4.%5.%6.%7"/>
      <w:lvlJc w:val="left"/>
      <w:pPr>
        <w:tabs>
          <w:tab w:val="left" w:pos="3827"/>
        </w:tabs>
        <w:ind w:left="3827" w:hanging="1276"/>
      </w:pPr>
      <w:rPr>
        <w:rFonts w:hint="eastAsia" w:ascii="宋体" w:hAnsi="宋体" w:eastAsia="宋体" w:cs="宋体"/>
      </w:rPr>
    </w:lvl>
    <w:lvl w:ilvl="7" w:tentative="0">
      <w:start w:val="1"/>
      <w:numFmt w:val="decimal"/>
      <w:lvlText w:val="%1.%2.%3.%4.%5.%6.%7.%8"/>
      <w:lvlJc w:val="left"/>
      <w:pPr>
        <w:tabs>
          <w:tab w:val="left" w:pos="4394"/>
        </w:tabs>
        <w:ind w:left="4394" w:hanging="1418"/>
      </w:pPr>
      <w:rPr>
        <w:rFonts w:hint="eastAsia" w:ascii="宋体" w:hAnsi="宋体" w:eastAsia="宋体" w:cs="宋体"/>
      </w:rPr>
    </w:lvl>
    <w:lvl w:ilvl="8" w:tentative="0">
      <w:start w:val="1"/>
      <w:numFmt w:val="decimal"/>
      <w:lvlText w:val="%1.%2.%3.%4.%5.%6.%7.%8.%9"/>
      <w:lvlJc w:val="left"/>
      <w:pPr>
        <w:tabs>
          <w:tab w:val="left" w:pos="5102"/>
        </w:tabs>
        <w:ind w:left="5102" w:hanging="1700"/>
      </w:pPr>
      <w:rPr>
        <w:rFonts w:hint="eastAsia" w:ascii="宋体" w:hAnsi="宋体" w:eastAsia="宋体" w:cs="宋体"/>
      </w:rPr>
    </w:lvl>
  </w:abstractNum>
  <w:abstractNum w:abstractNumId="11">
    <w:nsid w:val="1D5755D3"/>
    <w:multiLevelType w:val="multilevel"/>
    <w:tmpl w:val="1D5755D3"/>
    <w:lvl w:ilvl="0" w:tentative="0">
      <w:start w:val="1"/>
      <w:numFmt w:val="bullet"/>
      <w:pStyle w:val="119"/>
      <w:lvlText w:val=""/>
      <w:lvlJc w:val="left"/>
      <w:pPr>
        <w:tabs>
          <w:tab w:val="left" w:pos="0"/>
        </w:tabs>
        <w:ind w:left="0" w:hanging="425"/>
      </w:pPr>
      <w:rPr>
        <w:rFonts w:hint="default" w:ascii="宋体" w:hAnsi="宋体" w:eastAsia="宋体" w:cs="宋体"/>
        <w:b w:val="0"/>
        <w:bCs w:val="0"/>
        <w:i w:val="0"/>
        <w:iCs w:val="0"/>
        <w:caps w:val="0"/>
        <w:strike w:val="0"/>
        <w:dstrike w:val="0"/>
        <w:vanish w:val="0"/>
        <w:color w:val="000000"/>
        <w:spacing w:val="0"/>
        <w:w w:val="100"/>
        <w:position w:val="2"/>
        <w:sz w:val="16"/>
        <w:szCs w:val="16"/>
        <w:u w:val="none"/>
        <w:vertAlign w:val="baseline"/>
        <w14:shadow w14:blurRad="0" w14:dist="0" w14:dir="0" w14:sx="0" w14:sy="0" w14:kx="0" w14:ky="0" w14:algn="none">
          <w14:srgbClr w14:val="000000"/>
        </w14:shadow>
      </w:rPr>
    </w:lvl>
    <w:lvl w:ilvl="1" w:tentative="0">
      <w:start w:val="1"/>
      <w:numFmt w:val="bullet"/>
      <w:lvlText w:val=""/>
      <w:lvlJc w:val="left"/>
      <w:pPr>
        <w:tabs>
          <w:tab w:val="left" w:pos="-1286"/>
        </w:tabs>
        <w:ind w:left="-1286" w:hanging="420"/>
      </w:pPr>
      <w:rPr>
        <w:rFonts w:hint="default" w:ascii="宋体" w:hAnsi="宋体" w:eastAsia="宋体" w:cs="宋体"/>
      </w:rPr>
    </w:lvl>
    <w:lvl w:ilvl="2" w:tentative="0">
      <w:start w:val="1"/>
      <w:numFmt w:val="bullet"/>
      <w:lvlText w:val=""/>
      <w:lvlJc w:val="left"/>
      <w:pPr>
        <w:tabs>
          <w:tab w:val="left" w:pos="-866"/>
        </w:tabs>
        <w:ind w:left="-866" w:hanging="420"/>
      </w:pPr>
      <w:rPr>
        <w:rFonts w:hint="default" w:ascii="宋体" w:hAnsi="宋体" w:eastAsia="宋体" w:cs="宋体"/>
      </w:rPr>
    </w:lvl>
    <w:lvl w:ilvl="3" w:tentative="0">
      <w:start w:val="1"/>
      <w:numFmt w:val="bullet"/>
      <w:lvlText w:val=""/>
      <w:lvlJc w:val="left"/>
      <w:pPr>
        <w:tabs>
          <w:tab w:val="left" w:pos="-446"/>
        </w:tabs>
        <w:ind w:left="-446" w:hanging="420"/>
      </w:pPr>
      <w:rPr>
        <w:rFonts w:hint="default" w:ascii="宋体" w:hAnsi="宋体" w:eastAsia="宋体" w:cs="宋体"/>
      </w:rPr>
    </w:lvl>
    <w:lvl w:ilvl="4" w:tentative="0">
      <w:start w:val="1"/>
      <w:numFmt w:val="bullet"/>
      <w:lvlText w:val=""/>
      <w:lvlJc w:val="left"/>
      <w:pPr>
        <w:tabs>
          <w:tab w:val="left" w:pos="-26"/>
        </w:tabs>
        <w:ind w:left="-26" w:hanging="420"/>
      </w:pPr>
      <w:rPr>
        <w:rFonts w:hint="default" w:ascii="宋体" w:hAnsi="宋体" w:eastAsia="宋体" w:cs="宋体"/>
      </w:rPr>
    </w:lvl>
    <w:lvl w:ilvl="5" w:tentative="0">
      <w:start w:val="1"/>
      <w:numFmt w:val="bullet"/>
      <w:lvlText w:val=""/>
      <w:lvlJc w:val="left"/>
      <w:pPr>
        <w:tabs>
          <w:tab w:val="left" w:pos="394"/>
        </w:tabs>
        <w:ind w:left="394" w:hanging="420"/>
      </w:pPr>
      <w:rPr>
        <w:rFonts w:hint="default" w:ascii="宋体" w:hAnsi="宋体" w:eastAsia="宋体" w:cs="宋体"/>
      </w:rPr>
    </w:lvl>
    <w:lvl w:ilvl="6" w:tentative="0">
      <w:start w:val="1"/>
      <w:numFmt w:val="bullet"/>
      <w:lvlText w:val=""/>
      <w:lvlJc w:val="left"/>
      <w:pPr>
        <w:tabs>
          <w:tab w:val="left" w:pos="814"/>
        </w:tabs>
        <w:ind w:left="814" w:hanging="420"/>
      </w:pPr>
      <w:rPr>
        <w:rFonts w:hint="default" w:ascii="宋体" w:hAnsi="宋体" w:eastAsia="宋体" w:cs="宋体"/>
      </w:rPr>
    </w:lvl>
    <w:lvl w:ilvl="7" w:tentative="0">
      <w:start w:val="1"/>
      <w:numFmt w:val="bullet"/>
      <w:lvlText w:val=""/>
      <w:lvlJc w:val="left"/>
      <w:pPr>
        <w:tabs>
          <w:tab w:val="left" w:pos="1234"/>
        </w:tabs>
        <w:ind w:left="1234" w:hanging="420"/>
      </w:pPr>
      <w:rPr>
        <w:rFonts w:hint="default" w:ascii="宋体" w:hAnsi="宋体" w:eastAsia="宋体" w:cs="宋体"/>
      </w:rPr>
    </w:lvl>
    <w:lvl w:ilvl="8" w:tentative="0">
      <w:start w:val="1"/>
      <w:numFmt w:val="bullet"/>
      <w:lvlText w:val=""/>
      <w:lvlJc w:val="left"/>
      <w:pPr>
        <w:tabs>
          <w:tab w:val="left" w:pos="1654"/>
        </w:tabs>
        <w:ind w:left="1654" w:hanging="420"/>
      </w:pPr>
      <w:rPr>
        <w:rFonts w:hint="default" w:ascii="宋体" w:hAnsi="宋体" w:eastAsia="宋体" w:cs="宋体"/>
      </w:rPr>
    </w:lvl>
  </w:abstractNum>
  <w:abstractNum w:abstractNumId="12">
    <w:nsid w:val="1F7B7C24"/>
    <w:multiLevelType w:val="multilevel"/>
    <w:tmpl w:val="1F7B7C24"/>
    <w:lvl w:ilvl="0" w:tentative="0">
      <w:start w:val="1"/>
      <w:numFmt w:val="bullet"/>
      <w:pStyle w:val="436"/>
      <w:lvlText w:val=""/>
      <w:lvlJc w:val="left"/>
      <w:pPr>
        <w:tabs>
          <w:tab w:val="left" w:pos="907"/>
        </w:tabs>
        <w:ind w:left="900" w:hanging="420"/>
      </w:pPr>
      <w:rPr>
        <w:rFonts w:hint="default" w:ascii="宋体" w:hAnsi="宋体" w:eastAsia="宋体" w:cs="宋体"/>
      </w:rPr>
    </w:lvl>
    <w:lvl w:ilvl="1" w:tentative="0">
      <w:start w:val="1"/>
      <w:numFmt w:val="bullet"/>
      <w:lvlText w:val=""/>
      <w:lvlJc w:val="left"/>
      <w:pPr>
        <w:tabs>
          <w:tab w:val="left" w:pos="840"/>
        </w:tabs>
        <w:ind w:left="840" w:hanging="420"/>
      </w:pPr>
      <w:rPr>
        <w:rFonts w:hint="default" w:ascii="宋体" w:hAnsi="宋体" w:eastAsia="宋体" w:cs="宋体"/>
      </w:rPr>
    </w:lvl>
    <w:lvl w:ilvl="2" w:tentative="0">
      <w:start w:val="1"/>
      <w:numFmt w:val="bullet"/>
      <w:lvlText w:val=""/>
      <w:lvlJc w:val="left"/>
      <w:pPr>
        <w:tabs>
          <w:tab w:val="left" w:pos="1260"/>
        </w:tabs>
        <w:ind w:left="1260" w:hanging="420"/>
      </w:pPr>
      <w:rPr>
        <w:rFonts w:hint="default" w:ascii="宋体" w:hAnsi="宋体" w:eastAsia="宋体" w:cs="宋体"/>
      </w:rPr>
    </w:lvl>
    <w:lvl w:ilvl="3" w:tentative="0">
      <w:start w:val="1"/>
      <w:numFmt w:val="bullet"/>
      <w:lvlText w:val=""/>
      <w:lvlJc w:val="left"/>
      <w:pPr>
        <w:tabs>
          <w:tab w:val="left" w:pos="1680"/>
        </w:tabs>
        <w:ind w:left="1680" w:hanging="420"/>
      </w:pPr>
      <w:rPr>
        <w:rFonts w:hint="default" w:ascii="宋体" w:hAnsi="宋体" w:eastAsia="宋体" w:cs="宋体"/>
      </w:rPr>
    </w:lvl>
    <w:lvl w:ilvl="4" w:tentative="0">
      <w:start w:val="1"/>
      <w:numFmt w:val="bullet"/>
      <w:lvlText w:val=""/>
      <w:lvlJc w:val="left"/>
      <w:pPr>
        <w:tabs>
          <w:tab w:val="left" w:pos="2100"/>
        </w:tabs>
        <w:ind w:left="2100" w:hanging="420"/>
      </w:pPr>
      <w:rPr>
        <w:rFonts w:hint="default" w:ascii="宋体" w:hAnsi="宋体" w:eastAsia="宋体" w:cs="宋体"/>
      </w:rPr>
    </w:lvl>
    <w:lvl w:ilvl="5" w:tentative="0">
      <w:start w:val="1"/>
      <w:numFmt w:val="bullet"/>
      <w:lvlText w:val=""/>
      <w:lvlJc w:val="left"/>
      <w:pPr>
        <w:tabs>
          <w:tab w:val="left" w:pos="2520"/>
        </w:tabs>
        <w:ind w:left="2520" w:hanging="420"/>
      </w:pPr>
      <w:rPr>
        <w:rFonts w:hint="default" w:ascii="宋体" w:hAnsi="宋体" w:eastAsia="宋体" w:cs="宋体"/>
      </w:rPr>
    </w:lvl>
    <w:lvl w:ilvl="6" w:tentative="0">
      <w:start w:val="1"/>
      <w:numFmt w:val="bullet"/>
      <w:lvlText w:val=""/>
      <w:lvlJc w:val="left"/>
      <w:pPr>
        <w:tabs>
          <w:tab w:val="left" w:pos="2940"/>
        </w:tabs>
        <w:ind w:left="2940" w:hanging="420"/>
      </w:pPr>
      <w:rPr>
        <w:rFonts w:hint="default" w:ascii="宋体" w:hAnsi="宋体" w:eastAsia="宋体" w:cs="宋体"/>
      </w:rPr>
    </w:lvl>
    <w:lvl w:ilvl="7" w:tentative="0">
      <w:start w:val="1"/>
      <w:numFmt w:val="bullet"/>
      <w:lvlText w:val=""/>
      <w:lvlJc w:val="left"/>
      <w:pPr>
        <w:tabs>
          <w:tab w:val="left" w:pos="3360"/>
        </w:tabs>
        <w:ind w:left="3360" w:hanging="420"/>
      </w:pPr>
      <w:rPr>
        <w:rFonts w:hint="default" w:ascii="宋体" w:hAnsi="宋体" w:eastAsia="宋体" w:cs="宋体"/>
      </w:rPr>
    </w:lvl>
    <w:lvl w:ilvl="8" w:tentative="0">
      <w:start w:val="1"/>
      <w:numFmt w:val="bullet"/>
      <w:lvlText w:val=""/>
      <w:lvlJc w:val="left"/>
      <w:pPr>
        <w:tabs>
          <w:tab w:val="left" w:pos="3780"/>
        </w:tabs>
        <w:ind w:left="3780" w:hanging="420"/>
      </w:pPr>
      <w:rPr>
        <w:rFonts w:hint="default" w:ascii="宋体" w:hAnsi="宋体" w:eastAsia="宋体" w:cs="宋体"/>
      </w:rPr>
    </w:lvl>
  </w:abstractNum>
  <w:abstractNum w:abstractNumId="13">
    <w:nsid w:val="1FC91163"/>
    <w:multiLevelType w:val="multilevel"/>
    <w:tmpl w:val="1FC91163"/>
    <w:lvl w:ilvl="0" w:tentative="0">
      <w:start w:val="1"/>
      <w:numFmt w:val="decimal"/>
      <w:pStyle w:val="227"/>
      <w:suff w:val="nothing"/>
      <w:lvlText w:val="%1　"/>
      <w:lvlJc w:val="left"/>
      <w:pPr>
        <w:ind w:left="0" w:firstLine="0"/>
      </w:pPr>
      <w:rPr>
        <w:rFonts w:hint="eastAsia" w:ascii="宋体" w:hAnsi="宋体" w:eastAsia="宋体" w:cs="宋体"/>
        <w:b w:val="0"/>
        <w:i w:val="0"/>
        <w:sz w:val="21"/>
        <w:szCs w:val="21"/>
      </w:rPr>
    </w:lvl>
    <w:lvl w:ilvl="1" w:tentative="0">
      <w:start w:val="1"/>
      <w:numFmt w:val="decimal"/>
      <w:pStyle w:val="226"/>
      <w:suff w:val="nothing"/>
      <w:lvlText w:val="%1.%2　"/>
      <w:lvlJc w:val="left"/>
      <w:pPr>
        <w:ind w:left="525" w:firstLine="0"/>
      </w:pPr>
      <w:rPr>
        <w:rFonts w:hint="eastAsia" w:ascii="宋体" w:hAnsi="宋体" w:eastAsia="宋体" w:cs="宋体"/>
        <w:b w:val="0"/>
        <w:bCs w:val="0"/>
        <w:i w:val="0"/>
        <w:iCs w:val="0"/>
        <w:caps w:val="0"/>
        <w:strike w:val="0"/>
        <w:dstrike w:val="0"/>
        <w:vanish w:val="0"/>
        <w:color w:val="000000"/>
        <w:spacing w:val="0"/>
        <w:kern w:val="0"/>
        <w:position w:val="0"/>
        <w:sz w:val="21"/>
        <w:szCs w:val="21"/>
        <w:u w:val="none"/>
        <w:vertAlign w:val="baseline"/>
        <w14:shadow w14:blurRad="0" w14:dist="0" w14:dir="0" w14:sx="0" w14:sy="0" w14:kx="0" w14:ky="0" w14:algn="none">
          <w14:srgbClr w14:val="000000"/>
        </w14:shadow>
      </w:rPr>
    </w:lvl>
    <w:lvl w:ilvl="2" w:tentative="0">
      <w:start w:val="1"/>
      <w:numFmt w:val="decimal"/>
      <w:pStyle w:val="228"/>
      <w:suff w:val="nothing"/>
      <w:lvlText w:val="%1.%2.%3　"/>
      <w:lvlJc w:val="left"/>
      <w:pPr>
        <w:ind w:left="0" w:firstLine="0"/>
      </w:pPr>
      <w:rPr>
        <w:rFonts w:hint="eastAsia" w:ascii="宋体" w:hAnsi="宋体" w:eastAsia="宋体" w:cs="宋体"/>
        <w:b w:val="0"/>
        <w:i w:val="0"/>
        <w:sz w:val="21"/>
      </w:rPr>
    </w:lvl>
    <w:lvl w:ilvl="3" w:tentative="0">
      <w:start w:val="1"/>
      <w:numFmt w:val="decimal"/>
      <w:suff w:val="nothing"/>
      <w:lvlText w:val="%1.%2.%3.%4　"/>
      <w:lvlJc w:val="left"/>
      <w:pPr>
        <w:ind w:left="0" w:firstLine="0"/>
      </w:pPr>
      <w:rPr>
        <w:rFonts w:hint="eastAsia" w:ascii="宋体" w:hAnsi="宋体" w:eastAsia="宋体" w:cs="宋体"/>
        <w:b w:val="0"/>
        <w:i w:val="0"/>
        <w:sz w:val="21"/>
      </w:rPr>
    </w:lvl>
    <w:lvl w:ilvl="4" w:tentative="0">
      <w:start w:val="1"/>
      <w:numFmt w:val="decimal"/>
      <w:pStyle w:val="229"/>
      <w:suff w:val="nothing"/>
      <w:lvlText w:val="%1.%2.%3.%4.%5　"/>
      <w:lvlJc w:val="left"/>
      <w:pPr>
        <w:ind w:left="0" w:firstLine="0"/>
      </w:pPr>
      <w:rPr>
        <w:rFonts w:hint="eastAsia" w:ascii="宋体" w:hAnsi="宋体" w:eastAsia="宋体" w:cs="宋体"/>
        <w:b w:val="0"/>
        <w:i w:val="0"/>
        <w:sz w:val="21"/>
      </w:rPr>
    </w:lvl>
    <w:lvl w:ilvl="5" w:tentative="0">
      <w:start w:val="1"/>
      <w:numFmt w:val="decimal"/>
      <w:pStyle w:val="230"/>
      <w:suff w:val="nothing"/>
      <w:lvlText w:val="%1.%2.%3.%4.%5.%6　"/>
      <w:lvlJc w:val="left"/>
      <w:pPr>
        <w:ind w:left="0" w:firstLine="0"/>
      </w:pPr>
      <w:rPr>
        <w:rFonts w:hint="eastAsia" w:ascii="宋体" w:hAnsi="宋体" w:eastAsia="宋体" w:cs="宋体"/>
        <w:b w:val="0"/>
        <w:i w:val="0"/>
        <w:sz w:val="21"/>
      </w:rPr>
    </w:lvl>
    <w:lvl w:ilvl="6" w:tentative="0">
      <w:start w:val="1"/>
      <w:numFmt w:val="decimal"/>
      <w:suff w:val="nothing"/>
      <w:lvlText w:val="%1%2.%3.%4.%5.%6.%7　"/>
      <w:lvlJc w:val="left"/>
      <w:pPr>
        <w:ind w:left="0" w:firstLine="0"/>
      </w:pPr>
      <w:rPr>
        <w:rFonts w:hint="eastAsia" w:ascii="宋体" w:hAnsi="宋体" w:eastAsia="宋体" w:cs="宋体"/>
        <w:b w:val="0"/>
        <w:i w:val="0"/>
        <w:sz w:val="21"/>
      </w:rPr>
    </w:lvl>
    <w:lvl w:ilvl="7" w:tentative="0">
      <w:start w:val="1"/>
      <w:numFmt w:val="decimal"/>
      <w:lvlText w:val="%1.%2.%3.%4.%5.%6.%7.%8"/>
      <w:lvlJc w:val="left"/>
      <w:pPr>
        <w:tabs>
          <w:tab w:val="left" w:pos="4351"/>
        </w:tabs>
        <w:ind w:left="3969" w:hanging="1418"/>
      </w:pPr>
      <w:rPr>
        <w:rFonts w:hint="eastAsia" w:ascii="宋体" w:hAnsi="宋体" w:eastAsia="宋体" w:cs="宋体"/>
      </w:rPr>
    </w:lvl>
    <w:lvl w:ilvl="8" w:tentative="0">
      <w:start w:val="1"/>
      <w:numFmt w:val="decimal"/>
      <w:lvlText w:val="%1.%2.%3.%4.%5.%6.%7.%8.%9"/>
      <w:lvlJc w:val="left"/>
      <w:pPr>
        <w:tabs>
          <w:tab w:val="left" w:pos="4777"/>
        </w:tabs>
        <w:ind w:left="4677" w:hanging="1700"/>
      </w:pPr>
      <w:rPr>
        <w:rFonts w:hint="eastAsia" w:ascii="宋体" w:hAnsi="宋体" w:eastAsia="宋体" w:cs="宋体"/>
      </w:rPr>
    </w:lvl>
  </w:abstractNum>
  <w:abstractNum w:abstractNumId="14">
    <w:nsid w:val="20C97A1F"/>
    <w:multiLevelType w:val="multilevel"/>
    <w:tmpl w:val="20C97A1F"/>
    <w:lvl w:ilvl="0" w:tentative="0">
      <w:start w:val="1"/>
      <w:numFmt w:val="decimal"/>
      <w:lvlText w:val="表1-%1"/>
      <w:lvlJc w:val="left"/>
      <w:pPr>
        <w:tabs>
          <w:tab w:val="left" w:pos="1554"/>
        </w:tabs>
        <w:ind w:left="1554" w:hanging="420"/>
      </w:pPr>
      <w:rPr>
        <w:rFonts w:hint="eastAsia" w:ascii="宋体" w:hAnsi="宋体" w:eastAsia="宋体" w:cs="宋体"/>
      </w:rPr>
    </w:lvl>
    <w:lvl w:ilvl="1" w:tentative="0">
      <w:start w:val="1"/>
      <w:numFmt w:val="decimal"/>
      <w:pStyle w:val="587"/>
      <w:lvlText w:val="表1-%2"/>
      <w:lvlJc w:val="left"/>
      <w:pPr>
        <w:tabs>
          <w:tab w:val="left" w:pos="1407"/>
        </w:tabs>
        <w:ind w:left="1407" w:hanging="420"/>
      </w:pPr>
      <w:rPr>
        <w:rFonts w:hint="eastAsia" w:ascii="宋体" w:hAnsi="宋体" w:eastAsia="宋体" w:cs="宋体"/>
      </w:rPr>
    </w:lvl>
    <w:lvl w:ilvl="2" w:tentative="0">
      <w:start w:val="1"/>
      <w:numFmt w:val="lowerRoman"/>
      <w:lvlText w:val="%3."/>
      <w:lvlJc w:val="right"/>
      <w:pPr>
        <w:tabs>
          <w:tab w:val="left" w:pos="1827"/>
        </w:tabs>
        <w:ind w:left="1827" w:hanging="420"/>
      </w:pPr>
    </w:lvl>
    <w:lvl w:ilvl="3" w:tentative="0">
      <w:start w:val="1"/>
      <w:numFmt w:val="decimal"/>
      <w:lvlText w:val="%4."/>
      <w:lvlJc w:val="left"/>
      <w:pPr>
        <w:tabs>
          <w:tab w:val="left" w:pos="2247"/>
        </w:tabs>
        <w:ind w:left="2247" w:hanging="420"/>
      </w:pPr>
    </w:lvl>
    <w:lvl w:ilvl="4" w:tentative="0">
      <w:start w:val="1"/>
      <w:numFmt w:val="lowerLetter"/>
      <w:lvlText w:val="%5)"/>
      <w:lvlJc w:val="left"/>
      <w:pPr>
        <w:tabs>
          <w:tab w:val="left" w:pos="2667"/>
        </w:tabs>
        <w:ind w:left="2667" w:hanging="420"/>
      </w:pPr>
    </w:lvl>
    <w:lvl w:ilvl="5" w:tentative="0">
      <w:start w:val="1"/>
      <w:numFmt w:val="lowerRoman"/>
      <w:lvlText w:val="%6."/>
      <w:lvlJc w:val="right"/>
      <w:pPr>
        <w:tabs>
          <w:tab w:val="left" w:pos="3087"/>
        </w:tabs>
        <w:ind w:left="3087" w:hanging="420"/>
      </w:pPr>
    </w:lvl>
    <w:lvl w:ilvl="6" w:tentative="0">
      <w:start w:val="1"/>
      <w:numFmt w:val="decimal"/>
      <w:lvlText w:val="%7."/>
      <w:lvlJc w:val="left"/>
      <w:pPr>
        <w:tabs>
          <w:tab w:val="left" w:pos="3507"/>
        </w:tabs>
        <w:ind w:left="3507" w:hanging="420"/>
      </w:pPr>
    </w:lvl>
    <w:lvl w:ilvl="7" w:tentative="0">
      <w:start w:val="1"/>
      <w:numFmt w:val="lowerLetter"/>
      <w:lvlText w:val="%8)"/>
      <w:lvlJc w:val="left"/>
      <w:pPr>
        <w:tabs>
          <w:tab w:val="left" w:pos="3927"/>
        </w:tabs>
        <w:ind w:left="3927" w:hanging="420"/>
      </w:pPr>
    </w:lvl>
    <w:lvl w:ilvl="8" w:tentative="0">
      <w:start w:val="1"/>
      <w:numFmt w:val="lowerRoman"/>
      <w:lvlText w:val="%9."/>
      <w:lvlJc w:val="right"/>
      <w:pPr>
        <w:tabs>
          <w:tab w:val="left" w:pos="4347"/>
        </w:tabs>
        <w:ind w:left="4347" w:hanging="420"/>
      </w:pPr>
    </w:lvl>
  </w:abstractNum>
  <w:abstractNum w:abstractNumId="15">
    <w:nsid w:val="23913B2F"/>
    <w:multiLevelType w:val="singleLevel"/>
    <w:tmpl w:val="23913B2F"/>
    <w:lvl w:ilvl="0" w:tentative="0">
      <w:start w:val="1"/>
      <w:numFmt w:val="bullet"/>
      <w:pStyle w:val="615"/>
      <w:lvlText w:val=""/>
      <w:lvlJc w:val="left"/>
      <w:pPr>
        <w:tabs>
          <w:tab w:val="left" w:pos="1356"/>
        </w:tabs>
        <w:ind w:left="1356" w:hanging="420"/>
      </w:pPr>
      <w:rPr>
        <w:rFonts w:hint="default" w:ascii="宋体" w:hAnsi="宋体" w:eastAsia="宋体" w:cs="宋体"/>
      </w:rPr>
    </w:lvl>
  </w:abstractNum>
  <w:abstractNum w:abstractNumId="16">
    <w:nsid w:val="27727B63"/>
    <w:multiLevelType w:val="multilevel"/>
    <w:tmpl w:val="27727B63"/>
    <w:lvl w:ilvl="0" w:tentative="0">
      <w:start w:val="1"/>
      <w:numFmt w:val="bullet"/>
      <w:pStyle w:val="464"/>
      <w:lvlText w:val=""/>
      <w:lvlJc w:val="left"/>
      <w:pPr>
        <w:tabs>
          <w:tab w:val="left" w:pos="284"/>
        </w:tabs>
        <w:ind w:left="284" w:hanging="284"/>
      </w:pPr>
      <w:rPr>
        <w:rFonts w:hint="default" w:ascii="宋体" w:hAnsi="宋体" w:eastAsia="宋体" w:cs="宋体"/>
        <w:color w:val="auto"/>
        <w:sz w:val="13"/>
        <w:szCs w:val="13"/>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7">
    <w:nsid w:val="2C951E2A"/>
    <w:multiLevelType w:val="multilevel"/>
    <w:tmpl w:val="2C951E2A"/>
    <w:lvl w:ilvl="0" w:tentative="0">
      <w:start w:val="1"/>
      <w:numFmt w:val="decimal"/>
      <w:pStyle w:val="145"/>
      <w:lvlText w:val="%1."/>
      <w:lvlJc w:val="left"/>
      <w:pPr>
        <w:tabs>
          <w:tab w:val="left" w:pos="425"/>
        </w:tabs>
        <w:ind w:left="425" w:hanging="425"/>
      </w:pPr>
    </w:lvl>
    <w:lvl w:ilvl="1" w:tentative="0">
      <w:start w:val="1"/>
      <w:numFmt w:val="decimal"/>
      <w:lvlText w:val="%1.%2."/>
      <w:lvlJc w:val="left"/>
      <w:pPr>
        <w:tabs>
          <w:tab w:val="left" w:pos="567"/>
        </w:tabs>
        <w:ind w:left="567" w:hanging="567"/>
      </w:pPr>
    </w:lvl>
    <w:lvl w:ilvl="2" w:tentative="0">
      <w:start w:val="1"/>
      <w:numFmt w:val="decimal"/>
      <w:lvlText w:val="%1.%2.%3."/>
      <w:lvlJc w:val="left"/>
      <w:pPr>
        <w:tabs>
          <w:tab w:val="left" w:pos="709"/>
        </w:tabs>
        <w:ind w:left="709" w:hanging="709"/>
      </w:pPr>
    </w:lvl>
    <w:lvl w:ilvl="3" w:tentative="0">
      <w:start w:val="1"/>
      <w:numFmt w:val="decimal"/>
      <w:lvlText w:val="%1.%2.%3.%4."/>
      <w:lvlJc w:val="left"/>
      <w:pPr>
        <w:tabs>
          <w:tab w:val="left" w:pos="851"/>
        </w:tabs>
        <w:ind w:left="851" w:hanging="851"/>
      </w:pPr>
    </w:lvl>
    <w:lvl w:ilvl="4" w:tentative="0">
      <w:start w:val="1"/>
      <w:numFmt w:val="decimal"/>
      <w:lvlText w:val="%1.%2.%3.%4.%5."/>
      <w:lvlJc w:val="left"/>
      <w:pPr>
        <w:tabs>
          <w:tab w:val="left" w:pos="992"/>
        </w:tabs>
        <w:ind w:left="992" w:hanging="992"/>
      </w:pPr>
    </w:lvl>
    <w:lvl w:ilvl="5" w:tentative="0">
      <w:start w:val="1"/>
      <w:numFmt w:val="decimal"/>
      <w:lvlText w:val="%1.%2.%3.%4.%5.%6."/>
      <w:lvlJc w:val="left"/>
      <w:pPr>
        <w:tabs>
          <w:tab w:val="left" w:pos="1134"/>
        </w:tabs>
        <w:ind w:left="1134" w:hanging="1134"/>
      </w:pPr>
    </w:lvl>
    <w:lvl w:ilvl="6" w:tentative="0">
      <w:start w:val="1"/>
      <w:numFmt w:val="decimal"/>
      <w:lvlText w:val="%1.%2.%3.%4.%5.%6.%7."/>
      <w:lvlJc w:val="left"/>
      <w:pPr>
        <w:tabs>
          <w:tab w:val="left" w:pos="1276"/>
        </w:tabs>
        <w:ind w:left="1276" w:hanging="1276"/>
      </w:pPr>
    </w:lvl>
    <w:lvl w:ilvl="7" w:tentative="0">
      <w:start w:val="1"/>
      <w:numFmt w:val="decimal"/>
      <w:lvlText w:val="%1.%2.%3.%4.%5.%6.%7.%8."/>
      <w:lvlJc w:val="left"/>
      <w:pPr>
        <w:tabs>
          <w:tab w:val="left" w:pos="1418"/>
        </w:tabs>
        <w:ind w:left="1418" w:hanging="1418"/>
      </w:pPr>
    </w:lvl>
    <w:lvl w:ilvl="8" w:tentative="0">
      <w:start w:val="1"/>
      <w:numFmt w:val="decimal"/>
      <w:lvlText w:val="%1.%2.%3.%4.%5.%6.%7.%8.%9."/>
      <w:lvlJc w:val="left"/>
      <w:pPr>
        <w:tabs>
          <w:tab w:val="left" w:pos="1559"/>
        </w:tabs>
        <w:ind w:left="1559" w:hanging="1559"/>
      </w:pPr>
    </w:lvl>
  </w:abstractNum>
  <w:abstractNum w:abstractNumId="18">
    <w:nsid w:val="2F27372C"/>
    <w:multiLevelType w:val="multilevel"/>
    <w:tmpl w:val="2F27372C"/>
    <w:lvl w:ilvl="0" w:tentative="0">
      <w:start w:val="1"/>
      <w:numFmt w:val="bullet"/>
      <w:pStyle w:val="282"/>
      <w:lvlText w:val=""/>
      <w:lvlJc w:val="left"/>
      <w:pPr>
        <w:tabs>
          <w:tab w:val="left" w:pos="839"/>
        </w:tabs>
        <w:ind w:left="839" w:hanging="419"/>
      </w:pPr>
      <w:rPr>
        <w:rFonts w:hint="default" w:ascii="宋体" w:hAnsi="宋体" w:eastAsia="宋体" w:cs="宋体"/>
        <w:sz w:val="15"/>
        <w:szCs w:val="15"/>
      </w:rPr>
    </w:lvl>
    <w:lvl w:ilvl="1" w:tentative="0">
      <w:start w:val="1"/>
      <w:numFmt w:val="bullet"/>
      <w:lvlText w:val=""/>
      <w:lvlJc w:val="left"/>
      <w:pPr>
        <w:tabs>
          <w:tab w:val="left" w:pos="840"/>
        </w:tabs>
        <w:ind w:left="840" w:hanging="420"/>
      </w:pPr>
      <w:rPr>
        <w:rFonts w:hint="default" w:ascii="宋体" w:hAnsi="宋体" w:eastAsia="宋体" w:cs="宋体"/>
      </w:rPr>
    </w:lvl>
    <w:lvl w:ilvl="2" w:tentative="0">
      <w:start w:val="1"/>
      <w:numFmt w:val="bullet"/>
      <w:lvlText w:val=""/>
      <w:lvlJc w:val="left"/>
      <w:pPr>
        <w:tabs>
          <w:tab w:val="left" w:pos="1260"/>
        </w:tabs>
        <w:ind w:left="1260" w:hanging="420"/>
      </w:pPr>
      <w:rPr>
        <w:rFonts w:hint="default" w:ascii="宋体" w:hAnsi="宋体" w:eastAsia="宋体" w:cs="宋体"/>
      </w:rPr>
    </w:lvl>
    <w:lvl w:ilvl="3" w:tentative="0">
      <w:start w:val="1"/>
      <w:numFmt w:val="bullet"/>
      <w:lvlText w:val=""/>
      <w:lvlJc w:val="left"/>
      <w:pPr>
        <w:tabs>
          <w:tab w:val="left" w:pos="1680"/>
        </w:tabs>
        <w:ind w:left="1680" w:hanging="420"/>
      </w:pPr>
      <w:rPr>
        <w:rFonts w:hint="default" w:ascii="宋体" w:hAnsi="宋体" w:eastAsia="宋体" w:cs="宋体"/>
      </w:rPr>
    </w:lvl>
    <w:lvl w:ilvl="4" w:tentative="0">
      <w:start w:val="1"/>
      <w:numFmt w:val="bullet"/>
      <w:lvlText w:val=""/>
      <w:lvlJc w:val="left"/>
      <w:pPr>
        <w:tabs>
          <w:tab w:val="left" w:pos="2100"/>
        </w:tabs>
        <w:ind w:left="2100" w:hanging="420"/>
      </w:pPr>
      <w:rPr>
        <w:rFonts w:hint="default" w:ascii="宋体" w:hAnsi="宋体" w:eastAsia="宋体" w:cs="宋体"/>
      </w:rPr>
    </w:lvl>
    <w:lvl w:ilvl="5" w:tentative="0">
      <w:start w:val="1"/>
      <w:numFmt w:val="bullet"/>
      <w:lvlText w:val=""/>
      <w:lvlJc w:val="left"/>
      <w:pPr>
        <w:tabs>
          <w:tab w:val="left" w:pos="2520"/>
        </w:tabs>
        <w:ind w:left="2520" w:hanging="420"/>
      </w:pPr>
      <w:rPr>
        <w:rFonts w:hint="default" w:ascii="宋体" w:hAnsi="宋体" w:eastAsia="宋体" w:cs="宋体"/>
      </w:rPr>
    </w:lvl>
    <w:lvl w:ilvl="6" w:tentative="0">
      <w:start w:val="1"/>
      <w:numFmt w:val="bullet"/>
      <w:lvlText w:val=""/>
      <w:lvlJc w:val="left"/>
      <w:pPr>
        <w:tabs>
          <w:tab w:val="left" w:pos="2940"/>
        </w:tabs>
        <w:ind w:left="2940" w:hanging="420"/>
      </w:pPr>
      <w:rPr>
        <w:rFonts w:hint="default" w:ascii="宋体" w:hAnsi="宋体" w:eastAsia="宋体" w:cs="宋体"/>
      </w:rPr>
    </w:lvl>
    <w:lvl w:ilvl="7" w:tentative="0">
      <w:start w:val="1"/>
      <w:numFmt w:val="bullet"/>
      <w:lvlText w:val=""/>
      <w:lvlJc w:val="left"/>
      <w:pPr>
        <w:tabs>
          <w:tab w:val="left" w:pos="3360"/>
        </w:tabs>
        <w:ind w:left="3360" w:hanging="420"/>
      </w:pPr>
      <w:rPr>
        <w:rFonts w:hint="default" w:ascii="宋体" w:hAnsi="宋体" w:eastAsia="宋体" w:cs="宋体"/>
      </w:rPr>
    </w:lvl>
    <w:lvl w:ilvl="8" w:tentative="0">
      <w:start w:val="1"/>
      <w:numFmt w:val="bullet"/>
      <w:lvlText w:val=""/>
      <w:lvlJc w:val="left"/>
      <w:pPr>
        <w:tabs>
          <w:tab w:val="left" w:pos="3780"/>
        </w:tabs>
        <w:ind w:left="3780" w:hanging="420"/>
      </w:pPr>
      <w:rPr>
        <w:rFonts w:hint="default" w:ascii="宋体" w:hAnsi="宋体" w:eastAsia="宋体" w:cs="宋体"/>
      </w:rPr>
    </w:lvl>
  </w:abstractNum>
  <w:abstractNum w:abstractNumId="19">
    <w:nsid w:val="3395228F"/>
    <w:multiLevelType w:val="multilevel"/>
    <w:tmpl w:val="3395228F"/>
    <w:lvl w:ilvl="0" w:tentative="0">
      <w:start w:val="1"/>
      <w:numFmt w:val="decimal"/>
      <w:lvlText w:val="第%1章"/>
      <w:lvlJc w:val="left"/>
      <w:pPr>
        <w:ind w:left="425" w:hanging="425"/>
      </w:pPr>
      <w:rPr>
        <w:rFonts w:hint="eastAsia" w:ascii="宋体" w:hAnsi="宋体" w:eastAsia="宋体" w:cs="宋体"/>
      </w:rPr>
    </w:lvl>
    <w:lvl w:ilvl="1" w:tentative="0">
      <w:start w:val="1"/>
      <w:numFmt w:val="decimal"/>
      <w:lvlText w:val="%1.%2"/>
      <w:lvlJc w:val="left"/>
      <w:pPr>
        <w:ind w:left="425" w:hanging="425"/>
      </w:pPr>
      <w:rPr>
        <w:rFonts w:hint="default" w:ascii="宋体" w:hAnsi="宋体" w:eastAsia="宋体" w:cs="宋体"/>
        <w:b/>
        <w:bCs w:val="0"/>
        <w:color w:val="auto"/>
      </w:rPr>
    </w:lvl>
    <w:lvl w:ilvl="2" w:tentative="0">
      <w:start w:val="1"/>
      <w:numFmt w:val="decimal"/>
      <w:lvlText w:val="%1.%2.%3"/>
      <w:lvlJc w:val="left"/>
      <w:pPr>
        <w:ind w:left="425" w:hanging="425"/>
      </w:pPr>
      <w:rPr>
        <w:rFonts w:ascii="宋体" w:hAnsi="宋体" w:eastAsia="宋体" w:cs="宋体"/>
      </w:rPr>
    </w:lvl>
    <w:lvl w:ilvl="3" w:tentative="0">
      <w:start w:val="1"/>
      <w:numFmt w:val="decimal"/>
      <w:lvlText w:val="%1.%2.%3.%4"/>
      <w:lvlJc w:val="left"/>
      <w:pPr>
        <w:ind w:left="425" w:hanging="425"/>
      </w:pPr>
      <w:rPr>
        <w:rFonts w:hint="eastAsia" w:ascii="宋体" w:hAnsi="宋体" w:eastAsia="宋体" w:cs="宋体"/>
      </w:rPr>
    </w:lvl>
    <w:lvl w:ilvl="4" w:tentative="0">
      <w:start w:val="1"/>
      <w:numFmt w:val="decimal"/>
      <w:lvlText w:val="%1.%2.%3.%4.%5"/>
      <w:lvlJc w:val="left"/>
      <w:pPr>
        <w:ind w:left="425" w:hanging="425"/>
      </w:pPr>
      <w:rPr>
        <w:rFonts w:hint="eastAsia" w:ascii="宋体" w:hAnsi="宋体" w:eastAsia="宋体" w:cs="宋体"/>
      </w:rPr>
    </w:lvl>
    <w:lvl w:ilvl="5" w:tentative="0">
      <w:start w:val="1"/>
      <w:numFmt w:val="decimal"/>
      <w:lvlText w:val="%1.%2.%3.%4.%5.%6"/>
      <w:lvlJc w:val="left"/>
      <w:pPr>
        <w:ind w:left="425" w:hanging="425"/>
      </w:pPr>
      <w:rPr>
        <w:rFonts w:hint="eastAsia" w:ascii="宋体" w:hAnsi="宋体" w:eastAsia="宋体" w:cs="宋体"/>
      </w:rPr>
    </w:lvl>
    <w:lvl w:ilvl="6" w:tentative="0">
      <w:start w:val="1"/>
      <w:numFmt w:val="decimal"/>
      <w:lvlText w:val="%1.%2.%3.%4.%5.%6.%7"/>
      <w:lvlJc w:val="left"/>
      <w:pPr>
        <w:ind w:left="425" w:hanging="425"/>
      </w:pPr>
      <w:rPr>
        <w:rFonts w:hint="eastAsia" w:ascii="宋体" w:hAnsi="宋体" w:eastAsia="宋体" w:cs="宋体"/>
      </w:rPr>
    </w:lvl>
    <w:lvl w:ilvl="7" w:tentative="0">
      <w:start w:val="1"/>
      <w:numFmt w:val="decimal"/>
      <w:lvlText w:val="%1.%2.%3.%4.%5.%6.%7.%8"/>
      <w:lvlJc w:val="left"/>
      <w:pPr>
        <w:ind w:left="425" w:hanging="425"/>
      </w:pPr>
      <w:rPr>
        <w:rFonts w:hint="eastAsia" w:ascii="宋体" w:hAnsi="宋体" w:eastAsia="宋体" w:cs="宋体"/>
      </w:rPr>
    </w:lvl>
    <w:lvl w:ilvl="8" w:tentative="0">
      <w:start w:val="1"/>
      <w:numFmt w:val="decimal"/>
      <w:pStyle w:val="10"/>
      <w:lvlText w:val="%1.%2.%3.%4.%5.%6.%7.%8.%9"/>
      <w:lvlJc w:val="left"/>
      <w:pPr>
        <w:ind w:left="425" w:hanging="425"/>
      </w:pPr>
      <w:rPr>
        <w:rFonts w:hint="eastAsia" w:ascii="宋体" w:hAnsi="宋体" w:eastAsia="宋体" w:cs="宋体"/>
      </w:rPr>
    </w:lvl>
  </w:abstractNum>
  <w:abstractNum w:abstractNumId="20">
    <w:nsid w:val="358A30A4"/>
    <w:multiLevelType w:val="multilevel"/>
    <w:tmpl w:val="358A30A4"/>
    <w:lvl w:ilvl="0" w:tentative="0">
      <w:start w:val="1"/>
      <w:numFmt w:val="decimal"/>
      <w:pStyle w:val="388"/>
      <w:lvlText w:val="%1、"/>
      <w:lvlJc w:val="left"/>
      <w:pPr>
        <w:ind w:left="720" w:hanging="720"/>
      </w:pPr>
      <w:rPr>
        <w:rFonts w:hint="default" w:ascii="宋体" w:hAnsi="宋体" w:eastAsia="宋体" w:cs="宋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1">
    <w:nsid w:val="38B93FA8"/>
    <w:multiLevelType w:val="singleLevel"/>
    <w:tmpl w:val="38B93FA8"/>
    <w:lvl w:ilvl="0" w:tentative="0">
      <w:start w:val="1"/>
      <w:numFmt w:val="japaneseCounting"/>
      <w:pStyle w:val="340"/>
      <w:lvlText w:val="第%1章"/>
      <w:lvlJc w:val="left"/>
      <w:pPr>
        <w:tabs>
          <w:tab w:val="left" w:pos="1410"/>
        </w:tabs>
        <w:ind w:left="1410" w:hanging="1410"/>
      </w:pPr>
      <w:rPr>
        <w:rFonts w:hint="eastAsia" w:ascii="宋体" w:hAnsi="宋体" w:eastAsia="宋体" w:cs="宋体"/>
      </w:rPr>
    </w:lvl>
  </w:abstractNum>
  <w:abstractNum w:abstractNumId="22">
    <w:nsid w:val="3B073EB9"/>
    <w:multiLevelType w:val="multilevel"/>
    <w:tmpl w:val="3B073EB9"/>
    <w:lvl w:ilvl="0" w:tentative="0">
      <w:start w:val="1"/>
      <w:numFmt w:val="decimal"/>
      <w:pStyle w:val="198"/>
      <w:lvlText w:val="%1."/>
      <w:lvlJc w:val="left"/>
      <w:pPr>
        <w:ind w:left="845" w:hanging="420"/>
      </w:pPr>
    </w:lvl>
    <w:lvl w:ilvl="1" w:tentative="0">
      <w:start w:val="1"/>
      <w:numFmt w:val="lowerLetter"/>
      <w:lvlText w:val="%2)"/>
      <w:lvlJc w:val="left"/>
      <w:pPr>
        <w:ind w:left="1265" w:hanging="420"/>
      </w:pPr>
    </w:lvl>
    <w:lvl w:ilvl="2" w:tentative="0">
      <w:start w:val="1"/>
      <w:numFmt w:val="lowerRoman"/>
      <w:lvlText w:val="%3."/>
      <w:lvlJc w:val="right"/>
      <w:pPr>
        <w:ind w:left="1685" w:hanging="420"/>
      </w:pPr>
    </w:lvl>
    <w:lvl w:ilvl="3" w:tentative="0">
      <w:start w:val="1"/>
      <w:numFmt w:val="decimal"/>
      <w:lvlText w:val="%4."/>
      <w:lvlJc w:val="left"/>
      <w:pPr>
        <w:ind w:left="2105" w:hanging="420"/>
      </w:pPr>
    </w:lvl>
    <w:lvl w:ilvl="4" w:tentative="0">
      <w:start w:val="1"/>
      <w:numFmt w:val="lowerLetter"/>
      <w:lvlText w:val="%5)"/>
      <w:lvlJc w:val="left"/>
      <w:pPr>
        <w:ind w:left="2525" w:hanging="420"/>
      </w:pPr>
    </w:lvl>
    <w:lvl w:ilvl="5" w:tentative="0">
      <w:start w:val="1"/>
      <w:numFmt w:val="lowerRoman"/>
      <w:lvlText w:val="%6."/>
      <w:lvlJc w:val="right"/>
      <w:pPr>
        <w:ind w:left="2945" w:hanging="420"/>
      </w:pPr>
    </w:lvl>
    <w:lvl w:ilvl="6" w:tentative="0">
      <w:start w:val="1"/>
      <w:numFmt w:val="decimal"/>
      <w:lvlText w:val="%7."/>
      <w:lvlJc w:val="left"/>
      <w:pPr>
        <w:ind w:left="3365" w:hanging="420"/>
      </w:pPr>
    </w:lvl>
    <w:lvl w:ilvl="7" w:tentative="0">
      <w:start w:val="1"/>
      <w:numFmt w:val="lowerLetter"/>
      <w:lvlText w:val="%8)"/>
      <w:lvlJc w:val="left"/>
      <w:pPr>
        <w:ind w:left="3785" w:hanging="420"/>
      </w:pPr>
    </w:lvl>
    <w:lvl w:ilvl="8" w:tentative="0">
      <w:start w:val="1"/>
      <w:numFmt w:val="lowerRoman"/>
      <w:lvlText w:val="%9."/>
      <w:lvlJc w:val="right"/>
      <w:pPr>
        <w:ind w:left="4205" w:hanging="420"/>
      </w:pPr>
    </w:lvl>
  </w:abstractNum>
  <w:abstractNum w:abstractNumId="23">
    <w:nsid w:val="3B736E1D"/>
    <w:multiLevelType w:val="multilevel"/>
    <w:tmpl w:val="3B736E1D"/>
    <w:lvl w:ilvl="0" w:tentative="0">
      <w:start w:val="1"/>
      <w:numFmt w:val="decimal"/>
      <w:pStyle w:val="595"/>
      <w:lvlText w:val="1.2.%1"/>
      <w:lvlJc w:val="left"/>
      <w:pPr>
        <w:ind w:left="420" w:hanging="420"/>
      </w:pPr>
      <w:rPr>
        <w:rFonts w:hint="eastAsia" w:ascii="宋体" w:hAnsi="宋体" w:eastAsia="宋体" w:cs="宋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4">
    <w:nsid w:val="3CFD0080"/>
    <w:multiLevelType w:val="multilevel"/>
    <w:tmpl w:val="3CFD0080"/>
    <w:lvl w:ilvl="0" w:tentative="0">
      <w:start w:val="1"/>
      <w:numFmt w:val="lowerLetter"/>
      <w:pStyle w:val="343"/>
      <w:lvlText w:val="%1)"/>
      <w:lvlJc w:val="left"/>
      <w:pPr>
        <w:tabs>
          <w:tab w:val="left" w:pos="780"/>
        </w:tabs>
        <w:ind w:left="780" w:hanging="360"/>
      </w:pPr>
      <w:rPr>
        <w:rFonts w:hint="default" w:ascii="宋体" w:hAnsi="宋体" w:eastAsia="宋体" w:cs="宋体"/>
      </w:rPr>
    </w:lvl>
    <w:lvl w:ilvl="1" w:tentative="0">
      <w:start w:val="1"/>
      <w:numFmt w:val="lowerRoman"/>
      <w:lvlText w:val="%2."/>
      <w:lvlJc w:val="right"/>
      <w:pPr>
        <w:tabs>
          <w:tab w:val="left" w:pos="840"/>
        </w:tabs>
        <w:ind w:left="840" w:hanging="420"/>
      </w:pPr>
      <w:rPr>
        <w:rFonts w:hint="default" w:ascii="宋体" w:hAnsi="宋体" w:eastAsia="宋体" w:cs="宋体"/>
      </w:rPr>
    </w:lvl>
    <w:lvl w:ilvl="2" w:tentative="0">
      <w:start w:val="1"/>
      <w:numFmt w:val="lowerRoman"/>
      <w:lvlText w:val="%3."/>
      <w:lvlJc w:val="right"/>
      <w:pPr>
        <w:tabs>
          <w:tab w:val="left" w:pos="1260"/>
        </w:tabs>
        <w:ind w:left="1260" w:hanging="420"/>
      </w:pPr>
    </w:lvl>
    <w:lvl w:ilvl="3" w:tentative="0">
      <w:start w:val="1"/>
      <w:numFmt w:val="lowerRoman"/>
      <w:lvlText w:val="%4."/>
      <w:lvlJc w:val="left"/>
      <w:pPr>
        <w:tabs>
          <w:tab w:val="left" w:pos="1680"/>
        </w:tabs>
        <w:ind w:left="1680" w:hanging="420"/>
      </w:pPr>
      <w:rPr>
        <w:rFonts w:hint="eastAsia" w:ascii="宋体" w:hAnsi="宋体" w:eastAsia="宋体" w:cs="宋体"/>
      </w:rPr>
    </w:lvl>
    <w:lvl w:ilvl="4" w:tentative="0">
      <w:start w:val="1"/>
      <w:numFmt w:val="decimal"/>
      <w:lvlText w:val="%5）"/>
      <w:lvlJc w:val="right"/>
      <w:pPr>
        <w:tabs>
          <w:tab w:val="left" w:pos="1793"/>
        </w:tabs>
        <w:ind w:left="1793" w:hanging="113"/>
      </w:pPr>
      <w:rPr>
        <w:rFonts w:hint="eastAsia" w:ascii="宋体" w:hAnsi="宋体" w:eastAsia="宋体" w:cs="宋体"/>
        <w:b/>
        <w:i w:val="0"/>
        <w:sz w:val="21"/>
        <w:szCs w:val="21"/>
      </w:r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5">
    <w:nsid w:val="3EBB3C91"/>
    <w:multiLevelType w:val="multilevel"/>
    <w:tmpl w:val="3EBB3C91"/>
    <w:lvl w:ilvl="0" w:tentative="0">
      <w:start w:val="1"/>
      <w:numFmt w:val="chineseCountingThousand"/>
      <w:pStyle w:val="557"/>
      <w:suff w:val="space"/>
      <w:lvlText w:val="%1. "/>
      <w:lvlJc w:val="left"/>
      <w:pPr>
        <w:ind w:left="907" w:hanging="907"/>
      </w:pPr>
      <w:rPr>
        <w:rFonts w:hint="eastAsia" w:ascii="宋体" w:hAnsi="宋体" w:eastAsia="宋体" w:cs="宋体"/>
        <w:lang w:val="zh-CN"/>
      </w:rPr>
    </w:lvl>
    <w:lvl w:ilvl="1" w:tentative="0">
      <w:start w:val="1"/>
      <w:numFmt w:val="decimal"/>
      <w:isLgl/>
      <w:suff w:val="space"/>
      <w:lvlText w:val="%1.%2 "/>
      <w:lvlJc w:val="left"/>
      <w:pPr>
        <w:ind w:left="794" w:hanging="794"/>
      </w:pPr>
      <w:rPr>
        <w:rFonts w:hint="eastAsia" w:ascii="宋体" w:hAnsi="宋体" w:eastAsia="宋体" w:cs="宋体"/>
      </w:rPr>
    </w:lvl>
    <w:lvl w:ilvl="2" w:tentative="0">
      <w:start w:val="1"/>
      <w:numFmt w:val="decimal"/>
      <w:isLgl/>
      <w:suff w:val="space"/>
      <w:lvlText w:val="%1.%2.%3 "/>
      <w:lvlJc w:val="left"/>
      <w:pPr>
        <w:ind w:left="907" w:hanging="907"/>
      </w:pPr>
      <w:rPr>
        <w:rFonts w:hint="eastAsia" w:ascii="宋体" w:hAnsi="宋体" w:eastAsia="宋体" w:cs="宋体"/>
      </w:rPr>
    </w:lvl>
    <w:lvl w:ilvl="3" w:tentative="0">
      <w:start w:val="1"/>
      <w:numFmt w:val="decimal"/>
      <w:isLgl/>
      <w:suff w:val="space"/>
      <w:lvlText w:val="%1.%2.%3.%4 "/>
      <w:lvlJc w:val="left"/>
      <w:pPr>
        <w:ind w:left="1021" w:hanging="1021"/>
      </w:pPr>
      <w:rPr>
        <w:rFonts w:hint="eastAsia" w:ascii="宋体" w:hAnsi="宋体" w:eastAsia="宋体" w:cs="宋体"/>
      </w:rPr>
    </w:lvl>
    <w:lvl w:ilvl="4" w:tentative="0">
      <w:start w:val="1"/>
      <w:numFmt w:val="decimal"/>
      <w:pStyle w:val="559"/>
      <w:isLgl/>
      <w:suff w:val="space"/>
      <w:lvlText w:val="%1.%2.%3.%4.%5 "/>
      <w:lvlJc w:val="left"/>
      <w:pPr>
        <w:ind w:left="1134" w:hanging="1134"/>
      </w:pPr>
      <w:rPr>
        <w:rFonts w:hint="eastAsia" w:ascii="宋体" w:hAnsi="宋体" w:eastAsia="宋体" w:cs="宋体"/>
      </w:rPr>
    </w:lvl>
    <w:lvl w:ilvl="5" w:tentative="0">
      <w:start w:val="1"/>
      <w:numFmt w:val="decimal"/>
      <w:pStyle w:val="560"/>
      <w:isLgl/>
      <w:suff w:val="space"/>
      <w:lvlText w:val="%1.%2.%3.%4.%5.%6 "/>
      <w:lvlJc w:val="left"/>
      <w:pPr>
        <w:ind w:left="1247" w:hanging="1247"/>
      </w:pPr>
      <w:rPr>
        <w:rFonts w:hint="eastAsia" w:ascii="宋体" w:hAnsi="宋体" w:eastAsia="宋体" w:cs="宋体"/>
      </w:rPr>
    </w:lvl>
    <w:lvl w:ilvl="6" w:tentative="0">
      <w:start w:val="1"/>
      <w:numFmt w:val="decimal"/>
      <w:lvlRestart w:val="1"/>
      <w:pStyle w:val="561"/>
      <w:isLgl/>
      <w:suff w:val="space"/>
      <w:lvlText w:val="图 %1.%7 "/>
      <w:lvlJc w:val="left"/>
      <w:pPr>
        <w:ind w:left="0" w:firstLine="0"/>
      </w:pPr>
      <w:rPr>
        <w:rFonts w:hint="eastAsia" w:ascii="宋体" w:hAnsi="宋体" w:eastAsia="宋体" w:cs="宋体"/>
      </w:rPr>
    </w:lvl>
    <w:lvl w:ilvl="7" w:tentative="0">
      <w:start w:val="1"/>
      <w:numFmt w:val="decimal"/>
      <w:lvlRestart w:val="1"/>
      <w:pStyle w:val="562"/>
      <w:isLgl/>
      <w:suff w:val="space"/>
      <w:lvlText w:val="表 %1.%8 "/>
      <w:lvlJc w:val="left"/>
      <w:pPr>
        <w:ind w:left="0" w:firstLine="0"/>
      </w:pPr>
      <w:rPr>
        <w:rFonts w:hint="eastAsia" w:ascii="宋体" w:hAnsi="宋体" w:eastAsia="宋体" w:cs="宋体"/>
      </w:rPr>
    </w:lvl>
    <w:lvl w:ilvl="8" w:tentative="0">
      <w:start w:val="1"/>
      <w:numFmt w:val="none"/>
      <w:suff w:val="nothing"/>
      <w:lvlText w:val=""/>
      <w:lvlJc w:val="left"/>
      <w:pPr>
        <w:ind w:left="0" w:firstLine="0"/>
      </w:pPr>
      <w:rPr>
        <w:rFonts w:hint="eastAsia" w:ascii="宋体" w:hAnsi="宋体" w:eastAsia="宋体" w:cs="宋体"/>
      </w:rPr>
    </w:lvl>
  </w:abstractNum>
  <w:abstractNum w:abstractNumId="26">
    <w:nsid w:val="3ED70565"/>
    <w:multiLevelType w:val="multilevel"/>
    <w:tmpl w:val="3ED70565"/>
    <w:lvl w:ilvl="0" w:tentative="0">
      <w:start w:val="1"/>
      <w:numFmt w:val="bullet"/>
      <w:lvlText w:val="o"/>
      <w:lvlJc w:val="left"/>
      <w:pPr>
        <w:tabs>
          <w:tab w:val="left" w:pos="720"/>
        </w:tabs>
        <w:ind w:left="720" w:hanging="360"/>
      </w:pPr>
      <w:rPr>
        <w:rFonts w:hint="default" w:ascii="宋体" w:hAnsi="宋体" w:eastAsia="宋体" w:cs="宋体"/>
      </w:rPr>
    </w:lvl>
    <w:lvl w:ilvl="1" w:tentative="0">
      <w:start w:val="1"/>
      <w:numFmt w:val="bullet"/>
      <w:pStyle w:val="439"/>
      <w:lvlText w:val=""/>
      <w:lvlJc w:val="left"/>
      <w:pPr>
        <w:tabs>
          <w:tab w:val="left" w:pos="1850"/>
        </w:tabs>
        <w:ind w:left="1850" w:hanging="360"/>
      </w:pPr>
      <w:rPr>
        <w:rFonts w:hint="default" w:ascii="宋体" w:hAnsi="宋体" w:eastAsia="宋体" w:cs="宋体"/>
      </w:rPr>
    </w:lvl>
    <w:lvl w:ilvl="2" w:tentative="0">
      <w:start w:val="1"/>
      <w:numFmt w:val="bullet"/>
      <w:lvlText w:val="o"/>
      <w:lvlJc w:val="left"/>
      <w:pPr>
        <w:tabs>
          <w:tab w:val="left" w:pos="2160"/>
        </w:tabs>
        <w:ind w:left="2160" w:hanging="360"/>
      </w:pPr>
      <w:rPr>
        <w:rFonts w:hint="default" w:ascii="宋体" w:hAnsi="宋体" w:eastAsia="宋体" w:cs="宋体"/>
      </w:rPr>
    </w:lvl>
    <w:lvl w:ilvl="3" w:tentative="0">
      <w:start w:val="1"/>
      <w:numFmt w:val="bullet"/>
      <w:lvlText w:val=""/>
      <w:lvlJc w:val="left"/>
      <w:pPr>
        <w:tabs>
          <w:tab w:val="left" w:pos="2880"/>
        </w:tabs>
        <w:ind w:left="2880" w:hanging="360"/>
      </w:pPr>
      <w:rPr>
        <w:rFonts w:hint="default" w:ascii="宋体" w:hAnsi="宋体" w:eastAsia="宋体" w:cs="宋体"/>
      </w:rPr>
    </w:lvl>
    <w:lvl w:ilvl="4" w:tentative="0">
      <w:start w:val="1"/>
      <w:numFmt w:val="bullet"/>
      <w:lvlText w:val="o"/>
      <w:lvlJc w:val="left"/>
      <w:pPr>
        <w:tabs>
          <w:tab w:val="left" w:pos="3600"/>
        </w:tabs>
        <w:ind w:left="3600" w:hanging="360"/>
      </w:pPr>
      <w:rPr>
        <w:rFonts w:hint="default" w:ascii="宋体" w:hAnsi="宋体" w:eastAsia="宋体" w:cs="宋体"/>
      </w:rPr>
    </w:lvl>
    <w:lvl w:ilvl="5" w:tentative="0">
      <w:start w:val="1"/>
      <w:numFmt w:val="bullet"/>
      <w:lvlText w:val=""/>
      <w:lvlJc w:val="left"/>
      <w:pPr>
        <w:tabs>
          <w:tab w:val="left" w:pos="4320"/>
        </w:tabs>
        <w:ind w:left="4320" w:hanging="360"/>
      </w:pPr>
      <w:rPr>
        <w:rFonts w:hint="default" w:ascii="宋体" w:hAnsi="宋体" w:eastAsia="宋体" w:cs="宋体"/>
      </w:rPr>
    </w:lvl>
    <w:lvl w:ilvl="6" w:tentative="0">
      <w:start w:val="1"/>
      <w:numFmt w:val="bullet"/>
      <w:lvlText w:val=""/>
      <w:lvlJc w:val="left"/>
      <w:pPr>
        <w:tabs>
          <w:tab w:val="left" w:pos="5040"/>
        </w:tabs>
        <w:ind w:left="5040" w:hanging="360"/>
      </w:pPr>
      <w:rPr>
        <w:rFonts w:hint="default" w:ascii="宋体" w:hAnsi="宋体" w:eastAsia="宋体" w:cs="宋体"/>
      </w:rPr>
    </w:lvl>
    <w:lvl w:ilvl="7" w:tentative="0">
      <w:start w:val="1"/>
      <w:numFmt w:val="bullet"/>
      <w:lvlText w:val="o"/>
      <w:lvlJc w:val="left"/>
      <w:pPr>
        <w:tabs>
          <w:tab w:val="left" w:pos="5760"/>
        </w:tabs>
        <w:ind w:left="5760" w:hanging="360"/>
      </w:pPr>
      <w:rPr>
        <w:rFonts w:hint="default" w:ascii="宋体" w:hAnsi="宋体" w:eastAsia="宋体" w:cs="宋体"/>
      </w:rPr>
    </w:lvl>
    <w:lvl w:ilvl="8" w:tentative="0">
      <w:start w:val="1"/>
      <w:numFmt w:val="bullet"/>
      <w:lvlText w:val=""/>
      <w:lvlJc w:val="left"/>
      <w:pPr>
        <w:tabs>
          <w:tab w:val="left" w:pos="6480"/>
        </w:tabs>
        <w:ind w:left="6480" w:hanging="360"/>
      </w:pPr>
      <w:rPr>
        <w:rFonts w:hint="default" w:ascii="宋体" w:hAnsi="宋体" w:eastAsia="宋体" w:cs="宋体"/>
      </w:rPr>
    </w:lvl>
  </w:abstractNum>
  <w:abstractNum w:abstractNumId="27">
    <w:nsid w:val="42FE570A"/>
    <w:multiLevelType w:val="multilevel"/>
    <w:tmpl w:val="42FE570A"/>
    <w:lvl w:ilvl="0" w:tentative="0">
      <w:start w:val="1"/>
      <w:numFmt w:val="decimal"/>
      <w:pStyle w:val="122"/>
      <w:suff w:val="nothing"/>
      <w:lvlText w:val="%1  "/>
      <w:lvlJc w:val="left"/>
      <w:pPr>
        <w:ind w:left="0" w:firstLine="0"/>
      </w:pPr>
      <w:rPr>
        <w:rFonts w:hint="default" w:ascii="宋体" w:hAnsi="宋体" w:eastAsia="宋体" w:cs="宋体"/>
        <w:b w:val="0"/>
        <w:i w:val="0"/>
        <w:sz w:val="36"/>
        <w:szCs w:val="36"/>
      </w:rPr>
    </w:lvl>
    <w:lvl w:ilvl="1" w:tentative="0">
      <w:start w:val="1"/>
      <w:numFmt w:val="decimal"/>
      <w:suff w:val="nothing"/>
      <w:lvlText w:val="%1.%2  "/>
      <w:lvlJc w:val="left"/>
      <w:pPr>
        <w:ind w:left="0" w:firstLine="0"/>
      </w:pPr>
      <w:rPr>
        <w:rFonts w:hint="default" w:ascii="宋体" w:hAnsi="宋体" w:eastAsia="宋体" w:cs="宋体"/>
        <w:b w:val="0"/>
        <w:i w:val="0"/>
        <w:sz w:val="30"/>
        <w:szCs w:val="30"/>
      </w:rPr>
    </w:lvl>
    <w:lvl w:ilvl="2" w:tentative="0">
      <w:start w:val="1"/>
      <w:numFmt w:val="decimal"/>
      <w:suff w:val="nothing"/>
      <w:lvlText w:val="%1.%2.%3  "/>
      <w:lvlJc w:val="left"/>
      <w:pPr>
        <w:ind w:left="0" w:firstLine="0"/>
      </w:pPr>
      <w:rPr>
        <w:rFonts w:hint="default" w:ascii="宋体" w:hAnsi="宋体" w:eastAsia="宋体" w:cs="宋体"/>
        <w:b w:val="0"/>
        <w:i w:val="0"/>
        <w:sz w:val="24"/>
        <w:szCs w:val="24"/>
      </w:rPr>
    </w:lvl>
    <w:lvl w:ilvl="3" w:tentative="0">
      <w:start w:val="1"/>
      <w:numFmt w:val="decimal"/>
      <w:suff w:val="nothing"/>
      <w:lvlText w:val="%1.%2.%3.%4  "/>
      <w:lvlJc w:val="left"/>
      <w:pPr>
        <w:ind w:left="0" w:firstLine="0"/>
      </w:pPr>
      <w:rPr>
        <w:rFonts w:hint="default" w:ascii="宋体" w:hAnsi="宋体" w:eastAsia="宋体" w:cs="宋体"/>
        <w:b w:val="0"/>
        <w:i w:val="0"/>
        <w:sz w:val="21"/>
        <w:szCs w:val="21"/>
      </w:rPr>
    </w:lvl>
    <w:lvl w:ilvl="4" w:tentative="0">
      <w:start w:val="1"/>
      <w:numFmt w:val="decimal"/>
      <w:lvlText w:val="%5."/>
      <w:lvlJc w:val="left"/>
      <w:pPr>
        <w:tabs>
          <w:tab w:val="left" w:pos="1134"/>
        </w:tabs>
        <w:ind w:left="1134" w:hanging="312"/>
      </w:pPr>
      <w:rPr>
        <w:rFonts w:hint="default" w:ascii="宋体" w:hAnsi="宋体" w:eastAsia="宋体" w:cs="宋体"/>
        <w:b w:val="0"/>
        <w:i w:val="0"/>
        <w:sz w:val="21"/>
        <w:szCs w:val="21"/>
      </w:rPr>
    </w:lvl>
    <w:lvl w:ilvl="5" w:tentative="0">
      <w:start w:val="1"/>
      <w:numFmt w:val="decimal"/>
      <w:lvlText w:val="%6)"/>
      <w:lvlJc w:val="left"/>
      <w:pPr>
        <w:tabs>
          <w:tab w:val="left" w:pos="1134"/>
        </w:tabs>
        <w:ind w:left="1134" w:hanging="312"/>
      </w:pPr>
      <w:rPr>
        <w:rFonts w:hint="default" w:ascii="宋体" w:hAnsi="宋体" w:eastAsia="宋体" w:cs="宋体"/>
        <w:b w:val="0"/>
        <w:i w:val="0"/>
        <w:sz w:val="21"/>
        <w:szCs w:val="21"/>
      </w:rPr>
    </w:lvl>
    <w:lvl w:ilvl="6" w:tentative="0">
      <w:start w:val="1"/>
      <w:numFmt w:val="lowerLetter"/>
      <w:lvlText w:val="%7."/>
      <w:lvlJc w:val="left"/>
      <w:pPr>
        <w:tabs>
          <w:tab w:val="left" w:pos="1134"/>
        </w:tabs>
        <w:ind w:left="1134" w:hanging="312"/>
      </w:pPr>
      <w:rPr>
        <w:rFonts w:hint="default" w:ascii="宋体" w:hAnsi="宋体" w:eastAsia="宋体" w:cs="宋体"/>
        <w:b w:val="0"/>
        <w:i w:val="0"/>
        <w:sz w:val="21"/>
        <w:szCs w:val="21"/>
      </w:rPr>
    </w:lvl>
    <w:lvl w:ilvl="7" w:tentative="0">
      <w:start w:val="1"/>
      <w:numFmt w:val="decimal"/>
      <w:lvlRestart w:val="0"/>
      <w:pStyle w:val="121"/>
      <w:suff w:val="space"/>
      <w:lvlText w:val="图%8"/>
      <w:lvlJc w:val="center"/>
      <w:pPr>
        <w:ind w:left="0" w:firstLine="0"/>
      </w:pPr>
      <w:rPr>
        <w:rFonts w:hint="default" w:ascii="宋体" w:hAnsi="宋体" w:eastAsia="宋体" w:cs="宋体"/>
        <w:b w:val="0"/>
        <w:i w:val="0"/>
        <w:sz w:val="18"/>
        <w:szCs w:val="18"/>
      </w:rPr>
    </w:lvl>
    <w:lvl w:ilvl="8" w:tentative="0">
      <w:start w:val="1"/>
      <w:numFmt w:val="decimal"/>
      <w:lvlRestart w:val="0"/>
      <w:pStyle w:val="120"/>
      <w:suff w:val="space"/>
      <w:lvlText w:val="表%9"/>
      <w:lvlJc w:val="center"/>
      <w:pPr>
        <w:ind w:left="0" w:firstLine="0"/>
      </w:pPr>
      <w:rPr>
        <w:rFonts w:hint="default" w:ascii="宋体" w:hAnsi="宋体" w:eastAsia="宋体" w:cs="宋体"/>
        <w:b w:val="0"/>
        <w:i w:val="0"/>
        <w:sz w:val="18"/>
        <w:szCs w:val="18"/>
      </w:rPr>
    </w:lvl>
  </w:abstractNum>
  <w:abstractNum w:abstractNumId="28">
    <w:nsid w:val="4B745B3B"/>
    <w:multiLevelType w:val="multilevel"/>
    <w:tmpl w:val="4B745B3B"/>
    <w:lvl w:ilvl="0" w:tentative="0">
      <w:start w:val="1"/>
      <w:numFmt w:val="bullet"/>
      <w:lvlText w:val=""/>
      <w:lvlJc w:val="left"/>
      <w:pPr>
        <w:tabs>
          <w:tab w:val="left" w:pos="1260"/>
        </w:tabs>
        <w:ind w:left="1260" w:hanging="420"/>
      </w:pPr>
      <w:rPr>
        <w:rFonts w:hint="default" w:ascii="宋体" w:hAnsi="宋体" w:eastAsia="宋体" w:cs="宋体"/>
      </w:rPr>
    </w:lvl>
    <w:lvl w:ilvl="1" w:tentative="0">
      <w:start w:val="1"/>
      <w:numFmt w:val="bullet"/>
      <w:lvlText w:val=""/>
      <w:lvlJc w:val="left"/>
      <w:pPr>
        <w:tabs>
          <w:tab w:val="left" w:pos="1680"/>
        </w:tabs>
        <w:ind w:left="1680" w:hanging="420"/>
      </w:pPr>
      <w:rPr>
        <w:rFonts w:hint="default" w:ascii="宋体" w:hAnsi="宋体" w:eastAsia="宋体" w:cs="宋体"/>
      </w:rPr>
    </w:lvl>
    <w:lvl w:ilvl="2" w:tentative="0">
      <w:start w:val="1"/>
      <w:numFmt w:val="bullet"/>
      <w:lvlText w:val=""/>
      <w:lvlJc w:val="left"/>
      <w:pPr>
        <w:tabs>
          <w:tab w:val="left" w:pos="2100"/>
        </w:tabs>
        <w:ind w:left="2100" w:hanging="420"/>
      </w:pPr>
      <w:rPr>
        <w:rFonts w:hint="default" w:ascii="宋体" w:hAnsi="宋体" w:eastAsia="宋体" w:cs="宋体"/>
      </w:rPr>
    </w:lvl>
    <w:lvl w:ilvl="3" w:tentative="0">
      <w:start w:val="1"/>
      <w:numFmt w:val="lowerRoman"/>
      <w:pStyle w:val="344"/>
      <w:lvlText w:val="%4."/>
      <w:lvlJc w:val="right"/>
      <w:pPr>
        <w:tabs>
          <w:tab w:val="left" w:pos="1680"/>
        </w:tabs>
        <w:ind w:left="1680" w:hanging="420"/>
      </w:pPr>
      <w:rPr>
        <w:rFonts w:hint="default" w:ascii="宋体" w:hAnsi="宋体" w:eastAsia="宋体" w:cs="宋体"/>
      </w:rPr>
    </w:lvl>
    <w:lvl w:ilvl="4" w:tentative="0">
      <w:start w:val="1"/>
      <w:numFmt w:val="bullet"/>
      <w:lvlText w:val=""/>
      <w:lvlJc w:val="left"/>
      <w:pPr>
        <w:tabs>
          <w:tab w:val="left" w:pos="2940"/>
        </w:tabs>
        <w:ind w:left="2940" w:hanging="420"/>
      </w:pPr>
      <w:rPr>
        <w:rFonts w:hint="default" w:ascii="宋体" w:hAnsi="宋体" w:eastAsia="宋体" w:cs="宋体"/>
      </w:rPr>
    </w:lvl>
    <w:lvl w:ilvl="5" w:tentative="0">
      <w:start w:val="1"/>
      <w:numFmt w:val="bullet"/>
      <w:lvlText w:val=""/>
      <w:lvlJc w:val="left"/>
      <w:pPr>
        <w:tabs>
          <w:tab w:val="left" w:pos="3360"/>
        </w:tabs>
        <w:ind w:left="3360" w:hanging="420"/>
      </w:pPr>
      <w:rPr>
        <w:rFonts w:hint="default" w:ascii="宋体" w:hAnsi="宋体" w:eastAsia="宋体" w:cs="宋体"/>
      </w:rPr>
    </w:lvl>
    <w:lvl w:ilvl="6" w:tentative="0">
      <w:start w:val="1"/>
      <w:numFmt w:val="bullet"/>
      <w:lvlText w:val=""/>
      <w:lvlJc w:val="left"/>
      <w:pPr>
        <w:tabs>
          <w:tab w:val="left" w:pos="3780"/>
        </w:tabs>
        <w:ind w:left="3780" w:hanging="420"/>
      </w:pPr>
      <w:rPr>
        <w:rFonts w:hint="default" w:ascii="宋体" w:hAnsi="宋体" w:eastAsia="宋体" w:cs="宋体"/>
      </w:rPr>
    </w:lvl>
    <w:lvl w:ilvl="7" w:tentative="0">
      <w:start w:val="1"/>
      <w:numFmt w:val="bullet"/>
      <w:lvlText w:val=""/>
      <w:lvlJc w:val="left"/>
      <w:pPr>
        <w:tabs>
          <w:tab w:val="left" w:pos="4200"/>
        </w:tabs>
        <w:ind w:left="4200" w:hanging="420"/>
      </w:pPr>
      <w:rPr>
        <w:rFonts w:hint="default" w:ascii="宋体" w:hAnsi="宋体" w:eastAsia="宋体" w:cs="宋体"/>
      </w:rPr>
    </w:lvl>
    <w:lvl w:ilvl="8" w:tentative="0">
      <w:start w:val="1"/>
      <w:numFmt w:val="bullet"/>
      <w:lvlText w:val=""/>
      <w:lvlJc w:val="left"/>
      <w:pPr>
        <w:tabs>
          <w:tab w:val="left" w:pos="4620"/>
        </w:tabs>
        <w:ind w:left="4620" w:hanging="420"/>
      </w:pPr>
      <w:rPr>
        <w:rFonts w:hint="default" w:ascii="宋体" w:hAnsi="宋体" w:eastAsia="宋体" w:cs="宋体"/>
      </w:rPr>
    </w:lvl>
  </w:abstractNum>
  <w:abstractNum w:abstractNumId="29">
    <w:nsid w:val="4ECC33C6"/>
    <w:multiLevelType w:val="multilevel"/>
    <w:tmpl w:val="4ECC33C6"/>
    <w:lvl w:ilvl="0" w:tentative="0">
      <w:start w:val="1"/>
      <w:numFmt w:val="japaneseCounting"/>
      <w:pStyle w:val="593"/>
      <w:lvlText w:val="第%1章"/>
      <w:lvlJc w:val="left"/>
      <w:pPr>
        <w:ind w:left="990" w:hanging="990"/>
      </w:pPr>
      <w:rPr>
        <w:rFonts w:hint="default" w:ascii="宋体" w:hAnsi="宋体" w:eastAsia="宋体" w:cs="宋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0">
    <w:nsid w:val="54126717"/>
    <w:multiLevelType w:val="singleLevel"/>
    <w:tmpl w:val="54126717"/>
    <w:lvl w:ilvl="0" w:tentative="0">
      <w:start w:val="1"/>
      <w:numFmt w:val="decimal"/>
      <w:pStyle w:val="526"/>
      <w:suff w:val="nothing"/>
      <w:lvlText w:val="（%1）"/>
      <w:lvlJc w:val="left"/>
      <w:pPr>
        <w:ind w:left="0" w:firstLine="400"/>
      </w:pPr>
    </w:lvl>
  </w:abstractNum>
  <w:abstractNum w:abstractNumId="31">
    <w:nsid w:val="553F243A"/>
    <w:multiLevelType w:val="multilevel"/>
    <w:tmpl w:val="553F243A"/>
    <w:lvl w:ilvl="0" w:tentative="0">
      <w:start w:val="1"/>
      <w:numFmt w:val="decimal"/>
      <w:suff w:val="nothing"/>
      <w:lvlText w:val="%1    "/>
      <w:lvlJc w:val="left"/>
      <w:pPr>
        <w:ind w:left="432" w:hanging="432"/>
      </w:pPr>
      <w:rPr>
        <w:rFonts w:hint="default" w:ascii="宋体" w:hAnsi="宋体" w:eastAsia="宋体" w:cs="宋体"/>
        <w:b/>
        <w:i w:val="0"/>
      </w:rPr>
    </w:lvl>
    <w:lvl w:ilvl="1" w:tentative="0">
      <w:start w:val="1"/>
      <w:numFmt w:val="decimal"/>
      <w:pStyle w:val="165"/>
      <w:suff w:val="nothing"/>
      <w:lvlText w:val="%1.%2    "/>
      <w:lvlJc w:val="left"/>
      <w:pPr>
        <w:ind w:left="576" w:hanging="576"/>
      </w:pPr>
      <w:rPr>
        <w:rFonts w:hint="default" w:ascii="宋体" w:hAnsi="宋体" w:eastAsia="宋体" w:cs="宋体"/>
        <w:b/>
        <w:i w:val="0"/>
      </w:rPr>
    </w:lvl>
    <w:lvl w:ilvl="2" w:tentative="0">
      <w:start w:val="1"/>
      <w:numFmt w:val="decimal"/>
      <w:suff w:val="nothing"/>
      <w:lvlText w:val="%1.%2.%3    "/>
      <w:lvlJc w:val="left"/>
      <w:pPr>
        <w:ind w:left="2340" w:hanging="720"/>
      </w:pPr>
      <w:rPr>
        <w:rFonts w:hint="default" w:ascii="宋体" w:hAnsi="宋体" w:eastAsia="宋体" w:cs="宋体"/>
      </w:rPr>
    </w:lvl>
    <w:lvl w:ilvl="3" w:tentative="0">
      <w:start w:val="1"/>
      <w:numFmt w:val="decimal"/>
      <w:suff w:val="nothing"/>
      <w:lvlText w:val="%1.%2.%3.%4    "/>
      <w:lvlJc w:val="left"/>
      <w:pPr>
        <w:ind w:left="864" w:hanging="864"/>
      </w:pPr>
      <w:rPr>
        <w:rFonts w:hint="default" w:ascii="宋体" w:hAnsi="宋体" w:eastAsia="宋体" w:cs="宋体"/>
        <w:b w:val="0"/>
        <w:i w:val="0"/>
        <w:sz w:val="24"/>
        <w:szCs w:val="24"/>
      </w:rPr>
    </w:lvl>
    <w:lvl w:ilvl="4" w:tentative="0">
      <w:start w:val="1"/>
      <w:numFmt w:val="decimal"/>
      <w:suff w:val="nothing"/>
      <w:lvlText w:val="%1.%2.%3.%4.%5  "/>
      <w:lvlJc w:val="left"/>
      <w:pPr>
        <w:ind w:left="1008" w:hanging="1008"/>
      </w:pPr>
      <w:rPr>
        <w:rFonts w:hint="eastAsia" w:ascii="宋体" w:hAnsi="宋体" w:eastAsia="宋体" w:cs="宋体"/>
      </w:rPr>
    </w:lvl>
    <w:lvl w:ilvl="5" w:tentative="0">
      <w:start w:val="1"/>
      <w:numFmt w:val="decimal"/>
      <w:lvlRestart w:val="2"/>
      <w:suff w:val="nothing"/>
      <w:lvlText w:val="图%1.%2-%6    "/>
      <w:lvlJc w:val="left"/>
      <w:pPr>
        <w:ind w:left="1152" w:hanging="1152"/>
      </w:pPr>
      <w:rPr>
        <w:rFonts w:hint="default" w:ascii="宋体" w:hAnsi="宋体" w:eastAsia="宋体" w:cs="宋体"/>
      </w:rPr>
    </w:lvl>
    <w:lvl w:ilvl="6" w:tentative="0">
      <w:start w:val="1"/>
      <w:numFmt w:val="decimal"/>
      <w:lvlRestart w:val="2"/>
      <w:suff w:val="nothing"/>
      <w:lvlText w:val="表%1.%2-%7    "/>
      <w:lvlJc w:val="left"/>
      <w:pPr>
        <w:ind w:left="1296" w:hanging="1296"/>
      </w:pPr>
      <w:rPr>
        <w:rFonts w:hint="eastAsia" w:ascii="宋体" w:hAnsi="宋体" w:eastAsia="宋体" w:cs="宋体"/>
      </w:rPr>
    </w:lvl>
    <w:lvl w:ilvl="7" w:tentative="0">
      <w:start w:val="1"/>
      <w:numFmt w:val="decimal"/>
      <w:lvlText w:val="%1.%2.%3.%4.%5.%6.%7.%8"/>
      <w:lvlJc w:val="left"/>
      <w:pPr>
        <w:tabs>
          <w:tab w:val="left" w:pos="1440"/>
        </w:tabs>
        <w:ind w:left="1440" w:hanging="1440"/>
      </w:pPr>
      <w:rPr>
        <w:rFonts w:hint="eastAsia" w:ascii="宋体" w:hAnsi="宋体" w:eastAsia="宋体" w:cs="宋体"/>
      </w:rPr>
    </w:lvl>
    <w:lvl w:ilvl="8" w:tentative="0">
      <w:start w:val="1"/>
      <w:numFmt w:val="decimal"/>
      <w:lvlText w:val="%1.%2.%3.%4.%5.%6.%7.%8.%9"/>
      <w:lvlJc w:val="left"/>
      <w:pPr>
        <w:tabs>
          <w:tab w:val="left" w:pos="1584"/>
        </w:tabs>
        <w:ind w:left="1584" w:hanging="1584"/>
      </w:pPr>
      <w:rPr>
        <w:rFonts w:hint="eastAsia" w:ascii="宋体" w:hAnsi="宋体" w:eastAsia="宋体" w:cs="宋体"/>
      </w:rPr>
    </w:lvl>
  </w:abstractNum>
  <w:abstractNum w:abstractNumId="32">
    <w:nsid w:val="55707E98"/>
    <w:multiLevelType w:val="multilevel"/>
    <w:tmpl w:val="55707E98"/>
    <w:lvl w:ilvl="0" w:tentative="0">
      <w:start w:val="1"/>
      <w:numFmt w:val="bullet"/>
      <w:pStyle w:val="568"/>
      <w:lvlText w:val=""/>
      <w:lvlJc w:val="left"/>
      <w:pPr>
        <w:tabs>
          <w:tab w:val="left" w:pos="840"/>
        </w:tabs>
        <w:ind w:left="840" w:hanging="420"/>
      </w:pPr>
      <w:rPr>
        <w:rFonts w:hint="default" w:ascii="宋体" w:hAnsi="宋体" w:eastAsia="宋体" w:cs="宋体"/>
      </w:rPr>
    </w:lvl>
    <w:lvl w:ilvl="1" w:tentative="0">
      <w:start w:val="1"/>
      <w:numFmt w:val="bullet"/>
      <w:pStyle w:val="569"/>
      <w:lvlText w:val=""/>
      <w:lvlJc w:val="left"/>
      <w:pPr>
        <w:tabs>
          <w:tab w:val="left" w:pos="1260"/>
        </w:tabs>
        <w:ind w:left="1260" w:hanging="420"/>
      </w:pPr>
      <w:rPr>
        <w:rFonts w:hint="default" w:ascii="宋体" w:hAnsi="宋体" w:eastAsia="宋体" w:cs="宋体"/>
      </w:rPr>
    </w:lvl>
    <w:lvl w:ilvl="2" w:tentative="0">
      <w:start w:val="1"/>
      <w:numFmt w:val="bullet"/>
      <w:lvlText w:val=""/>
      <w:lvlJc w:val="left"/>
      <w:pPr>
        <w:tabs>
          <w:tab w:val="left" w:pos="1680"/>
        </w:tabs>
        <w:ind w:left="1680" w:hanging="420"/>
      </w:pPr>
      <w:rPr>
        <w:rFonts w:hint="default" w:ascii="宋体" w:hAnsi="宋体" w:eastAsia="宋体" w:cs="宋体"/>
      </w:rPr>
    </w:lvl>
    <w:lvl w:ilvl="3" w:tentative="0">
      <w:start w:val="1"/>
      <w:numFmt w:val="bullet"/>
      <w:lvlText w:val=""/>
      <w:lvlJc w:val="left"/>
      <w:pPr>
        <w:tabs>
          <w:tab w:val="left" w:pos="2100"/>
        </w:tabs>
        <w:ind w:left="2100" w:hanging="420"/>
      </w:pPr>
      <w:rPr>
        <w:rFonts w:hint="default" w:ascii="宋体" w:hAnsi="宋体" w:eastAsia="宋体" w:cs="宋体"/>
      </w:rPr>
    </w:lvl>
    <w:lvl w:ilvl="4" w:tentative="0">
      <w:start w:val="1"/>
      <w:numFmt w:val="bullet"/>
      <w:lvlText w:val=""/>
      <w:lvlJc w:val="left"/>
      <w:pPr>
        <w:tabs>
          <w:tab w:val="left" w:pos="2520"/>
        </w:tabs>
        <w:ind w:left="2520" w:hanging="420"/>
      </w:pPr>
      <w:rPr>
        <w:rFonts w:hint="default" w:ascii="宋体" w:hAnsi="宋体" w:eastAsia="宋体" w:cs="宋体"/>
      </w:rPr>
    </w:lvl>
    <w:lvl w:ilvl="5" w:tentative="0">
      <w:start w:val="1"/>
      <w:numFmt w:val="bullet"/>
      <w:lvlText w:val=""/>
      <w:lvlJc w:val="left"/>
      <w:pPr>
        <w:tabs>
          <w:tab w:val="left" w:pos="2940"/>
        </w:tabs>
        <w:ind w:left="2940" w:hanging="420"/>
      </w:pPr>
      <w:rPr>
        <w:rFonts w:hint="default" w:ascii="宋体" w:hAnsi="宋体" w:eastAsia="宋体" w:cs="宋体"/>
      </w:rPr>
    </w:lvl>
    <w:lvl w:ilvl="6" w:tentative="0">
      <w:start w:val="1"/>
      <w:numFmt w:val="bullet"/>
      <w:lvlText w:val=""/>
      <w:lvlJc w:val="left"/>
      <w:pPr>
        <w:tabs>
          <w:tab w:val="left" w:pos="3360"/>
        </w:tabs>
        <w:ind w:left="3360" w:hanging="420"/>
      </w:pPr>
      <w:rPr>
        <w:rFonts w:hint="default" w:ascii="宋体" w:hAnsi="宋体" w:eastAsia="宋体" w:cs="宋体"/>
      </w:rPr>
    </w:lvl>
    <w:lvl w:ilvl="7" w:tentative="0">
      <w:start w:val="1"/>
      <w:numFmt w:val="bullet"/>
      <w:lvlText w:val=""/>
      <w:lvlJc w:val="left"/>
      <w:pPr>
        <w:tabs>
          <w:tab w:val="left" w:pos="3780"/>
        </w:tabs>
        <w:ind w:left="3780" w:hanging="420"/>
      </w:pPr>
      <w:rPr>
        <w:rFonts w:hint="default" w:ascii="宋体" w:hAnsi="宋体" w:eastAsia="宋体" w:cs="宋体"/>
      </w:rPr>
    </w:lvl>
    <w:lvl w:ilvl="8" w:tentative="0">
      <w:start w:val="1"/>
      <w:numFmt w:val="bullet"/>
      <w:lvlText w:val=""/>
      <w:lvlJc w:val="left"/>
      <w:pPr>
        <w:tabs>
          <w:tab w:val="left" w:pos="4200"/>
        </w:tabs>
        <w:ind w:left="4200" w:hanging="420"/>
      </w:pPr>
      <w:rPr>
        <w:rFonts w:hint="default" w:ascii="宋体" w:hAnsi="宋体" w:eastAsia="宋体" w:cs="宋体"/>
      </w:rPr>
    </w:lvl>
  </w:abstractNum>
  <w:abstractNum w:abstractNumId="33">
    <w:nsid w:val="56B10783"/>
    <w:multiLevelType w:val="multilevel"/>
    <w:tmpl w:val="56B10783"/>
    <w:lvl w:ilvl="0" w:tentative="0">
      <w:start w:val="1"/>
      <w:numFmt w:val="bullet"/>
      <w:pStyle w:val="106"/>
      <w:lvlText w:val=""/>
      <w:lvlJc w:val="left"/>
      <w:pPr>
        <w:ind w:left="420" w:hanging="420"/>
      </w:pPr>
      <w:rPr>
        <w:rFonts w:hint="default" w:ascii="宋体" w:hAnsi="宋体" w:eastAsia="宋体" w:cs="宋体"/>
      </w:rPr>
    </w:lvl>
    <w:lvl w:ilvl="1" w:tentative="0">
      <w:start w:val="1"/>
      <w:numFmt w:val="bullet"/>
      <w:lvlText w:val=""/>
      <w:lvlJc w:val="left"/>
      <w:pPr>
        <w:ind w:left="840" w:hanging="420"/>
      </w:pPr>
      <w:rPr>
        <w:rFonts w:hint="default" w:ascii="宋体" w:hAnsi="宋体" w:eastAsia="宋体" w:cs="宋体"/>
      </w:rPr>
    </w:lvl>
    <w:lvl w:ilvl="2" w:tentative="0">
      <w:start w:val="1"/>
      <w:numFmt w:val="bullet"/>
      <w:lvlText w:val=""/>
      <w:lvlJc w:val="left"/>
      <w:pPr>
        <w:ind w:left="1260" w:hanging="420"/>
      </w:pPr>
      <w:rPr>
        <w:rFonts w:hint="default" w:ascii="宋体" w:hAnsi="宋体" w:eastAsia="宋体" w:cs="宋体"/>
      </w:rPr>
    </w:lvl>
    <w:lvl w:ilvl="3" w:tentative="0">
      <w:start w:val="1"/>
      <w:numFmt w:val="bullet"/>
      <w:lvlText w:val=""/>
      <w:lvlJc w:val="left"/>
      <w:pPr>
        <w:ind w:left="1680" w:hanging="420"/>
      </w:pPr>
      <w:rPr>
        <w:rFonts w:hint="default" w:ascii="宋体" w:hAnsi="宋体" w:eastAsia="宋体" w:cs="宋体"/>
      </w:rPr>
    </w:lvl>
    <w:lvl w:ilvl="4" w:tentative="0">
      <w:start w:val="1"/>
      <w:numFmt w:val="bullet"/>
      <w:lvlText w:val=""/>
      <w:lvlJc w:val="left"/>
      <w:pPr>
        <w:ind w:left="2100" w:hanging="420"/>
      </w:pPr>
      <w:rPr>
        <w:rFonts w:hint="default" w:ascii="宋体" w:hAnsi="宋体" w:eastAsia="宋体" w:cs="宋体"/>
      </w:rPr>
    </w:lvl>
    <w:lvl w:ilvl="5" w:tentative="0">
      <w:start w:val="1"/>
      <w:numFmt w:val="bullet"/>
      <w:lvlText w:val=""/>
      <w:lvlJc w:val="left"/>
      <w:pPr>
        <w:ind w:left="2520" w:hanging="420"/>
      </w:pPr>
      <w:rPr>
        <w:rFonts w:hint="default" w:ascii="宋体" w:hAnsi="宋体" w:eastAsia="宋体" w:cs="宋体"/>
      </w:rPr>
    </w:lvl>
    <w:lvl w:ilvl="6" w:tentative="0">
      <w:start w:val="1"/>
      <w:numFmt w:val="bullet"/>
      <w:lvlText w:val=""/>
      <w:lvlJc w:val="left"/>
      <w:pPr>
        <w:ind w:left="2940" w:hanging="420"/>
      </w:pPr>
      <w:rPr>
        <w:rFonts w:hint="default" w:ascii="宋体" w:hAnsi="宋体" w:eastAsia="宋体" w:cs="宋体"/>
      </w:rPr>
    </w:lvl>
    <w:lvl w:ilvl="7" w:tentative="0">
      <w:start w:val="1"/>
      <w:numFmt w:val="bullet"/>
      <w:lvlText w:val=""/>
      <w:lvlJc w:val="left"/>
      <w:pPr>
        <w:ind w:left="3360" w:hanging="420"/>
      </w:pPr>
      <w:rPr>
        <w:rFonts w:hint="default" w:ascii="宋体" w:hAnsi="宋体" w:eastAsia="宋体" w:cs="宋体"/>
      </w:rPr>
    </w:lvl>
    <w:lvl w:ilvl="8" w:tentative="0">
      <w:start w:val="1"/>
      <w:numFmt w:val="bullet"/>
      <w:lvlText w:val=""/>
      <w:lvlJc w:val="left"/>
      <w:pPr>
        <w:ind w:left="3780" w:hanging="420"/>
      </w:pPr>
      <w:rPr>
        <w:rFonts w:hint="default" w:ascii="宋体" w:hAnsi="宋体" w:eastAsia="宋体" w:cs="宋体"/>
      </w:rPr>
    </w:lvl>
  </w:abstractNum>
  <w:abstractNum w:abstractNumId="34">
    <w:nsid w:val="585613AA"/>
    <w:multiLevelType w:val="multilevel"/>
    <w:tmpl w:val="585613AA"/>
    <w:lvl w:ilvl="0" w:tentative="0">
      <w:start w:val="1"/>
      <w:numFmt w:val="decimal"/>
      <w:lvlText w:val="%1."/>
      <w:lvlJc w:val="left"/>
      <w:pPr>
        <w:tabs>
          <w:tab w:val="left" w:pos="720"/>
        </w:tabs>
        <w:ind w:left="720" w:hanging="360"/>
      </w:pPr>
      <w:rPr>
        <w:rFonts w:hint="eastAsia" w:ascii="宋体" w:hAnsi="宋体" w:eastAsia="宋体" w:cs="宋体"/>
      </w:rPr>
    </w:lvl>
    <w:lvl w:ilvl="1" w:tentative="0">
      <w:start w:val="1"/>
      <w:numFmt w:val="decimal"/>
      <w:pStyle w:val="478"/>
      <w:lvlText w:val="[%2]"/>
      <w:lvlJc w:val="left"/>
      <w:pPr>
        <w:tabs>
          <w:tab w:val="left" w:pos="1494"/>
        </w:tabs>
        <w:ind w:left="1134" w:firstLine="0"/>
      </w:pPr>
      <w:rPr>
        <w:rFonts w:hint="default" w:ascii="宋体" w:hAnsi="宋体" w:eastAsia="宋体" w:cs="宋体"/>
      </w:rPr>
    </w:lvl>
    <w:lvl w:ilvl="2" w:tentative="0">
      <w:start w:val="1"/>
      <w:numFmt w:val="decimal"/>
      <w:pStyle w:val="479"/>
      <w:lvlText w:val="[REF-%3]"/>
      <w:lvlJc w:val="left"/>
      <w:pPr>
        <w:tabs>
          <w:tab w:val="left" w:pos="1854"/>
        </w:tabs>
        <w:ind w:left="1134" w:firstLine="0"/>
      </w:pPr>
      <w:rPr>
        <w:rFonts w:hint="default" w:ascii="宋体" w:hAnsi="宋体" w:eastAsia="宋体" w:cs="宋体"/>
      </w:rPr>
    </w:lvl>
    <w:lvl w:ilvl="3" w:tentative="0">
      <w:start w:val="1"/>
      <w:numFmt w:val="decimal"/>
      <w:lvlText w:val="%4."/>
      <w:lvlJc w:val="left"/>
      <w:pPr>
        <w:tabs>
          <w:tab w:val="left" w:pos="2880"/>
        </w:tabs>
        <w:ind w:left="2880" w:hanging="360"/>
      </w:pPr>
    </w:lvl>
    <w:lvl w:ilvl="4" w:tentative="0">
      <w:start w:val="1"/>
      <w:numFmt w:val="lowerLetter"/>
      <w:lvlText w:val="%5."/>
      <w:lvlJc w:val="left"/>
      <w:pPr>
        <w:tabs>
          <w:tab w:val="left" w:pos="3600"/>
        </w:tabs>
        <w:ind w:left="3600" w:hanging="360"/>
      </w:pPr>
    </w:lvl>
    <w:lvl w:ilvl="5" w:tentative="0">
      <w:start w:val="1"/>
      <w:numFmt w:val="lowerRoman"/>
      <w:lvlText w:val="%6."/>
      <w:lvlJc w:val="right"/>
      <w:pPr>
        <w:tabs>
          <w:tab w:val="left" w:pos="4320"/>
        </w:tabs>
        <w:ind w:left="4320" w:hanging="180"/>
      </w:pPr>
    </w:lvl>
    <w:lvl w:ilvl="6" w:tentative="0">
      <w:start w:val="1"/>
      <w:numFmt w:val="decimal"/>
      <w:lvlText w:val="%7."/>
      <w:lvlJc w:val="left"/>
      <w:pPr>
        <w:tabs>
          <w:tab w:val="left" w:pos="5040"/>
        </w:tabs>
        <w:ind w:left="5040" w:hanging="360"/>
      </w:pPr>
    </w:lvl>
    <w:lvl w:ilvl="7" w:tentative="0">
      <w:start w:val="1"/>
      <w:numFmt w:val="lowerLetter"/>
      <w:lvlText w:val="%8."/>
      <w:lvlJc w:val="left"/>
      <w:pPr>
        <w:tabs>
          <w:tab w:val="left" w:pos="5760"/>
        </w:tabs>
        <w:ind w:left="5760" w:hanging="360"/>
      </w:pPr>
    </w:lvl>
    <w:lvl w:ilvl="8" w:tentative="0">
      <w:start w:val="1"/>
      <w:numFmt w:val="lowerRoman"/>
      <w:lvlText w:val="%9."/>
      <w:lvlJc w:val="right"/>
      <w:pPr>
        <w:tabs>
          <w:tab w:val="left" w:pos="6480"/>
        </w:tabs>
        <w:ind w:left="6480" w:hanging="180"/>
      </w:pPr>
    </w:lvl>
  </w:abstractNum>
  <w:abstractNum w:abstractNumId="35">
    <w:nsid w:val="58724766"/>
    <w:multiLevelType w:val="multilevel"/>
    <w:tmpl w:val="58724766"/>
    <w:lvl w:ilvl="0" w:tentative="0">
      <w:start w:val="1"/>
      <w:numFmt w:val="bullet"/>
      <w:pStyle w:val="366"/>
      <w:lvlText w:val=""/>
      <w:lvlJc w:val="left"/>
      <w:pPr>
        <w:tabs>
          <w:tab w:val="left" w:pos="340"/>
        </w:tabs>
        <w:ind w:left="567" w:hanging="567"/>
      </w:pPr>
      <w:rPr>
        <w:rFonts w:hint="default" w:ascii="宋体" w:hAnsi="宋体" w:eastAsia="宋体" w:cs="宋体"/>
        <w:color w:val="auto"/>
        <w:sz w:val="13"/>
        <w:szCs w:val="13"/>
      </w:rPr>
    </w:lvl>
    <w:lvl w:ilvl="1" w:tentative="0">
      <w:start w:val="1"/>
      <w:numFmt w:val="bullet"/>
      <w:lvlText w:val=""/>
      <w:lvlJc w:val="left"/>
      <w:pPr>
        <w:tabs>
          <w:tab w:val="left" w:pos="840"/>
        </w:tabs>
        <w:ind w:left="840" w:hanging="420"/>
      </w:pPr>
      <w:rPr>
        <w:rFonts w:hint="default" w:ascii="宋体" w:hAnsi="宋体" w:eastAsia="宋体" w:cs="宋体"/>
      </w:rPr>
    </w:lvl>
    <w:lvl w:ilvl="2" w:tentative="0">
      <w:start w:val="1"/>
      <w:numFmt w:val="bullet"/>
      <w:lvlText w:val=""/>
      <w:lvlJc w:val="left"/>
      <w:pPr>
        <w:tabs>
          <w:tab w:val="left" w:pos="1260"/>
        </w:tabs>
        <w:ind w:left="1260" w:hanging="420"/>
      </w:pPr>
      <w:rPr>
        <w:rFonts w:hint="default" w:ascii="宋体" w:hAnsi="宋体" w:eastAsia="宋体" w:cs="宋体"/>
      </w:rPr>
    </w:lvl>
    <w:lvl w:ilvl="3" w:tentative="0">
      <w:start w:val="1"/>
      <w:numFmt w:val="bullet"/>
      <w:lvlText w:val=""/>
      <w:lvlJc w:val="left"/>
      <w:pPr>
        <w:tabs>
          <w:tab w:val="left" w:pos="1680"/>
        </w:tabs>
        <w:ind w:left="1680" w:hanging="420"/>
      </w:pPr>
      <w:rPr>
        <w:rFonts w:hint="default" w:ascii="宋体" w:hAnsi="宋体" w:eastAsia="宋体" w:cs="宋体"/>
      </w:rPr>
    </w:lvl>
    <w:lvl w:ilvl="4" w:tentative="0">
      <w:start w:val="1"/>
      <w:numFmt w:val="bullet"/>
      <w:lvlText w:val=""/>
      <w:lvlJc w:val="left"/>
      <w:pPr>
        <w:tabs>
          <w:tab w:val="left" w:pos="2100"/>
        </w:tabs>
        <w:ind w:left="2100" w:hanging="420"/>
      </w:pPr>
      <w:rPr>
        <w:rFonts w:hint="default" w:ascii="宋体" w:hAnsi="宋体" w:eastAsia="宋体" w:cs="宋体"/>
      </w:rPr>
    </w:lvl>
    <w:lvl w:ilvl="5" w:tentative="0">
      <w:start w:val="1"/>
      <w:numFmt w:val="bullet"/>
      <w:lvlText w:val=""/>
      <w:lvlJc w:val="left"/>
      <w:pPr>
        <w:tabs>
          <w:tab w:val="left" w:pos="2520"/>
        </w:tabs>
        <w:ind w:left="2520" w:hanging="420"/>
      </w:pPr>
      <w:rPr>
        <w:rFonts w:hint="default" w:ascii="宋体" w:hAnsi="宋体" w:eastAsia="宋体" w:cs="宋体"/>
      </w:rPr>
    </w:lvl>
    <w:lvl w:ilvl="6" w:tentative="0">
      <w:start w:val="1"/>
      <w:numFmt w:val="bullet"/>
      <w:lvlText w:val=""/>
      <w:lvlJc w:val="left"/>
      <w:pPr>
        <w:tabs>
          <w:tab w:val="left" w:pos="2940"/>
        </w:tabs>
        <w:ind w:left="2940" w:hanging="420"/>
      </w:pPr>
      <w:rPr>
        <w:rFonts w:hint="default" w:ascii="宋体" w:hAnsi="宋体" w:eastAsia="宋体" w:cs="宋体"/>
      </w:rPr>
    </w:lvl>
    <w:lvl w:ilvl="7" w:tentative="0">
      <w:start w:val="1"/>
      <w:numFmt w:val="bullet"/>
      <w:lvlText w:val=""/>
      <w:lvlJc w:val="left"/>
      <w:pPr>
        <w:tabs>
          <w:tab w:val="left" w:pos="3360"/>
        </w:tabs>
        <w:ind w:left="3360" w:hanging="420"/>
      </w:pPr>
      <w:rPr>
        <w:rFonts w:hint="default" w:ascii="宋体" w:hAnsi="宋体" w:eastAsia="宋体" w:cs="宋体"/>
      </w:rPr>
    </w:lvl>
    <w:lvl w:ilvl="8" w:tentative="0">
      <w:start w:val="1"/>
      <w:numFmt w:val="bullet"/>
      <w:lvlText w:val=""/>
      <w:lvlJc w:val="left"/>
      <w:pPr>
        <w:tabs>
          <w:tab w:val="left" w:pos="3780"/>
        </w:tabs>
        <w:ind w:left="3780" w:hanging="420"/>
      </w:pPr>
      <w:rPr>
        <w:rFonts w:hint="default" w:ascii="宋体" w:hAnsi="宋体" w:eastAsia="宋体" w:cs="宋体"/>
      </w:rPr>
    </w:lvl>
  </w:abstractNum>
  <w:abstractNum w:abstractNumId="36">
    <w:nsid w:val="5ED14BF3"/>
    <w:multiLevelType w:val="multilevel"/>
    <w:tmpl w:val="5ED14BF3"/>
    <w:lvl w:ilvl="0" w:tentative="0">
      <w:start w:val="1"/>
      <w:numFmt w:val="bullet"/>
      <w:pStyle w:val="280"/>
      <w:lvlText w:val=""/>
      <w:lvlJc w:val="left"/>
      <w:pPr>
        <w:tabs>
          <w:tab w:val="left" w:pos="284"/>
        </w:tabs>
        <w:ind w:left="284" w:hanging="284"/>
      </w:pPr>
      <w:rPr>
        <w:rFonts w:hint="default" w:ascii="宋体" w:hAnsi="宋体" w:eastAsia="宋体" w:cs="宋体"/>
        <w:b w:val="0"/>
        <w:i w:val="0"/>
        <w:color w:val="auto"/>
        <w:sz w:val="13"/>
        <w:szCs w:val="13"/>
        <w:u w:val="none"/>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7">
    <w:nsid w:val="5FBA2ED2"/>
    <w:multiLevelType w:val="multilevel"/>
    <w:tmpl w:val="5FBA2ED2"/>
    <w:lvl w:ilvl="0" w:tentative="0">
      <w:start w:val="1"/>
      <w:numFmt w:val="decimal"/>
      <w:pStyle w:val="126"/>
      <w:lvlText w:val="%1)"/>
      <w:lvlJc w:val="left"/>
      <w:pPr>
        <w:ind w:left="950" w:hanging="360"/>
      </w:pPr>
      <w:rPr>
        <w:rFonts w:hint="default" w:ascii="宋体" w:hAnsi="宋体" w:eastAsia="宋体" w:cs="宋体"/>
      </w:rPr>
    </w:lvl>
    <w:lvl w:ilvl="1" w:tentative="0">
      <w:start w:val="1"/>
      <w:numFmt w:val="lowerLetter"/>
      <w:lvlText w:val="%2)"/>
      <w:lvlJc w:val="left"/>
      <w:pPr>
        <w:ind w:left="1430" w:hanging="420"/>
      </w:pPr>
    </w:lvl>
    <w:lvl w:ilvl="2" w:tentative="0">
      <w:start w:val="1"/>
      <w:numFmt w:val="lowerRoman"/>
      <w:lvlText w:val="%3."/>
      <w:lvlJc w:val="right"/>
      <w:pPr>
        <w:ind w:left="1850" w:hanging="420"/>
      </w:pPr>
    </w:lvl>
    <w:lvl w:ilvl="3" w:tentative="0">
      <w:start w:val="1"/>
      <w:numFmt w:val="decimal"/>
      <w:lvlText w:val="%4."/>
      <w:lvlJc w:val="left"/>
      <w:pPr>
        <w:ind w:left="2270" w:hanging="420"/>
      </w:pPr>
    </w:lvl>
    <w:lvl w:ilvl="4" w:tentative="0">
      <w:start w:val="1"/>
      <w:numFmt w:val="lowerLetter"/>
      <w:lvlText w:val="%5)"/>
      <w:lvlJc w:val="left"/>
      <w:pPr>
        <w:ind w:left="2690" w:hanging="420"/>
      </w:pPr>
    </w:lvl>
    <w:lvl w:ilvl="5" w:tentative="0">
      <w:start w:val="1"/>
      <w:numFmt w:val="lowerRoman"/>
      <w:lvlText w:val="%6."/>
      <w:lvlJc w:val="right"/>
      <w:pPr>
        <w:ind w:left="3110" w:hanging="420"/>
      </w:pPr>
    </w:lvl>
    <w:lvl w:ilvl="6" w:tentative="0">
      <w:start w:val="1"/>
      <w:numFmt w:val="decimal"/>
      <w:lvlText w:val="%7."/>
      <w:lvlJc w:val="left"/>
      <w:pPr>
        <w:ind w:left="3530" w:hanging="420"/>
      </w:pPr>
    </w:lvl>
    <w:lvl w:ilvl="7" w:tentative="0">
      <w:start w:val="1"/>
      <w:numFmt w:val="lowerLetter"/>
      <w:lvlText w:val="%8)"/>
      <w:lvlJc w:val="left"/>
      <w:pPr>
        <w:ind w:left="3950" w:hanging="420"/>
      </w:pPr>
    </w:lvl>
    <w:lvl w:ilvl="8" w:tentative="0">
      <w:start w:val="1"/>
      <w:numFmt w:val="lowerRoman"/>
      <w:lvlText w:val="%9."/>
      <w:lvlJc w:val="right"/>
      <w:pPr>
        <w:ind w:left="4370" w:hanging="420"/>
      </w:pPr>
    </w:lvl>
  </w:abstractNum>
  <w:abstractNum w:abstractNumId="38">
    <w:nsid w:val="62CC74CA"/>
    <w:multiLevelType w:val="multilevel"/>
    <w:tmpl w:val="62CC74CA"/>
    <w:lvl w:ilvl="0" w:tentative="0">
      <w:start w:val="1"/>
      <w:numFmt w:val="decimal"/>
      <w:pStyle w:val="412"/>
      <w:lvlText w:val="第%1.章"/>
      <w:lvlJc w:val="center"/>
      <w:pPr>
        <w:ind w:left="3240" w:firstLine="0"/>
      </w:pPr>
      <w:rPr>
        <w:rFonts w:hint="eastAsia" w:ascii="宋体" w:hAnsi="宋体" w:eastAsia="宋体" w:cs="宋体"/>
        <w:lang w:val="en-US"/>
      </w:rPr>
    </w:lvl>
    <w:lvl w:ilvl="1" w:tentative="0">
      <w:start w:val="1"/>
      <w:numFmt w:val="none"/>
      <w:isLgl/>
      <w:suff w:val="space"/>
      <w:lvlText w:val="4.1"/>
      <w:lvlJc w:val="left"/>
      <w:pPr>
        <w:ind w:left="120" w:firstLine="0"/>
      </w:pPr>
      <w:rPr>
        <w:rFonts w:hint="eastAsia" w:ascii="宋体" w:hAnsi="宋体" w:eastAsia="宋体" w:cs="宋体"/>
      </w:rPr>
    </w:lvl>
    <w:lvl w:ilvl="2" w:tentative="0">
      <w:start w:val="1"/>
      <w:numFmt w:val="decimal"/>
      <w:isLgl/>
      <w:suff w:val="space"/>
      <w:lvlText w:val="2.%2.%3 "/>
      <w:lvlJc w:val="left"/>
      <w:pPr>
        <w:ind w:left="-327" w:firstLine="567"/>
      </w:pPr>
      <w:rPr>
        <w:rFonts w:hint="eastAsia" w:ascii="宋体" w:hAnsi="宋体" w:eastAsia="宋体" w:cs="宋体"/>
      </w:rPr>
    </w:lvl>
    <w:lvl w:ilvl="3" w:tentative="0">
      <w:start w:val="1"/>
      <w:numFmt w:val="decimal"/>
      <w:isLgl/>
      <w:suff w:val="space"/>
      <w:lvlText w:val="2.%2.%3.%4 "/>
      <w:lvlJc w:val="left"/>
      <w:pPr>
        <w:ind w:left="0" w:firstLine="567"/>
      </w:pPr>
      <w:rPr>
        <w:rFonts w:hint="eastAsia" w:ascii="宋体" w:hAnsi="宋体" w:eastAsia="宋体" w:cs="宋体"/>
      </w:rPr>
    </w:lvl>
    <w:lvl w:ilvl="4" w:tentative="0">
      <w:start w:val="1"/>
      <w:numFmt w:val="decimal"/>
      <w:isLgl/>
      <w:lvlText w:val="%1.%2.%3.%4.%5"/>
      <w:lvlJc w:val="left"/>
      <w:pPr>
        <w:tabs>
          <w:tab w:val="left" w:pos="1440"/>
        </w:tabs>
        <w:ind w:left="1008" w:hanging="1008"/>
      </w:pPr>
      <w:rPr>
        <w:rFonts w:hint="eastAsia" w:ascii="宋体" w:hAnsi="宋体" w:eastAsia="宋体" w:cs="宋体"/>
      </w:rPr>
    </w:lvl>
    <w:lvl w:ilvl="5" w:tentative="0">
      <w:start w:val="1"/>
      <w:numFmt w:val="decimal"/>
      <w:isLgl/>
      <w:lvlText w:val="%1.%2.%3.%4.%5.%6"/>
      <w:lvlJc w:val="left"/>
      <w:pPr>
        <w:tabs>
          <w:tab w:val="left" w:pos="2160"/>
        </w:tabs>
        <w:ind w:left="1152" w:hanging="1152"/>
      </w:pPr>
      <w:rPr>
        <w:rFonts w:hint="eastAsia" w:ascii="宋体" w:hAnsi="宋体" w:eastAsia="宋体" w:cs="宋体"/>
      </w:rPr>
    </w:lvl>
    <w:lvl w:ilvl="6" w:tentative="0">
      <w:start w:val="1"/>
      <w:numFmt w:val="decimal"/>
      <w:isLgl/>
      <w:lvlText w:val="%1.%2.%3.%4.%5.%6.%7"/>
      <w:lvlJc w:val="left"/>
      <w:pPr>
        <w:tabs>
          <w:tab w:val="left" w:pos="2520"/>
        </w:tabs>
        <w:ind w:left="1296" w:hanging="1296"/>
      </w:pPr>
      <w:rPr>
        <w:rFonts w:hint="eastAsia" w:ascii="宋体" w:hAnsi="宋体" w:eastAsia="宋体" w:cs="宋体"/>
      </w:rPr>
    </w:lvl>
    <w:lvl w:ilvl="7" w:tentative="0">
      <w:start w:val="1"/>
      <w:numFmt w:val="decimal"/>
      <w:isLgl/>
      <w:lvlText w:val="%1.%2.%3.%4.%5.%6.%7.%8"/>
      <w:lvlJc w:val="left"/>
      <w:pPr>
        <w:tabs>
          <w:tab w:val="left" w:pos="2880"/>
        </w:tabs>
        <w:ind w:left="1440" w:hanging="1440"/>
      </w:pPr>
      <w:rPr>
        <w:rFonts w:hint="eastAsia" w:ascii="宋体" w:hAnsi="宋体" w:eastAsia="宋体" w:cs="宋体"/>
      </w:rPr>
    </w:lvl>
    <w:lvl w:ilvl="8" w:tentative="0">
      <w:start w:val="1"/>
      <w:numFmt w:val="decimal"/>
      <w:isLgl/>
      <w:lvlText w:val="%1.%2.%3.%4.%5.%6.%7.%8.%9"/>
      <w:lvlJc w:val="left"/>
      <w:pPr>
        <w:tabs>
          <w:tab w:val="left" w:pos="2880"/>
        </w:tabs>
        <w:ind w:left="1584" w:hanging="1584"/>
      </w:pPr>
      <w:rPr>
        <w:rFonts w:hint="eastAsia" w:ascii="宋体" w:hAnsi="宋体" w:eastAsia="宋体" w:cs="宋体"/>
      </w:rPr>
    </w:lvl>
  </w:abstractNum>
  <w:abstractNum w:abstractNumId="39">
    <w:nsid w:val="63546429"/>
    <w:multiLevelType w:val="multilevel"/>
    <w:tmpl w:val="63546429"/>
    <w:lvl w:ilvl="0" w:tentative="0">
      <w:start w:val="1"/>
      <w:numFmt w:val="decimal"/>
      <w:lvlText w:val="%1"/>
      <w:lvlJc w:val="left"/>
      <w:pPr>
        <w:tabs>
          <w:tab w:val="left" w:pos="432"/>
        </w:tabs>
        <w:ind w:left="432" w:hanging="432"/>
      </w:pPr>
      <w:rPr>
        <w:rFonts w:hint="eastAsia" w:ascii="宋体" w:hAnsi="宋体" w:eastAsia="宋体" w:cs="宋体"/>
      </w:rPr>
    </w:lvl>
    <w:lvl w:ilvl="1" w:tentative="0">
      <w:start w:val="1"/>
      <w:numFmt w:val="decimal"/>
      <w:lvlText w:val="%1.%2"/>
      <w:lvlJc w:val="left"/>
      <w:pPr>
        <w:tabs>
          <w:tab w:val="left" w:pos="576"/>
        </w:tabs>
        <w:ind w:left="576" w:hanging="576"/>
      </w:pPr>
      <w:rPr>
        <w:rFonts w:hint="eastAsia" w:ascii="宋体" w:hAnsi="宋体" w:eastAsia="宋体" w:cs="宋体"/>
      </w:rPr>
    </w:lvl>
    <w:lvl w:ilvl="2" w:tentative="0">
      <w:start w:val="1"/>
      <w:numFmt w:val="decimal"/>
      <w:pStyle w:val="299"/>
      <w:lvlText w:val="%1.%2.%3"/>
      <w:lvlJc w:val="left"/>
      <w:pPr>
        <w:tabs>
          <w:tab w:val="left" w:pos="720"/>
        </w:tabs>
        <w:ind w:left="720" w:hanging="720"/>
      </w:pPr>
      <w:rPr>
        <w:rFonts w:hint="eastAsia" w:ascii="宋体" w:hAnsi="宋体" w:eastAsia="宋体" w:cs="宋体"/>
      </w:rPr>
    </w:lvl>
    <w:lvl w:ilvl="3" w:tentative="0">
      <w:start w:val="1"/>
      <w:numFmt w:val="decimal"/>
      <w:lvlText w:val="%1.%2.%3.%4"/>
      <w:lvlJc w:val="left"/>
      <w:pPr>
        <w:tabs>
          <w:tab w:val="left" w:pos="864"/>
        </w:tabs>
        <w:ind w:left="864" w:hanging="864"/>
      </w:pPr>
      <w:rPr>
        <w:rFonts w:hint="eastAsia" w:ascii="宋体" w:hAnsi="宋体" w:eastAsia="宋体" w:cs="宋体"/>
      </w:rPr>
    </w:lvl>
    <w:lvl w:ilvl="4" w:tentative="0">
      <w:start w:val="1"/>
      <w:numFmt w:val="decimal"/>
      <w:lvlText w:val="%5）"/>
      <w:lvlJc w:val="left"/>
      <w:pPr>
        <w:tabs>
          <w:tab w:val="left" w:pos="1008"/>
        </w:tabs>
        <w:ind w:left="1008" w:hanging="1008"/>
      </w:pPr>
      <w:rPr>
        <w:rFonts w:ascii="宋体" w:hAnsi="宋体" w:eastAsia="宋体" w:cs="宋体"/>
      </w:rPr>
    </w:lvl>
    <w:lvl w:ilvl="5" w:tentative="0">
      <w:start w:val="1"/>
      <w:numFmt w:val="decimal"/>
      <w:lvlText w:val="%1.%2.%3.%4.%5.%6"/>
      <w:lvlJc w:val="left"/>
      <w:pPr>
        <w:tabs>
          <w:tab w:val="left" w:pos="1152"/>
        </w:tabs>
        <w:ind w:left="1152" w:hanging="1152"/>
      </w:pPr>
      <w:rPr>
        <w:rFonts w:hint="eastAsia" w:ascii="宋体" w:hAnsi="宋体" w:eastAsia="宋体" w:cs="宋体"/>
      </w:rPr>
    </w:lvl>
    <w:lvl w:ilvl="6" w:tentative="0">
      <w:start w:val="1"/>
      <w:numFmt w:val="decimal"/>
      <w:lvlText w:val="%1.%2.%3.%4.%5.%6.%7"/>
      <w:lvlJc w:val="left"/>
      <w:pPr>
        <w:tabs>
          <w:tab w:val="left" w:pos="1296"/>
        </w:tabs>
        <w:ind w:left="1296" w:hanging="1296"/>
      </w:pPr>
      <w:rPr>
        <w:rFonts w:hint="default" w:ascii="宋体" w:hAnsi="宋体" w:eastAsia="宋体" w:cs="宋体"/>
      </w:rPr>
    </w:lvl>
    <w:lvl w:ilvl="7" w:tentative="0">
      <w:start w:val="1"/>
      <w:numFmt w:val="decimal"/>
      <w:lvlText w:val="%1.%2.%3.%4.%5.%6.%7.%8"/>
      <w:lvlJc w:val="left"/>
      <w:pPr>
        <w:tabs>
          <w:tab w:val="left" w:pos="1440"/>
        </w:tabs>
        <w:ind w:left="1440" w:hanging="1440"/>
      </w:pPr>
      <w:rPr>
        <w:rFonts w:hint="eastAsia" w:ascii="宋体" w:hAnsi="宋体" w:eastAsia="宋体" w:cs="宋体"/>
      </w:rPr>
    </w:lvl>
    <w:lvl w:ilvl="8" w:tentative="0">
      <w:start w:val="1"/>
      <w:numFmt w:val="decimal"/>
      <w:lvlText w:val="%1.%2.%3.%4.%5.%6.%7.%8.%9"/>
      <w:lvlJc w:val="left"/>
      <w:pPr>
        <w:tabs>
          <w:tab w:val="left" w:pos="1584"/>
        </w:tabs>
        <w:ind w:left="1584" w:hanging="1584"/>
      </w:pPr>
      <w:rPr>
        <w:rFonts w:hint="eastAsia" w:ascii="宋体" w:hAnsi="宋体" w:eastAsia="宋体" w:cs="宋体"/>
      </w:rPr>
    </w:lvl>
  </w:abstractNum>
  <w:abstractNum w:abstractNumId="40">
    <w:nsid w:val="63A0445E"/>
    <w:multiLevelType w:val="multilevel"/>
    <w:tmpl w:val="63A0445E"/>
    <w:lvl w:ilvl="0" w:tentative="0">
      <w:start w:val="1"/>
      <w:numFmt w:val="decimal"/>
      <w:pStyle w:val="594"/>
      <w:lvlText w:val="1.%1."/>
      <w:lvlJc w:val="left"/>
      <w:pPr>
        <w:ind w:left="420" w:hanging="420"/>
      </w:pPr>
      <w:rPr>
        <w:rFonts w:hint="eastAsia" w:ascii="宋体" w:hAnsi="宋体" w:eastAsia="宋体" w:cs="宋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1">
    <w:nsid w:val="70717388"/>
    <w:multiLevelType w:val="multilevel"/>
    <w:tmpl w:val="70717388"/>
    <w:lvl w:ilvl="0" w:tentative="0">
      <w:start w:val="1"/>
      <w:numFmt w:val="decimal"/>
      <w:pStyle w:val="220"/>
      <w:isLgl/>
      <w:suff w:val="space"/>
      <w:lvlText w:val="%1"/>
      <w:lvlJc w:val="left"/>
      <w:pPr>
        <w:ind w:left="4253" w:firstLine="0"/>
      </w:pPr>
      <w:rPr>
        <w:rFonts w:hint="default" w:ascii="宋体" w:hAnsi="宋体" w:eastAsia="宋体" w:cs="宋体"/>
      </w:rPr>
    </w:lvl>
    <w:lvl w:ilvl="1" w:tentative="0">
      <w:start w:val="1"/>
      <w:numFmt w:val="decimal"/>
      <w:isLgl/>
      <w:suff w:val="space"/>
      <w:lvlText w:val="%1.%2"/>
      <w:lvlJc w:val="left"/>
      <w:pPr>
        <w:ind w:left="2411" w:firstLine="0"/>
      </w:pPr>
      <w:rPr>
        <w:rFonts w:hint="default" w:ascii="宋体" w:hAnsi="宋体" w:eastAsia="宋体" w:cs="宋体"/>
      </w:rPr>
    </w:lvl>
    <w:lvl w:ilvl="2" w:tentative="0">
      <w:start w:val="1"/>
      <w:numFmt w:val="decimal"/>
      <w:isLgl/>
      <w:suff w:val="space"/>
      <w:lvlText w:val="%1.%2.%3"/>
      <w:lvlJc w:val="left"/>
      <w:pPr>
        <w:ind w:left="0" w:firstLine="0"/>
      </w:pPr>
      <w:rPr>
        <w:rFonts w:hint="eastAsia" w:ascii="宋体" w:hAnsi="宋体" w:eastAsia="宋体" w:cs="宋体"/>
      </w:rPr>
    </w:lvl>
    <w:lvl w:ilvl="3" w:tentative="0">
      <w:start w:val="1"/>
      <w:numFmt w:val="decimal"/>
      <w:isLgl/>
      <w:suff w:val="space"/>
      <w:lvlText w:val="%1.%2.%3.%4"/>
      <w:lvlJc w:val="left"/>
      <w:pPr>
        <w:ind w:left="0" w:firstLine="0"/>
      </w:pPr>
      <w:rPr>
        <w:rFonts w:hint="eastAsia" w:ascii="宋体" w:hAnsi="宋体" w:eastAsia="宋体" w:cs="宋体"/>
      </w:rPr>
    </w:lvl>
    <w:lvl w:ilvl="4" w:tentative="0">
      <w:start w:val="1"/>
      <w:numFmt w:val="decimal"/>
      <w:isLgl/>
      <w:suff w:val="space"/>
      <w:lvlText w:val="%1.%2.%3.%4.%5"/>
      <w:lvlJc w:val="left"/>
      <w:pPr>
        <w:ind w:left="0" w:firstLine="0"/>
      </w:pPr>
      <w:rPr>
        <w:rFonts w:hint="eastAsia" w:ascii="宋体" w:hAnsi="宋体" w:eastAsia="宋体" w:cs="宋体"/>
      </w:rPr>
    </w:lvl>
    <w:lvl w:ilvl="5" w:tentative="0">
      <w:start w:val="1"/>
      <w:numFmt w:val="decimal"/>
      <w:suff w:val="space"/>
      <w:lvlText w:val="%1.%2.%3.%4.%5.%6"/>
      <w:lvlJc w:val="left"/>
      <w:pPr>
        <w:ind w:left="0" w:firstLine="0"/>
      </w:pPr>
      <w:rPr>
        <w:rFonts w:hint="eastAsia" w:ascii="宋体" w:hAnsi="宋体" w:eastAsia="宋体" w:cs="宋体"/>
      </w:rPr>
    </w:lvl>
    <w:lvl w:ilvl="6" w:tentative="0">
      <w:start w:val="1"/>
      <w:numFmt w:val="decimal"/>
      <w:isLgl/>
      <w:suff w:val="space"/>
      <w:lvlText w:val="%1.%2.%3.%4.%5.%6.%7"/>
      <w:lvlJc w:val="left"/>
      <w:pPr>
        <w:ind w:left="0" w:firstLine="0"/>
      </w:pPr>
      <w:rPr>
        <w:rFonts w:hint="eastAsia" w:ascii="宋体" w:hAnsi="宋体" w:eastAsia="宋体" w:cs="宋体"/>
      </w:rPr>
    </w:lvl>
    <w:lvl w:ilvl="7" w:tentative="0">
      <w:start w:val="1"/>
      <w:numFmt w:val="decimal"/>
      <w:lvlRestart w:val="1"/>
      <w:isLgl/>
      <w:suff w:val="space"/>
      <w:lvlText w:val="图%1-%8"/>
      <w:lvlJc w:val="center"/>
      <w:pPr>
        <w:ind w:left="0" w:firstLine="0"/>
      </w:pPr>
      <w:rPr>
        <w:rFonts w:hint="eastAsia" w:ascii="宋体" w:hAnsi="宋体" w:eastAsia="宋体" w:cs="宋体"/>
      </w:rPr>
    </w:lvl>
    <w:lvl w:ilvl="8" w:tentative="0">
      <w:start w:val="1"/>
      <w:numFmt w:val="decimal"/>
      <w:lvlRestart w:val="1"/>
      <w:pStyle w:val="221"/>
      <w:isLgl/>
      <w:suff w:val="space"/>
      <w:lvlText w:val="表%1-%9"/>
      <w:lvlJc w:val="center"/>
      <w:pPr>
        <w:ind w:left="0" w:firstLine="0"/>
      </w:pPr>
      <w:rPr>
        <w:rFonts w:hint="eastAsia" w:ascii="宋体" w:hAnsi="宋体" w:eastAsia="宋体" w:cs="宋体"/>
      </w:rPr>
    </w:lvl>
  </w:abstractNum>
  <w:abstractNum w:abstractNumId="42">
    <w:nsid w:val="7175544B"/>
    <w:multiLevelType w:val="singleLevel"/>
    <w:tmpl w:val="7175544B"/>
    <w:lvl w:ilvl="0" w:tentative="0">
      <w:start w:val="1"/>
      <w:numFmt w:val="bullet"/>
      <w:pStyle w:val="239"/>
      <w:lvlText w:val=""/>
      <w:lvlJc w:val="left"/>
      <w:pPr>
        <w:tabs>
          <w:tab w:val="left" w:pos="454"/>
        </w:tabs>
        <w:ind w:left="454" w:hanging="454"/>
      </w:pPr>
      <w:rPr>
        <w:rFonts w:hint="default" w:ascii="宋体" w:hAnsi="宋体" w:eastAsia="宋体" w:cs="宋体"/>
      </w:rPr>
    </w:lvl>
  </w:abstractNum>
  <w:abstractNum w:abstractNumId="43">
    <w:nsid w:val="72AE505A"/>
    <w:multiLevelType w:val="multilevel"/>
    <w:tmpl w:val="72AE505A"/>
    <w:lvl w:ilvl="0" w:tentative="0">
      <w:start w:val="1"/>
      <w:numFmt w:val="bullet"/>
      <w:pStyle w:val="384"/>
      <w:lvlText w:val=""/>
      <w:lvlJc w:val="left"/>
      <w:pPr>
        <w:tabs>
          <w:tab w:val="left" w:pos="420"/>
        </w:tabs>
        <w:ind w:left="420" w:hanging="420"/>
      </w:pPr>
      <w:rPr>
        <w:rFonts w:hint="default" w:ascii="宋体" w:hAnsi="宋体" w:eastAsia="宋体" w:cs="宋体"/>
        <w:b w:val="0"/>
        <w:i w:val="0"/>
        <w:color w:val="CC0000"/>
        <w:sz w:val="21"/>
        <w:szCs w:val="13"/>
      </w:rPr>
    </w:lvl>
    <w:lvl w:ilvl="1" w:tentative="0">
      <w:start w:val="1"/>
      <w:numFmt w:val="bullet"/>
      <w:lvlText w:val=""/>
      <w:lvlJc w:val="left"/>
      <w:pPr>
        <w:tabs>
          <w:tab w:val="left" w:pos="840"/>
        </w:tabs>
        <w:ind w:left="840" w:hanging="420"/>
      </w:pPr>
      <w:rPr>
        <w:rFonts w:hint="default" w:ascii="宋体" w:hAnsi="宋体" w:eastAsia="宋体" w:cs="宋体"/>
      </w:rPr>
    </w:lvl>
    <w:lvl w:ilvl="2" w:tentative="0">
      <w:start w:val="1"/>
      <w:numFmt w:val="bullet"/>
      <w:lvlText w:val=""/>
      <w:lvlJc w:val="left"/>
      <w:pPr>
        <w:tabs>
          <w:tab w:val="left" w:pos="1260"/>
        </w:tabs>
        <w:ind w:left="1260" w:hanging="420"/>
      </w:pPr>
      <w:rPr>
        <w:rFonts w:hint="default" w:ascii="宋体" w:hAnsi="宋体" w:eastAsia="宋体" w:cs="宋体"/>
      </w:rPr>
    </w:lvl>
    <w:lvl w:ilvl="3" w:tentative="0">
      <w:start w:val="1"/>
      <w:numFmt w:val="bullet"/>
      <w:lvlText w:val=""/>
      <w:lvlJc w:val="left"/>
      <w:pPr>
        <w:tabs>
          <w:tab w:val="left" w:pos="1680"/>
        </w:tabs>
        <w:ind w:left="1680" w:hanging="420"/>
      </w:pPr>
      <w:rPr>
        <w:rFonts w:hint="default" w:ascii="宋体" w:hAnsi="宋体" w:eastAsia="宋体" w:cs="宋体"/>
      </w:rPr>
    </w:lvl>
    <w:lvl w:ilvl="4" w:tentative="0">
      <w:start w:val="1"/>
      <w:numFmt w:val="bullet"/>
      <w:lvlText w:val=""/>
      <w:lvlJc w:val="left"/>
      <w:pPr>
        <w:tabs>
          <w:tab w:val="left" w:pos="2100"/>
        </w:tabs>
        <w:ind w:left="2100" w:hanging="420"/>
      </w:pPr>
      <w:rPr>
        <w:rFonts w:hint="default" w:ascii="宋体" w:hAnsi="宋体" w:eastAsia="宋体" w:cs="宋体"/>
      </w:rPr>
    </w:lvl>
    <w:lvl w:ilvl="5" w:tentative="0">
      <w:start w:val="1"/>
      <w:numFmt w:val="bullet"/>
      <w:lvlText w:val=""/>
      <w:lvlJc w:val="left"/>
      <w:pPr>
        <w:tabs>
          <w:tab w:val="left" w:pos="2520"/>
        </w:tabs>
        <w:ind w:left="2520" w:hanging="420"/>
      </w:pPr>
      <w:rPr>
        <w:rFonts w:hint="default" w:ascii="宋体" w:hAnsi="宋体" w:eastAsia="宋体" w:cs="宋体"/>
      </w:rPr>
    </w:lvl>
    <w:lvl w:ilvl="6" w:tentative="0">
      <w:start w:val="1"/>
      <w:numFmt w:val="bullet"/>
      <w:lvlText w:val=""/>
      <w:lvlJc w:val="left"/>
      <w:pPr>
        <w:tabs>
          <w:tab w:val="left" w:pos="2940"/>
        </w:tabs>
        <w:ind w:left="2940" w:hanging="420"/>
      </w:pPr>
      <w:rPr>
        <w:rFonts w:hint="default" w:ascii="宋体" w:hAnsi="宋体" w:eastAsia="宋体" w:cs="宋体"/>
      </w:rPr>
    </w:lvl>
    <w:lvl w:ilvl="7" w:tentative="0">
      <w:start w:val="1"/>
      <w:numFmt w:val="bullet"/>
      <w:lvlText w:val=""/>
      <w:lvlJc w:val="left"/>
      <w:pPr>
        <w:tabs>
          <w:tab w:val="left" w:pos="3360"/>
        </w:tabs>
        <w:ind w:left="3360" w:hanging="420"/>
      </w:pPr>
      <w:rPr>
        <w:rFonts w:hint="default" w:ascii="宋体" w:hAnsi="宋体" w:eastAsia="宋体" w:cs="宋体"/>
      </w:rPr>
    </w:lvl>
    <w:lvl w:ilvl="8" w:tentative="0">
      <w:start w:val="1"/>
      <w:numFmt w:val="bullet"/>
      <w:lvlText w:val=""/>
      <w:lvlJc w:val="left"/>
      <w:pPr>
        <w:tabs>
          <w:tab w:val="left" w:pos="3780"/>
        </w:tabs>
        <w:ind w:left="3780" w:hanging="420"/>
      </w:pPr>
      <w:rPr>
        <w:rFonts w:hint="default" w:ascii="宋体" w:hAnsi="宋体" w:eastAsia="宋体" w:cs="宋体"/>
      </w:rPr>
    </w:lvl>
  </w:abstractNum>
  <w:abstractNum w:abstractNumId="44">
    <w:nsid w:val="76D52E27"/>
    <w:multiLevelType w:val="multilevel"/>
    <w:tmpl w:val="76D52E27"/>
    <w:lvl w:ilvl="0" w:tentative="0">
      <w:start w:val="1"/>
      <w:numFmt w:val="bullet"/>
      <w:pStyle w:val="522"/>
      <w:lvlText w:val=""/>
      <w:lvlJc w:val="left"/>
      <w:pPr>
        <w:tabs>
          <w:tab w:val="left" w:pos="840"/>
        </w:tabs>
        <w:ind w:left="840" w:hanging="420"/>
      </w:pPr>
      <w:rPr>
        <w:rFonts w:hint="default" w:ascii="宋体" w:hAnsi="宋体" w:eastAsia="宋体" w:cs="宋体"/>
      </w:rPr>
    </w:lvl>
    <w:lvl w:ilvl="1" w:tentative="0">
      <w:start w:val="1"/>
      <w:numFmt w:val="bullet"/>
      <w:lvlText w:val=""/>
      <w:lvlJc w:val="left"/>
      <w:pPr>
        <w:tabs>
          <w:tab w:val="left" w:pos="1260"/>
        </w:tabs>
        <w:ind w:left="1260" w:hanging="420"/>
      </w:pPr>
      <w:rPr>
        <w:rFonts w:hint="default" w:ascii="宋体" w:hAnsi="宋体" w:eastAsia="宋体" w:cs="宋体"/>
      </w:rPr>
    </w:lvl>
    <w:lvl w:ilvl="2" w:tentative="0">
      <w:start w:val="1"/>
      <w:numFmt w:val="bullet"/>
      <w:lvlText w:val=""/>
      <w:lvlJc w:val="left"/>
      <w:pPr>
        <w:tabs>
          <w:tab w:val="left" w:pos="1680"/>
        </w:tabs>
        <w:ind w:left="1680" w:hanging="420"/>
      </w:pPr>
      <w:rPr>
        <w:rFonts w:hint="default" w:ascii="宋体" w:hAnsi="宋体" w:eastAsia="宋体" w:cs="宋体"/>
      </w:rPr>
    </w:lvl>
    <w:lvl w:ilvl="3" w:tentative="0">
      <w:start w:val="1"/>
      <w:numFmt w:val="bullet"/>
      <w:lvlText w:val=""/>
      <w:lvlJc w:val="left"/>
      <w:pPr>
        <w:tabs>
          <w:tab w:val="left" w:pos="2100"/>
        </w:tabs>
        <w:ind w:left="2100" w:hanging="420"/>
      </w:pPr>
      <w:rPr>
        <w:rFonts w:hint="default" w:ascii="宋体" w:hAnsi="宋体" w:eastAsia="宋体" w:cs="宋体"/>
      </w:rPr>
    </w:lvl>
    <w:lvl w:ilvl="4" w:tentative="0">
      <w:start w:val="1"/>
      <w:numFmt w:val="bullet"/>
      <w:lvlText w:val=""/>
      <w:lvlJc w:val="left"/>
      <w:pPr>
        <w:tabs>
          <w:tab w:val="left" w:pos="2520"/>
        </w:tabs>
        <w:ind w:left="2520" w:hanging="420"/>
      </w:pPr>
      <w:rPr>
        <w:rFonts w:hint="default" w:ascii="宋体" w:hAnsi="宋体" w:eastAsia="宋体" w:cs="宋体"/>
      </w:rPr>
    </w:lvl>
    <w:lvl w:ilvl="5" w:tentative="0">
      <w:start w:val="1"/>
      <w:numFmt w:val="bullet"/>
      <w:lvlText w:val=""/>
      <w:lvlJc w:val="left"/>
      <w:pPr>
        <w:tabs>
          <w:tab w:val="left" w:pos="2940"/>
        </w:tabs>
        <w:ind w:left="2940" w:hanging="420"/>
      </w:pPr>
      <w:rPr>
        <w:rFonts w:hint="default" w:ascii="宋体" w:hAnsi="宋体" w:eastAsia="宋体" w:cs="宋体"/>
      </w:rPr>
    </w:lvl>
    <w:lvl w:ilvl="6" w:tentative="0">
      <w:start w:val="1"/>
      <w:numFmt w:val="bullet"/>
      <w:lvlText w:val=""/>
      <w:lvlJc w:val="left"/>
      <w:pPr>
        <w:tabs>
          <w:tab w:val="left" w:pos="3360"/>
        </w:tabs>
        <w:ind w:left="3360" w:hanging="420"/>
      </w:pPr>
      <w:rPr>
        <w:rFonts w:hint="default" w:ascii="宋体" w:hAnsi="宋体" w:eastAsia="宋体" w:cs="宋体"/>
      </w:rPr>
    </w:lvl>
    <w:lvl w:ilvl="7" w:tentative="0">
      <w:start w:val="1"/>
      <w:numFmt w:val="bullet"/>
      <w:lvlText w:val=""/>
      <w:lvlJc w:val="left"/>
      <w:pPr>
        <w:tabs>
          <w:tab w:val="left" w:pos="3780"/>
        </w:tabs>
        <w:ind w:left="3780" w:hanging="420"/>
      </w:pPr>
      <w:rPr>
        <w:rFonts w:hint="default" w:ascii="宋体" w:hAnsi="宋体" w:eastAsia="宋体" w:cs="宋体"/>
      </w:rPr>
    </w:lvl>
    <w:lvl w:ilvl="8" w:tentative="0">
      <w:start w:val="1"/>
      <w:numFmt w:val="bullet"/>
      <w:lvlText w:val=""/>
      <w:lvlJc w:val="left"/>
      <w:pPr>
        <w:tabs>
          <w:tab w:val="left" w:pos="4200"/>
        </w:tabs>
        <w:ind w:left="4200" w:hanging="420"/>
      </w:pPr>
      <w:rPr>
        <w:rFonts w:hint="default" w:ascii="宋体" w:hAnsi="宋体" w:eastAsia="宋体" w:cs="宋体"/>
      </w:rPr>
    </w:lvl>
  </w:abstractNum>
  <w:abstractNum w:abstractNumId="45">
    <w:nsid w:val="77EABBC8"/>
    <w:multiLevelType w:val="singleLevel"/>
    <w:tmpl w:val="77EABBC8"/>
    <w:lvl w:ilvl="0" w:tentative="0">
      <w:start w:val="1"/>
      <w:numFmt w:val="bullet"/>
      <w:lvlText w:val=""/>
      <w:lvlJc w:val="left"/>
      <w:pPr>
        <w:ind w:left="420" w:hanging="420"/>
      </w:pPr>
      <w:rPr>
        <w:rFonts w:hint="default" w:ascii="Wingdings" w:hAnsi="Wingdings"/>
      </w:rPr>
    </w:lvl>
  </w:abstractNum>
  <w:abstractNum w:abstractNumId="46">
    <w:nsid w:val="7F5A7DD7"/>
    <w:multiLevelType w:val="singleLevel"/>
    <w:tmpl w:val="7F5A7DD7"/>
    <w:lvl w:ilvl="0" w:tentative="0">
      <w:start w:val="1"/>
      <w:numFmt w:val="decimal"/>
      <w:pStyle w:val="241"/>
      <w:lvlText w:val="%1)"/>
      <w:lvlJc w:val="left"/>
      <w:pPr>
        <w:tabs>
          <w:tab w:val="left" w:pos="425"/>
        </w:tabs>
        <w:ind w:left="425" w:hanging="425"/>
      </w:pPr>
    </w:lvl>
  </w:abstractNum>
  <w:num w:numId="1">
    <w:abstractNumId w:val="1"/>
  </w:num>
  <w:num w:numId="2">
    <w:abstractNumId w:val="19"/>
  </w:num>
  <w:num w:numId="3">
    <w:abstractNumId w:val="0"/>
  </w:num>
  <w:num w:numId="4">
    <w:abstractNumId w:val="2"/>
  </w:num>
  <w:num w:numId="5">
    <w:abstractNumId w:val="3"/>
  </w:num>
  <w:num w:numId="6">
    <w:abstractNumId w:val="33"/>
  </w:num>
  <w:num w:numId="7">
    <w:abstractNumId w:val="11"/>
  </w:num>
  <w:num w:numId="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7"/>
  </w:num>
  <w:num w:numId="10">
    <w:abstractNumId w:val="17"/>
  </w:num>
  <w:num w:numId="11">
    <w:abstractNumId w:val="31"/>
  </w:num>
  <w:num w:numId="12">
    <w:abstractNumId w:val="22"/>
  </w:num>
  <w:num w:numId="13">
    <w:abstractNumId w:val="9"/>
  </w:num>
  <w:num w:numId="14">
    <w:abstractNumId w:val="41"/>
  </w:num>
  <w:num w:numId="15">
    <w:abstractNumId w:val="13"/>
  </w:num>
  <w:num w:numId="16">
    <w:abstractNumId w:val="7"/>
  </w:num>
  <w:num w:numId="17">
    <w:abstractNumId w:val="42"/>
  </w:num>
  <w:num w:numId="18">
    <w:abstractNumId w:val="46"/>
  </w:num>
  <w:num w:numId="19">
    <w:abstractNumId w:val="36"/>
  </w:num>
  <w:num w:numId="20">
    <w:abstractNumId w:val="18"/>
  </w:num>
  <w:num w:numId="21">
    <w:abstractNumId w:val="39"/>
  </w:num>
  <w:num w:numId="22">
    <w:abstractNumId w:val="21"/>
  </w:num>
  <w:num w:numId="23">
    <w:abstractNumId w:val="24"/>
  </w:num>
  <w:num w:numId="24">
    <w:abstractNumId w:val="28"/>
  </w:num>
  <w:num w:numId="25">
    <w:abstractNumId w:val="35"/>
  </w:num>
  <w:num w:numId="26">
    <w:abstractNumId w:val="43"/>
  </w:num>
  <w:num w:numId="27">
    <w:abstractNumId w:val="10"/>
  </w:num>
  <w:num w:numId="28">
    <w:abstractNumId w:val="20"/>
  </w:num>
  <w:num w:numId="29">
    <w:abstractNumId w:val="5"/>
  </w:num>
  <w:num w:numId="30">
    <w:abstractNumId w:val="38"/>
  </w:num>
  <w:num w:numId="31">
    <w:abstractNumId w:val="4"/>
  </w:num>
  <w:num w:numId="32">
    <w:abstractNumId w:val="12"/>
  </w:num>
  <w:num w:numId="33">
    <w:abstractNumId w:val="26"/>
  </w:num>
  <w:num w:numId="34">
    <w:abstractNumId w:val="16"/>
  </w:num>
  <w:num w:numId="35">
    <w:abstractNumId w:val="6"/>
  </w:num>
  <w:num w:numId="36">
    <w:abstractNumId w:val="34"/>
  </w:num>
  <w:num w:numId="37">
    <w:abstractNumId w:val="44"/>
  </w:num>
  <w:num w:numId="38">
    <w:abstractNumId w:val="30"/>
    <w:lvlOverride w:ilvl="0">
      <w:startOverride w:val="1"/>
    </w:lvlOverride>
  </w:num>
  <w:num w:numId="39">
    <w:abstractNumId w:val="8"/>
  </w:num>
  <w:num w:numId="40">
    <w:abstractNumId w:val="25"/>
  </w:num>
  <w:num w:numId="41">
    <w:abstractNumId w:val="32"/>
  </w:num>
  <w:num w:numId="42">
    <w:abstractNumId w:val="14"/>
  </w:num>
  <w:num w:numId="43">
    <w:abstractNumId w:val="29"/>
  </w:num>
  <w:num w:numId="44">
    <w:abstractNumId w:val="40"/>
  </w:num>
  <w:num w:numId="45">
    <w:abstractNumId w:val="23"/>
  </w:num>
  <w:num w:numId="46">
    <w:abstractNumId w:val="15"/>
  </w:num>
  <w:num w:numId="47">
    <w:abstractNumId w:val="4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80"/>
  <w:doNotDisplayPageBoundaries w:val="1"/>
  <w:embedTrueTypeFonts/>
  <w:saveSubsetFonts/>
  <w:bordersDoNotSurroundHeader w:val="1"/>
  <w:bordersDoNotSurroundFooter w:val="1"/>
  <w:hideSpellingErrors/>
  <w:documentProtection w:enforcement="0"/>
  <w:defaultTabStop w:val="420"/>
  <w:drawingGridHorizontalSpacing w:val="120"/>
  <w:drawingGridVerticalSpacing w:val="163"/>
  <w:displayHorizontalDrawingGridEvery w:val="2"/>
  <w:displayVerticalDrawingGridEvery w:val="2"/>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23FB"/>
    <w:rsid w:val="00000712"/>
    <w:rsid w:val="0000263E"/>
    <w:rsid w:val="0000293F"/>
    <w:rsid w:val="00006BEF"/>
    <w:rsid w:val="00007ACE"/>
    <w:rsid w:val="00012AEF"/>
    <w:rsid w:val="0001404B"/>
    <w:rsid w:val="00015C21"/>
    <w:rsid w:val="00020302"/>
    <w:rsid w:val="00020BE6"/>
    <w:rsid w:val="00021D5B"/>
    <w:rsid w:val="00021E85"/>
    <w:rsid w:val="000232BE"/>
    <w:rsid w:val="000314E9"/>
    <w:rsid w:val="00031883"/>
    <w:rsid w:val="00033329"/>
    <w:rsid w:val="0003491C"/>
    <w:rsid w:val="00040F77"/>
    <w:rsid w:val="0004142F"/>
    <w:rsid w:val="00041C3C"/>
    <w:rsid w:val="00042014"/>
    <w:rsid w:val="000431C4"/>
    <w:rsid w:val="000455CC"/>
    <w:rsid w:val="00045893"/>
    <w:rsid w:val="00045BA2"/>
    <w:rsid w:val="00047CA8"/>
    <w:rsid w:val="000505E7"/>
    <w:rsid w:val="00050E71"/>
    <w:rsid w:val="0005226B"/>
    <w:rsid w:val="00052917"/>
    <w:rsid w:val="00055225"/>
    <w:rsid w:val="000552B2"/>
    <w:rsid w:val="0005717D"/>
    <w:rsid w:val="00057380"/>
    <w:rsid w:val="000606D4"/>
    <w:rsid w:val="000620EF"/>
    <w:rsid w:val="0006281B"/>
    <w:rsid w:val="000648A9"/>
    <w:rsid w:val="0007383B"/>
    <w:rsid w:val="00076304"/>
    <w:rsid w:val="000808C7"/>
    <w:rsid w:val="00085927"/>
    <w:rsid w:val="00085FD2"/>
    <w:rsid w:val="00090B6A"/>
    <w:rsid w:val="00092311"/>
    <w:rsid w:val="000947AD"/>
    <w:rsid w:val="00097D56"/>
    <w:rsid w:val="000A7477"/>
    <w:rsid w:val="000B1571"/>
    <w:rsid w:val="000B5332"/>
    <w:rsid w:val="000B6DB3"/>
    <w:rsid w:val="000C048D"/>
    <w:rsid w:val="000C0EE6"/>
    <w:rsid w:val="000C4BFC"/>
    <w:rsid w:val="000C5556"/>
    <w:rsid w:val="000C579E"/>
    <w:rsid w:val="000C685D"/>
    <w:rsid w:val="000D0127"/>
    <w:rsid w:val="000D0EFB"/>
    <w:rsid w:val="000D1CDB"/>
    <w:rsid w:val="000D3949"/>
    <w:rsid w:val="000D4E79"/>
    <w:rsid w:val="000E1AFE"/>
    <w:rsid w:val="000E2946"/>
    <w:rsid w:val="000E2F56"/>
    <w:rsid w:val="000E57B9"/>
    <w:rsid w:val="000E59AB"/>
    <w:rsid w:val="000E5F90"/>
    <w:rsid w:val="000F0528"/>
    <w:rsid w:val="000F0867"/>
    <w:rsid w:val="000F1854"/>
    <w:rsid w:val="000F63BB"/>
    <w:rsid w:val="000F6A3C"/>
    <w:rsid w:val="001001F2"/>
    <w:rsid w:val="00103033"/>
    <w:rsid w:val="00104114"/>
    <w:rsid w:val="0010434C"/>
    <w:rsid w:val="001076E0"/>
    <w:rsid w:val="00107B6C"/>
    <w:rsid w:val="00110368"/>
    <w:rsid w:val="0011037A"/>
    <w:rsid w:val="0011077D"/>
    <w:rsid w:val="00114E25"/>
    <w:rsid w:val="00115A63"/>
    <w:rsid w:val="00115B8A"/>
    <w:rsid w:val="00116911"/>
    <w:rsid w:val="00121272"/>
    <w:rsid w:val="001225F8"/>
    <w:rsid w:val="00124229"/>
    <w:rsid w:val="00126615"/>
    <w:rsid w:val="001327AC"/>
    <w:rsid w:val="0013551A"/>
    <w:rsid w:val="00140581"/>
    <w:rsid w:val="00140EA0"/>
    <w:rsid w:val="00142E5A"/>
    <w:rsid w:val="0014336A"/>
    <w:rsid w:val="001436ED"/>
    <w:rsid w:val="001468B1"/>
    <w:rsid w:val="00150370"/>
    <w:rsid w:val="0015084F"/>
    <w:rsid w:val="00153BAA"/>
    <w:rsid w:val="00156373"/>
    <w:rsid w:val="001564BB"/>
    <w:rsid w:val="00156EF8"/>
    <w:rsid w:val="00157705"/>
    <w:rsid w:val="00157A02"/>
    <w:rsid w:val="00161A53"/>
    <w:rsid w:val="001632E7"/>
    <w:rsid w:val="00164C19"/>
    <w:rsid w:val="00165F97"/>
    <w:rsid w:val="00166008"/>
    <w:rsid w:val="00166A39"/>
    <w:rsid w:val="0017123A"/>
    <w:rsid w:val="00172E24"/>
    <w:rsid w:val="00172F04"/>
    <w:rsid w:val="00174DE4"/>
    <w:rsid w:val="00175293"/>
    <w:rsid w:val="001768DA"/>
    <w:rsid w:val="00181F15"/>
    <w:rsid w:val="001836B8"/>
    <w:rsid w:val="00193708"/>
    <w:rsid w:val="00194B73"/>
    <w:rsid w:val="00196840"/>
    <w:rsid w:val="00196A53"/>
    <w:rsid w:val="001A0DF2"/>
    <w:rsid w:val="001A2BA4"/>
    <w:rsid w:val="001A3E25"/>
    <w:rsid w:val="001A43FF"/>
    <w:rsid w:val="001A5FEA"/>
    <w:rsid w:val="001A620B"/>
    <w:rsid w:val="001B58EF"/>
    <w:rsid w:val="001B5FF4"/>
    <w:rsid w:val="001C1A97"/>
    <w:rsid w:val="001C4355"/>
    <w:rsid w:val="001D54C3"/>
    <w:rsid w:val="001D5A79"/>
    <w:rsid w:val="001D758F"/>
    <w:rsid w:val="001D78F3"/>
    <w:rsid w:val="001E07E1"/>
    <w:rsid w:val="001E0E94"/>
    <w:rsid w:val="001E0FBB"/>
    <w:rsid w:val="001E1B10"/>
    <w:rsid w:val="001E2ADE"/>
    <w:rsid w:val="001E2D9C"/>
    <w:rsid w:val="001E3172"/>
    <w:rsid w:val="001E6AE3"/>
    <w:rsid w:val="001E78AE"/>
    <w:rsid w:val="001F0D28"/>
    <w:rsid w:val="001F0EA1"/>
    <w:rsid w:val="001F19A8"/>
    <w:rsid w:val="001F5F83"/>
    <w:rsid w:val="001F693B"/>
    <w:rsid w:val="001F6A28"/>
    <w:rsid w:val="001F7EA0"/>
    <w:rsid w:val="0020115D"/>
    <w:rsid w:val="00203594"/>
    <w:rsid w:val="002041C5"/>
    <w:rsid w:val="00204BE1"/>
    <w:rsid w:val="002075A7"/>
    <w:rsid w:val="0021089D"/>
    <w:rsid w:val="00212B1C"/>
    <w:rsid w:val="00214F2B"/>
    <w:rsid w:val="002163EA"/>
    <w:rsid w:val="00220EA5"/>
    <w:rsid w:val="00221AF4"/>
    <w:rsid w:val="002248B4"/>
    <w:rsid w:val="00225974"/>
    <w:rsid w:val="00226B59"/>
    <w:rsid w:val="00227A3B"/>
    <w:rsid w:val="002303C1"/>
    <w:rsid w:val="002311B5"/>
    <w:rsid w:val="002321F8"/>
    <w:rsid w:val="002325D7"/>
    <w:rsid w:val="00232AA0"/>
    <w:rsid w:val="002358A2"/>
    <w:rsid w:val="00240C51"/>
    <w:rsid w:val="00244627"/>
    <w:rsid w:val="00244985"/>
    <w:rsid w:val="0024574D"/>
    <w:rsid w:val="00246FB0"/>
    <w:rsid w:val="00255A9F"/>
    <w:rsid w:val="00255E69"/>
    <w:rsid w:val="002572A1"/>
    <w:rsid w:val="0025749A"/>
    <w:rsid w:val="0026235C"/>
    <w:rsid w:val="002629E2"/>
    <w:rsid w:val="00262A3F"/>
    <w:rsid w:val="00262C4F"/>
    <w:rsid w:val="002636DE"/>
    <w:rsid w:val="002649D7"/>
    <w:rsid w:val="00264C74"/>
    <w:rsid w:val="00264EEF"/>
    <w:rsid w:val="002703F6"/>
    <w:rsid w:val="00275534"/>
    <w:rsid w:val="002757A2"/>
    <w:rsid w:val="0027646E"/>
    <w:rsid w:val="00276667"/>
    <w:rsid w:val="002775EC"/>
    <w:rsid w:val="00284587"/>
    <w:rsid w:val="00284BFA"/>
    <w:rsid w:val="00285120"/>
    <w:rsid w:val="00294087"/>
    <w:rsid w:val="0029461F"/>
    <w:rsid w:val="002948F3"/>
    <w:rsid w:val="00295B67"/>
    <w:rsid w:val="002B10F2"/>
    <w:rsid w:val="002B17C8"/>
    <w:rsid w:val="002B3CE0"/>
    <w:rsid w:val="002B4B73"/>
    <w:rsid w:val="002C03F1"/>
    <w:rsid w:val="002C2781"/>
    <w:rsid w:val="002C3836"/>
    <w:rsid w:val="002D0B8D"/>
    <w:rsid w:val="002D0B94"/>
    <w:rsid w:val="002D181D"/>
    <w:rsid w:val="002D25F8"/>
    <w:rsid w:val="002D4E80"/>
    <w:rsid w:val="002D4FAE"/>
    <w:rsid w:val="002D5794"/>
    <w:rsid w:val="002E0199"/>
    <w:rsid w:val="002E03CC"/>
    <w:rsid w:val="002E185D"/>
    <w:rsid w:val="002E58B6"/>
    <w:rsid w:val="002E755B"/>
    <w:rsid w:val="002F0A17"/>
    <w:rsid w:val="002F0C4D"/>
    <w:rsid w:val="002F235E"/>
    <w:rsid w:val="002F3607"/>
    <w:rsid w:val="00300881"/>
    <w:rsid w:val="00304678"/>
    <w:rsid w:val="003050D0"/>
    <w:rsid w:val="00305C7C"/>
    <w:rsid w:val="00307734"/>
    <w:rsid w:val="00307D47"/>
    <w:rsid w:val="00307DD0"/>
    <w:rsid w:val="003100BC"/>
    <w:rsid w:val="00310CAA"/>
    <w:rsid w:val="003110AC"/>
    <w:rsid w:val="00311C96"/>
    <w:rsid w:val="00313615"/>
    <w:rsid w:val="00317D54"/>
    <w:rsid w:val="003225E3"/>
    <w:rsid w:val="0032399F"/>
    <w:rsid w:val="00323BAB"/>
    <w:rsid w:val="003248D7"/>
    <w:rsid w:val="003267F6"/>
    <w:rsid w:val="003310B0"/>
    <w:rsid w:val="00331672"/>
    <w:rsid w:val="00332091"/>
    <w:rsid w:val="003320C8"/>
    <w:rsid w:val="0033230A"/>
    <w:rsid w:val="00332516"/>
    <w:rsid w:val="0033394A"/>
    <w:rsid w:val="00337359"/>
    <w:rsid w:val="00337657"/>
    <w:rsid w:val="00342B16"/>
    <w:rsid w:val="00345654"/>
    <w:rsid w:val="00347015"/>
    <w:rsid w:val="003470B3"/>
    <w:rsid w:val="003473C4"/>
    <w:rsid w:val="00350BFF"/>
    <w:rsid w:val="003528FE"/>
    <w:rsid w:val="00354ED8"/>
    <w:rsid w:val="00360ED3"/>
    <w:rsid w:val="003621F9"/>
    <w:rsid w:val="00365263"/>
    <w:rsid w:val="00365E86"/>
    <w:rsid w:val="003668FA"/>
    <w:rsid w:val="0037078B"/>
    <w:rsid w:val="00376BC8"/>
    <w:rsid w:val="00381DBA"/>
    <w:rsid w:val="003838A3"/>
    <w:rsid w:val="0038404A"/>
    <w:rsid w:val="00385C8A"/>
    <w:rsid w:val="00386345"/>
    <w:rsid w:val="00390990"/>
    <w:rsid w:val="00391B3C"/>
    <w:rsid w:val="003947E4"/>
    <w:rsid w:val="00395EC7"/>
    <w:rsid w:val="003A0D5D"/>
    <w:rsid w:val="003A174E"/>
    <w:rsid w:val="003A1773"/>
    <w:rsid w:val="003A77E2"/>
    <w:rsid w:val="003A7EF4"/>
    <w:rsid w:val="003B0556"/>
    <w:rsid w:val="003B14B8"/>
    <w:rsid w:val="003B327D"/>
    <w:rsid w:val="003B72D1"/>
    <w:rsid w:val="003C3032"/>
    <w:rsid w:val="003C393F"/>
    <w:rsid w:val="003C4134"/>
    <w:rsid w:val="003C465A"/>
    <w:rsid w:val="003C6188"/>
    <w:rsid w:val="003C71BE"/>
    <w:rsid w:val="003C7AC3"/>
    <w:rsid w:val="003D0BA3"/>
    <w:rsid w:val="003D22A8"/>
    <w:rsid w:val="003D39D4"/>
    <w:rsid w:val="003D3EBC"/>
    <w:rsid w:val="003D57CC"/>
    <w:rsid w:val="003D766D"/>
    <w:rsid w:val="003E1568"/>
    <w:rsid w:val="003E4614"/>
    <w:rsid w:val="003E7BBD"/>
    <w:rsid w:val="003E7E06"/>
    <w:rsid w:val="003F00A6"/>
    <w:rsid w:val="003F1065"/>
    <w:rsid w:val="004036FD"/>
    <w:rsid w:val="004039E1"/>
    <w:rsid w:val="00404A0B"/>
    <w:rsid w:val="00412562"/>
    <w:rsid w:val="00412F18"/>
    <w:rsid w:val="00415486"/>
    <w:rsid w:val="00415831"/>
    <w:rsid w:val="00415C40"/>
    <w:rsid w:val="00416459"/>
    <w:rsid w:val="004224E5"/>
    <w:rsid w:val="0042309B"/>
    <w:rsid w:val="00424BB1"/>
    <w:rsid w:val="0042502E"/>
    <w:rsid w:val="00425971"/>
    <w:rsid w:val="00425A66"/>
    <w:rsid w:val="004275BB"/>
    <w:rsid w:val="00427C34"/>
    <w:rsid w:val="00431BE2"/>
    <w:rsid w:val="004341B9"/>
    <w:rsid w:val="00434E48"/>
    <w:rsid w:val="004357B0"/>
    <w:rsid w:val="00437C94"/>
    <w:rsid w:val="004416EF"/>
    <w:rsid w:val="0044172B"/>
    <w:rsid w:val="004433AD"/>
    <w:rsid w:val="0044699F"/>
    <w:rsid w:val="00450AC9"/>
    <w:rsid w:val="004523C7"/>
    <w:rsid w:val="0045528F"/>
    <w:rsid w:val="00457BC3"/>
    <w:rsid w:val="004614E0"/>
    <w:rsid w:val="00462FF1"/>
    <w:rsid w:val="004667DD"/>
    <w:rsid w:val="00467BCC"/>
    <w:rsid w:val="00470285"/>
    <w:rsid w:val="00476928"/>
    <w:rsid w:val="004773DF"/>
    <w:rsid w:val="004779DB"/>
    <w:rsid w:val="00477E16"/>
    <w:rsid w:val="00480178"/>
    <w:rsid w:val="00481583"/>
    <w:rsid w:val="004818BA"/>
    <w:rsid w:val="004820B4"/>
    <w:rsid w:val="00485221"/>
    <w:rsid w:val="0049667F"/>
    <w:rsid w:val="004A181F"/>
    <w:rsid w:val="004A61A8"/>
    <w:rsid w:val="004B19FF"/>
    <w:rsid w:val="004B2B78"/>
    <w:rsid w:val="004B2F43"/>
    <w:rsid w:val="004C01D4"/>
    <w:rsid w:val="004C0B4A"/>
    <w:rsid w:val="004C1B72"/>
    <w:rsid w:val="004D1B5E"/>
    <w:rsid w:val="004D1B82"/>
    <w:rsid w:val="004D43C0"/>
    <w:rsid w:val="004D595B"/>
    <w:rsid w:val="004D606F"/>
    <w:rsid w:val="004D619F"/>
    <w:rsid w:val="004D7531"/>
    <w:rsid w:val="004F1A90"/>
    <w:rsid w:val="004F1CBD"/>
    <w:rsid w:val="004F5F97"/>
    <w:rsid w:val="00500614"/>
    <w:rsid w:val="00500B59"/>
    <w:rsid w:val="00501BDD"/>
    <w:rsid w:val="005022DE"/>
    <w:rsid w:val="00502D54"/>
    <w:rsid w:val="005055E8"/>
    <w:rsid w:val="00505D87"/>
    <w:rsid w:val="00505F9B"/>
    <w:rsid w:val="00506D09"/>
    <w:rsid w:val="00507223"/>
    <w:rsid w:val="00507868"/>
    <w:rsid w:val="00507E78"/>
    <w:rsid w:val="00511E64"/>
    <w:rsid w:val="00512C51"/>
    <w:rsid w:val="00514421"/>
    <w:rsid w:val="00514E5B"/>
    <w:rsid w:val="005155D9"/>
    <w:rsid w:val="005159A5"/>
    <w:rsid w:val="005159B2"/>
    <w:rsid w:val="00516069"/>
    <w:rsid w:val="0051795C"/>
    <w:rsid w:val="00520B7A"/>
    <w:rsid w:val="005232F2"/>
    <w:rsid w:val="00525F04"/>
    <w:rsid w:val="00527C7C"/>
    <w:rsid w:val="00536DC3"/>
    <w:rsid w:val="00537852"/>
    <w:rsid w:val="00537F94"/>
    <w:rsid w:val="005428DD"/>
    <w:rsid w:val="005428E5"/>
    <w:rsid w:val="0054456A"/>
    <w:rsid w:val="00550409"/>
    <w:rsid w:val="005511EE"/>
    <w:rsid w:val="005519EF"/>
    <w:rsid w:val="0055371A"/>
    <w:rsid w:val="0055415B"/>
    <w:rsid w:val="0055612C"/>
    <w:rsid w:val="00557AF2"/>
    <w:rsid w:val="005608AE"/>
    <w:rsid w:val="00560AE2"/>
    <w:rsid w:val="00560DA1"/>
    <w:rsid w:val="00561ADB"/>
    <w:rsid w:val="00561B13"/>
    <w:rsid w:val="00563C12"/>
    <w:rsid w:val="00564F58"/>
    <w:rsid w:val="005652E4"/>
    <w:rsid w:val="0056766B"/>
    <w:rsid w:val="00571B80"/>
    <w:rsid w:val="005747FC"/>
    <w:rsid w:val="0057754F"/>
    <w:rsid w:val="0058041F"/>
    <w:rsid w:val="005810D3"/>
    <w:rsid w:val="00583299"/>
    <w:rsid w:val="005832FA"/>
    <w:rsid w:val="00585EA5"/>
    <w:rsid w:val="00586213"/>
    <w:rsid w:val="00586D21"/>
    <w:rsid w:val="00592AFE"/>
    <w:rsid w:val="005936C5"/>
    <w:rsid w:val="00593B4F"/>
    <w:rsid w:val="00593D2A"/>
    <w:rsid w:val="0059401A"/>
    <w:rsid w:val="00596244"/>
    <w:rsid w:val="00596668"/>
    <w:rsid w:val="00596906"/>
    <w:rsid w:val="00596FF3"/>
    <w:rsid w:val="00597876"/>
    <w:rsid w:val="005A108E"/>
    <w:rsid w:val="005A2392"/>
    <w:rsid w:val="005A5B7F"/>
    <w:rsid w:val="005A5D61"/>
    <w:rsid w:val="005A6208"/>
    <w:rsid w:val="005B0EC4"/>
    <w:rsid w:val="005B1721"/>
    <w:rsid w:val="005B2057"/>
    <w:rsid w:val="005B26B7"/>
    <w:rsid w:val="005B7E79"/>
    <w:rsid w:val="005C082F"/>
    <w:rsid w:val="005C1549"/>
    <w:rsid w:val="005C2487"/>
    <w:rsid w:val="005C2FCB"/>
    <w:rsid w:val="005C5A7F"/>
    <w:rsid w:val="005C5D2E"/>
    <w:rsid w:val="005C6D11"/>
    <w:rsid w:val="005D0638"/>
    <w:rsid w:val="005D47F8"/>
    <w:rsid w:val="005D5989"/>
    <w:rsid w:val="005D7598"/>
    <w:rsid w:val="005D7871"/>
    <w:rsid w:val="005D78FC"/>
    <w:rsid w:val="005D7E8F"/>
    <w:rsid w:val="005E2C34"/>
    <w:rsid w:val="005E346B"/>
    <w:rsid w:val="005E372C"/>
    <w:rsid w:val="005E6363"/>
    <w:rsid w:val="005E6E4C"/>
    <w:rsid w:val="005E79D6"/>
    <w:rsid w:val="005E7B73"/>
    <w:rsid w:val="005F04DF"/>
    <w:rsid w:val="005F2482"/>
    <w:rsid w:val="005F3450"/>
    <w:rsid w:val="005F430D"/>
    <w:rsid w:val="005F4823"/>
    <w:rsid w:val="005F5196"/>
    <w:rsid w:val="005F748B"/>
    <w:rsid w:val="00600D64"/>
    <w:rsid w:val="00603B1C"/>
    <w:rsid w:val="00604277"/>
    <w:rsid w:val="00604B3E"/>
    <w:rsid w:val="006055F1"/>
    <w:rsid w:val="006124E2"/>
    <w:rsid w:val="0061442B"/>
    <w:rsid w:val="00614904"/>
    <w:rsid w:val="00614EC9"/>
    <w:rsid w:val="0061510D"/>
    <w:rsid w:val="00615129"/>
    <w:rsid w:val="006154FD"/>
    <w:rsid w:val="00615754"/>
    <w:rsid w:val="00616283"/>
    <w:rsid w:val="006166CF"/>
    <w:rsid w:val="00617580"/>
    <w:rsid w:val="00617725"/>
    <w:rsid w:val="00617A23"/>
    <w:rsid w:val="00617D70"/>
    <w:rsid w:val="00617F2B"/>
    <w:rsid w:val="006210F4"/>
    <w:rsid w:val="006214B2"/>
    <w:rsid w:val="00621B0C"/>
    <w:rsid w:val="00621B44"/>
    <w:rsid w:val="00623297"/>
    <w:rsid w:val="006272E9"/>
    <w:rsid w:val="00634807"/>
    <w:rsid w:val="0063548E"/>
    <w:rsid w:val="0063568D"/>
    <w:rsid w:val="00636E8E"/>
    <w:rsid w:val="00640B85"/>
    <w:rsid w:val="00641A9A"/>
    <w:rsid w:val="006432FA"/>
    <w:rsid w:val="00643DB1"/>
    <w:rsid w:val="006449AB"/>
    <w:rsid w:val="00644B76"/>
    <w:rsid w:val="00644EE7"/>
    <w:rsid w:val="006524FB"/>
    <w:rsid w:val="00652C3D"/>
    <w:rsid w:val="006531FD"/>
    <w:rsid w:val="006533EA"/>
    <w:rsid w:val="00653785"/>
    <w:rsid w:val="00654DB2"/>
    <w:rsid w:val="00654F6D"/>
    <w:rsid w:val="00655A22"/>
    <w:rsid w:val="0065791A"/>
    <w:rsid w:val="006623FB"/>
    <w:rsid w:val="0066514B"/>
    <w:rsid w:val="00666327"/>
    <w:rsid w:val="006673B4"/>
    <w:rsid w:val="006703F9"/>
    <w:rsid w:val="006755AD"/>
    <w:rsid w:val="006775E5"/>
    <w:rsid w:val="006808E5"/>
    <w:rsid w:val="00681040"/>
    <w:rsid w:val="00682FE6"/>
    <w:rsid w:val="006849F3"/>
    <w:rsid w:val="00684A26"/>
    <w:rsid w:val="00684B33"/>
    <w:rsid w:val="00686005"/>
    <w:rsid w:val="00686A8D"/>
    <w:rsid w:val="00687FBC"/>
    <w:rsid w:val="006911D2"/>
    <w:rsid w:val="00692F0B"/>
    <w:rsid w:val="006979DF"/>
    <w:rsid w:val="00697D9F"/>
    <w:rsid w:val="006A003F"/>
    <w:rsid w:val="006A1188"/>
    <w:rsid w:val="006A2575"/>
    <w:rsid w:val="006A2E92"/>
    <w:rsid w:val="006A31C3"/>
    <w:rsid w:val="006A437E"/>
    <w:rsid w:val="006A4C78"/>
    <w:rsid w:val="006A4D18"/>
    <w:rsid w:val="006A6E9D"/>
    <w:rsid w:val="006B3B6B"/>
    <w:rsid w:val="006B45A8"/>
    <w:rsid w:val="006B5D48"/>
    <w:rsid w:val="006B61DE"/>
    <w:rsid w:val="006C0C97"/>
    <w:rsid w:val="006C0E95"/>
    <w:rsid w:val="006C3849"/>
    <w:rsid w:val="006C453A"/>
    <w:rsid w:val="006C5DBA"/>
    <w:rsid w:val="006C69DA"/>
    <w:rsid w:val="006C6DB7"/>
    <w:rsid w:val="006D16AC"/>
    <w:rsid w:val="006D198F"/>
    <w:rsid w:val="006D498B"/>
    <w:rsid w:val="006D776A"/>
    <w:rsid w:val="006D788A"/>
    <w:rsid w:val="006E02AE"/>
    <w:rsid w:val="006E0589"/>
    <w:rsid w:val="006E311A"/>
    <w:rsid w:val="006E489E"/>
    <w:rsid w:val="006E5C49"/>
    <w:rsid w:val="006E6CE0"/>
    <w:rsid w:val="006E7050"/>
    <w:rsid w:val="006E71D9"/>
    <w:rsid w:val="006F0DC0"/>
    <w:rsid w:val="006F2906"/>
    <w:rsid w:val="006F2AB7"/>
    <w:rsid w:val="006F427F"/>
    <w:rsid w:val="006F73B0"/>
    <w:rsid w:val="00703141"/>
    <w:rsid w:val="00703A2C"/>
    <w:rsid w:val="007041E4"/>
    <w:rsid w:val="00710EC5"/>
    <w:rsid w:val="00712BCE"/>
    <w:rsid w:val="007131CF"/>
    <w:rsid w:val="00713B78"/>
    <w:rsid w:val="0071743C"/>
    <w:rsid w:val="00717448"/>
    <w:rsid w:val="00721306"/>
    <w:rsid w:val="00723228"/>
    <w:rsid w:val="007241BF"/>
    <w:rsid w:val="00725282"/>
    <w:rsid w:val="0072541A"/>
    <w:rsid w:val="007256ED"/>
    <w:rsid w:val="007262F9"/>
    <w:rsid w:val="007278BE"/>
    <w:rsid w:val="007340F2"/>
    <w:rsid w:val="00734434"/>
    <w:rsid w:val="007375E8"/>
    <w:rsid w:val="007377F3"/>
    <w:rsid w:val="007417AF"/>
    <w:rsid w:val="0074404F"/>
    <w:rsid w:val="007448D9"/>
    <w:rsid w:val="00744918"/>
    <w:rsid w:val="00744CE0"/>
    <w:rsid w:val="00744EAC"/>
    <w:rsid w:val="007508D4"/>
    <w:rsid w:val="007512A7"/>
    <w:rsid w:val="00755721"/>
    <w:rsid w:val="00755B1A"/>
    <w:rsid w:val="0075767B"/>
    <w:rsid w:val="00757BFE"/>
    <w:rsid w:val="00760D71"/>
    <w:rsid w:val="0076194A"/>
    <w:rsid w:val="0076228F"/>
    <w:rsid w:val="00765911"/>
    <w:rsid w:val="00770620"/>
    <w:rsid w:val="00770781"/>
    <w:rsid w:val="0077090C"/>
    <w:rsid w:val="00773132"/>
    <w:rsid w:val="00780189"/>
    <w:rsid w:val="00781FA2"/>
    <w:rsid w:val="007873DF"/>
    <w:rsid w:val="00790F88"/>
    <w:rsid w:val="00795245"/>
    <w:rsid w:val="00795F36"/>
    <w:rsid w:val="00796CCB"/>
    <w:rsid w:val="007A3129"/>
    <w:rsid w:val="007A4482"/>
    <w:rsid w:val="007A5833"/>
    <w:rsid w:val="007A64FA"/>
    <w:rsid w:val="007A781B"/>
    <w:rsid w:val="007A7CC6"/>
    <w:rsid w:val="007B051C"/>
    <w:rsid w:val="007B240B"/>
    <w:rsid w:val="007B3A18"/>
    <w:rsid w:val="007B40FD"/>
    <w:rsid w:val="007B75EE"/>
    <w:rsid w:val="007C0056"/>
    <w:rsid w:val="007C1851"/>
    <w:rsid w:val="007C2188"/>
    <w:rsid w:val="007C2245"/>
    <w:rsid w:val="007C2EDF"/>
    <w:rsid w:val="007C38CD"/>
    <w:rsid w:val="007C44C1"/>
    <w:rsid w:val="007C4C04"/>
    <w:rsid w:val="007C6D9B"/>
    <w:rsid w:val="007C6F58"/>
    <w:rsid w:val="007C7DB2"/>
    <w:rsid w:val="007D2F0C"/>
    <w:rsid w:val="007D4AE2"/>
    <w:rsid w:val="007D5B68"/>
    <w:rsid w:val="007D5E62"/>
    <w:rsid w:val="007D6969"/>
    <w:rsid w:val="007D6ACB"/>
    <w:rsid w:val="007D6C5B"/>
    <w:rsid w:val="007E2260"/>
    <w:rsid w:val="007E617A"/>
    <w:rsid w:val="007F2667"/>
    <w:rsid w:val="007F5504"/>
    <w:rsid w:val="007F5550"/>
    <w:rsid w:val="008022B5"/>
    <w:rsid w:val="00803727"/>
    <w:rsid w:val="008055AE"/>
    <w:rsid w:val="00807C2D"/>
    <w:rsid w:val="00810777"/>
    <w:rsid w:val="00814116"/>
    <w:rsid w:val="00815B6A"/>
    <w:rsid w:val="00816F18"/>
    <w:rsid w:val="00817E93"/>
    <w:rsid w:val="008229B2"/>
    <w:rsid w:val="008230E1"/>
    <w:rsid w:val="00824D5F"/>
    <w:rsid w:val="00827E09"/>
    <w:rsid w:val="0083177E"/>
    <w:rsid w:val="00833BF1"/>
    <w:rsid w:val="008340B2"/>
    <w:rsid w:val="0083677A"/>
    <w:rsid w:val="00836971"/>
    <w:rsid w:val="00836CDD"/>
    <w:rsid w:val="00837B9F"/>
    <w:rsid w:val="0084050E"/>
    <w:rsid w:val="008406CC"/>
    <w:rsid w:val="00844763"/>
    <w:rsid w:val="00844B36"/>
    <w:rsid w:val="00844BFC"/>
    <w:rsid w:val="008513FD"/>
    <w:rsid w:val="00852768"/>
    <w:rsid w:val="0085364B"/>
    <w:rsid w:val="008555F4"/>
    <w:rsid w:val="00857129"/>
    <w:rsid w:val="008579F4"/>
    <w:rsid w:val="008614DD"/>
    <w:rsid w:val="00863186"/>
    <w:rsid w:val="0086615A"/>
    <w:rsid w:val="00866A7F"/>
    <w:rsid w:val="0086718F"/>
    <w:rsid w:val="0087015F"/>
    <w:rsid w:val="00871047"/>
    <w:rsid w:val="00871A4A"/>
    <w:rsid w:val="008770F1"/>
    <w:rsid w:val="0088185B"/>
    <w:rsid w:val="008859B2"/>
    <w:rsid w:val="00886AAE"/>
    <w:rsid w:val="00887425"/>
    <w:rsid w:val="00887557"/>
    <w:rsid w:val="008919CA"/>
    <w:rsid w:val="00892071"/>
    <w:rsid w:val="00893401"/>
    <w:rsid w:val="008936B3"/>
    <w:rsid w:val="00894052"/>
    <w:rsid w:val="00894ACC"/>
    <w:rsid w:val="00897F21"/>
    <w:rsid w:val="008A183A"/>
    <w:rsid w:val="008A32B9"/>
    <w:rsid w:val="008A38EE"/>
    <w:rsid w:val="008A496D"/>
    <w:rsid w:val="008A661C"/>
    <w:rsid w:val="008A68C6"/>
    <w:rsid w:val="008A7448"/>
    <w:rsid w:val="008B0696"/>
    <w:rsid w:val="008B5084"/>
    <w:rsid w:val="008B557C"/>
    <w:rsid w:val="008B5A3D"/>
    <w:rsid w:val="008B6409"/>
    <w:rsid w:val="008B6B7F"/>
    <w:rsid w:val="008B7BCF"/>
    <w:rsid w:val="008C0B73"/>
    <w:rsid w:val="008C2FFA"/>
    <w:rsid w:val="008C5506"/>
    <w:rsid w:val="008D0573"/>
    <w:rsid w:val="008D25EB"/>
    <w:rsid w:val="008D6250"/>
    <w:rsid w:val="008D6937"/>
    <w:rsid w:val="008E1A8F"/>
    <w:rsid w:val="008E5788"/>
    <w:rsid w:val="008E7F76"/>
    <w:rsid w:val="008F0C65"/>
    <w:rsid w:val="008F3421"/>
    <w:rsid w:val="008F3FBA"/>
    <w:rsid w:val="008F78EF"/>
    <w:rsid w:val="009009D3"/>
    <w:rsid w:val="00901E38"/>
    <w:rsid w:val="00905E1F"/>
    <w:rsid w:val="009074BB"/>
    <w:rsid w:val="00907C4D"/>
    <w:rsid w:val="00913CEC"/>
    <w:rsid w:val="009140A8"/>
    <w:rsid w:val="00915A36"/>
    <w:rsid w:val="009179F8"/>
    <w:rsid w:val="0092275C"/>
    <w:rsid w:val="00924674"/>
    <w:rsid w:val="00926895"/>
    <w:rsid w:val="00927A86"/>
    <w:rsid w:val="00932283"/>
    <w:rsid w:val="009374A4"/>
    <w:rsid w:val="00937581"/>
    <w:rsid w:val="009377B7"/>
    <w:rsid w:val="00937B32"/>
    <w:rsid w:val="00941621"/>
    <w:rsid w:val="00942DC5"/>
    <w:rsid w:val="00946C98"/>
    <w:rsid w:val="0095010E"/>
    <w:rsid w:val="0095166E"/>
    <w:rsid w:val="00952090"/>
    <w:rsid w:val="00952ADE"/>
    <w:rsid w:val="009575AA"/>
    <w:rsid w:val="0095784D"/>
    <w:rsid w:val="0096015F"/>
    <w:rsid w:val="00960E40"/>
    <w:rsid w:val="00962604"/>
    <w:rsid w:val="00962962"/>
    <w:rsid w:val="00962C5E"/>
    <w:rsid w:val="00963022"/>
    <w:rsid w:val="009630E8"/>
    <w:rsid w:val="0096363F"/>
    <w:rsid w:val="00963A1A"/>
    <w:rsid w:val="009646BC"/>
    <w:rsid w:val="00965495"/>
    <w:rsid w:val="0096694E"/>
    <w:rsid w:val="00966D0E"/>
    <w:rsid w:val="0096775C"/>
    <w:rsid w:val="0097015E"/>
    <w:rsid w:val="00970FE0"/>
    <w:rsid w:val="00971BEE"/>
    <w:rsid w:val="0097234B"/>
    <w:rsid w:val="00972EEB"/>
    <w:rsid w:val="00972EF7"/>
    <w:rsid w:val="00975941"/>
    <w:rsid w:val="00976CB5"/>
    <w:rsid w:val="00977F49"/>
    <w:rsid w:val="009804E5"/>
    <w:rsid w:val="00980A46"/>
    <w:rsid w:val="00983573"/>
    <w:rsid w:val="0098657C"/>
    <w:rsid w:val="0099083F"/>
    <w:rsid w:val="00991844"/>
    <w:rsid w:val="00992F29"/>
    <w:rsid w:val="0099342B"/>
    <w:rsid w:val="00996ED2"/>
    <w:rsid w:val="009A090F"/>
    <w:rsid w:val="009A0FC2"/>
    <w:rsid w:val="009A4923"/>
    <w:rsid w:val="009A59DE"/>
    <w:rsid w:val="009A5DDD"/>
    <w:rsid w:val="009A699F"/>
    <w:rsid w:val="009B0424"/>
    <w:rsid w:val="009B1670"/>
    <w:rsid w:val="009B3237"/>
    <w:rsid w:val="009B4613"/>
    <w:rsid w:val="009B776A"/>
    <w:rsid w:val="009C0A93"/>
    <w:rsid w:val="009C19F7"/>
    <w:rsid w:val="009C7E90"/>
    <w:rsid w:val="009D0FCC"/>
    <w:rsid w:val="009D19B9"/>
    <w:rsid w:val="009D31D6"/>
    <w:rsid w:val="009D38EC"/>
    <w:rsid w:val="009D4CF1"/>
    <w:rsid w:val="009D4EC3"/>
    <w:rsid w:val="009D60F8"/>
    <w:rsid w:val="009D67DB"/>
    <w:rsid w:val="009E0E09"/>
    <w:rsid w:val="009E48F5"/>
    <w:rsid w:val="009E5573"/>
    <w:rsid w:val="009F5F8E"/>
    <w:rsid w:val="00A01DB0"/>
    <w:rsid w:val="00A03247"/>
    <w:rsid w:val="00A03393"/>
    <w:rsid w:val="00A035D2"/>
    <w:rsid w:val="00A04E9E"/>
    <w:rsid w:val="00A05537"/>
    <w:rsid w:val="00A0639A"/>
    <w:rsid w:val="00A06449"/>
    <w:rsid w:val="00A07827"/>
    <w:rsid w:val="00A10EAE"/>
    <w:rsid w:val="00A12368"/>
    <w:rsid w:val="00A12E38"/>
    <w:rsid w:val="00A149B1"/>
    <w:rsid w:val="00A17C45"/>
    <w:rsid w:val="00A20024"/>
    <w:rsid w:val="00A20913"/>
    <w:rsid w:val="00A2153D"/>
    <w:rsid w:val="00A22EDA"/>
    <w:rsid w:val="00A272A9"/>
    <w:rsid w:val="00A34C98"/>
    <w:rsid w:val="00A4297C"/>
    <w:rsid w:val="00A50426"/>
    <w:rsid w:val="00A50526"/>
    <w:rsid w:val="00A50550"/>
    <w:rsid w:val="00A51658"/>
    <w:rsid w:val="00A55C79"/>
    <w:rsid w:val="00A600D3"/>
    <w:rsid w:val="00A61877"/>
    <w:rsid w:val="00A641B8"/>
    <w:rsid w:val="00A76299"/>
    <w:rsid w:val="00A770E5"/>
    <w:rsid w:val="00A7735F"/>
    <w:rsid w:val="00A85BBD"/>
    <w:rsid w:val="00A85CEB"/>
    <w:rsid w:val="00A87D90"/>
    <w:rsid w:val="00A908D9"/>
    <w:rsid w:val="00A911FC"/>
    <w:rsid w:val="00A915B8"/>
    <w:rsid w:val="00A91E8F"/>
    <w:rsid w:val="00A93A4F"/>
    <w:rsid w:val="00A94415"/>
    <w:rsid w:val="00A97860"/>
    <w:rsid w:val="00AA112C"/>
    <w:rsid w:val="00AA1BFB"/>
    <w:rsid w:val="00AA2472"/>
    <w:rsid w:val="00AA3283"/>
    <w:rsid w:val="00AA3642"/>
    <w:rsid w:val="00AA4BBD"/>
    <w:rsid w:val="00AA7679"/>
    <w:rsid w:val="00AB0E45"/>
    <w:rsid w:val="00AB21DB"/>
    <w:rsid w:val="00AB3F2C"/>
    <w:rsid w:val="00AB42C3"/>
    <w:rsid w:val="00AB450D"/>
    <w:rsid w:val="00AB47AA"/>
    <w:rsid w:val="00AB4880"/>
    <w:rsid w:val="00AB575D"/>
    <w:rsid w:val="00AB5C77"/>
    <w:rsid w:val="00AB5D98"/>
    <w:rsid w:val="00AB6E36"/>
    <w:rsid w:val="00AC2355"/>
    <w:rsid w:val="00AC2606"/>
    <w:rsid w:val="00AC3D45"/>
    <w:rsid w:val="00AC5FC6"/>
    <w:rsid w:val="00AC6061"/>
    <w:rsid w:val="00AD7996"/>
    <w:rsid w:val="00AE1339"/>
    <w:rsid w:val="00AE1CB2"/>
    <w:rsid w:val="00AE2F58"/>
    <w:rsid w:val="00AE77C6"/>
    <w:rsid w:val="00AE7D27"/>
    <w:rsid w:val="00AF0B6C"/>
    <w:rsid w:val="00AF0B71"/>
    <w:rsid w:val="00AF1206"/>
    <w:rsid w:val="00AF175F"/>
    <w:rsid w:val="00AF345F"/>
    <w:rsid w:val="00AF40C4"/>
    <w:rsid w:val="00AF42B1"/>
    <w:rsid w:val="00AF47DE"/>
    <w:rsid w:val="00B007C8"/>
    <w:rsid w:val="00B04EBA"/>
    <w:rsid w:val="00B10AE3"/>
    <w:rsid w:val="00B10DFA"/>
    <w:rsid w:val="00B1181D"/>
    <w:rsid w:val="00B11C3D"/>
    <w:rsid w:val="00B122C9"/>
    <w:rsid w:val="00B13113"/>
    <w:rsid w:val="00B14731"/>
    <w:rsid w:val="00B16E7C"/>
    <w:rsid w:val="00B175E0"/>
    <w:rsid w:val="00B2326B"/>
    <w:rsid w:val="00B271C5"/>
    <w:rsid w:val="00B2776A"/>
    <w:rsid w:val="00B31DA4"/>
    <w:rsid w:val="00B32FDB"/>
    <w:rsid w:val="00B333C1"/>
    <w:rsid w:val="00B346DC"/>
    <w:rsid w:val="00B34C3D"/>
    <w:rsid w:val="00B41093"/>
    <w:rsid w:val="00B41B37"/>
    <w:rsid w:val="00B423DC"/>
    <w:rsid w:val="00B44588"/>
    <w:rsid w:val="00B45A41"/>
    <w:rsid w:val="00B47962"/>
    <w:rsid w:val="00B50585"/>
    <w:rsid w:val="00B5297D"/>
    <w:rsid w:val="00B52B57"/>
    <w:rsid w:val="00B53D98"/>
    <w:rsid w:val="00B5572B"/>
    <w:rsid w:val="00B570D4"/>
    <w:rsid w:val="00B577BC"/>
    <w:rsid w:val="00B645D5"/>
    <w:rsid w:val="00B653D8"/>
    <w:rsid w:val="00B722CB"/>
    <w:rsid w:val="00B72B27"/>
    <w:rsid w:val="00B7614D"/>
    <w:rsid w:val="00B77694"/>
    <w:rsid w:val="00B82327"/>
    <w:rsid w:val="00B850F8"/>
    <w:rsid w:val="00B854FD"/>
    <w:rsid w:val="00B868CC"/>
    <w:rsid w:val="00B934F9"/>
    <w:rsid w:val="00B935F5"/>
    <w:rsid w:val="00B93C53"/>
    <w:rsid w:val="00B95113"/>
    <w:rsid w:val="00B9750B"/>
    <w:rsid w:val="00BA01AF"/>
    <w:rsid w:val="00BA0A2A"/>
    <w:rsid w:val="00BA167F"/>
    <w:rsid w:val="00BA307A"/>
    <w:rsid w:val="00BA3CE5"/>
    <w:rsid w:val="00BA4D83"/>
    <w:rsid w:val="00BA5985"/>
    <w:rsid w:val="00BA6700"/>
    <w:rsid w:val="00BA7512"/>
    <w:rsid w:val="00BB0BB9"/>
    <w:rsid w:val="00BB1272"/>
    <w:rsid w:val="00BB3165"/>
    <w:rsid w:val="00BB31C0"/>
    <w:rsid w:val="00BB4838"/>
    <w:rsid w:val="00BB51F4"/>
    <w:rsid w:val="00BB5732"/>
    <w:rsid w:val="00BC364B"/>
    <w:rsid w:val="00BC370E"/>
    <w:rsid w:val="00BC4E6A"/>
    <w:rsid w:val="00BD65B4"/>
    <w:rsid w:val="00BE1DBE"/>
    <w:rsid w:val="00BE3C92"/>
    <w:rsid w:val="00BE4DE0"/>
    <w:rsid w:val="00BE75A3"/>
    <w:rsid w:val="00BF18B2"/>
    <w:rsid w:val="00BF278E"/>
    <w:rsid w:val="00BF46AE"/>
    <w:rsid w:val="00BF49CD"/>
    <w:rsid w:val="00BF6958"/>
    <w:rsid w:val="00C033A3"/>
    <w:rsid w:val="00C04FFE"/>
    <w:rsid w:val="00C06B2D"/>
    <w:rsid w:val="00C06E35"/>
    <w:rsid w:val="00C07483"/>
    <w:rsid w:val="00C10A75"/>
    <w:rsid w:val="00C1122F"/>
    <w:rsid w:val="00C13CE3"/>
    <w:rsid w:val="00C152A6"/>
    <w:rsid w:val="00C16DD9"/>
    <w:rsid w:val="00C170E6"/>
    <w:rsid w:val="00C17F7D"/>
    <w:rsid w:val="00C21DBE"/>
    <w:rsid w:val="00C24BB1"/>
    <w:rsid w:val="00C30F76"/>
    <w:rsid w:val="00C31007"/>
    <w:rsid w:val="00C31A09"/>
    <w:rsid w:val="00C336BC"/>
    <w:rsid w:val="00C3617C"/>
    <w:rsid w:val="00C367FE"/>
    <w:rsid w:val="00C36BBE"/>
    <w:rsid w:val="00C402DF"/>
    <w:rsid w:val="00C43C1F"/>
    <w:rsid w:val="00C4606F"/>
    <w:rsid w:val="00C5547E"/>
    <w:rsid w:val="00C5573B"/>
    <w:rsid w:val="00C560B9"/>
    <w:rsid w:val="00C60D5B"/>
    <w:rsid w:val="00C61D3B"/>
    <w:rsid w:val="00C620AF"/>
    <w:rsid w:val="00C63DA2"/>
    <w:rsid w:val="00C64AB1"/>
    <w:rsid w:val="00C66576"/>
    <w:rsid w:val="00C72949"/>
    <w:rsid w:val="00C73320"/>
    <w:rsid w:val="00C744D0"/>
    <w:rsid w:val="00C75738"/>
    <w:rsid w:val="00C75C72"/>
    <w:rsid w:val="00C76A03"/>
    <w:rsid w:val="00C76C09"/>
    <w:rsid w:val="00C802DF"/>
    <w:rsid w:val="00C831F1"/>
    <w:rsid w:val="00C85E52"/>
    <w:rsid w:val="00C9059C"/>
    <w:rsid w:val="00C90FFB"/>
    <w:rsid w:val="00C91B75"/>
    <w:rsid w:val="00C92707"/>
    <w:rsid w:val="00C93A12"/>
    <w:rsid w:val="00C96B5F"/>
    <w:rsid w:val="00C97435"/>
    <w:rsid w:val="00CA2283"/>
    <w:rsid w:val="00CA2F1D"/>
    <w:rsid w:val="00CA37FB"/>
    <w:rsid w:val="00CA43EF"/>
    <w:rsid w:val="00CA6AA0"/>
    <w:rsid w:val="00CB0C62"/>
    <w:rsid w:val="00CB2063"/>
    <w:rsid w:val="00CB6438"/>
    <w:rsid w:val="00CB64A5"/>
    <w:rsid w:val="00CC1348"/>
    <w:rsid w:val="00CC1594"/>
    <w:rsid w:val="00CC2F69"/>
    <w:rsid w:val="00CD0878"/>
    <w:rsid w:val="00CD22AF"/>
    <w:rsid w:val="00CD458B"/>
    <w:rsid w:val="00CD482A"/>
    <w:rsid w:val="00CD5CA9"/>
    <w:rsid w:val="00CD6F66"/>
    <w:rsid w:val="00CE0987"/>
    <w:rsid w:val="00CE350A"/>
    <w:rsid w:val="00CE3E9A"/>
    <w:rsid w:val="00CE3FB6"/>
    <w:rsid w:val="00CE42C3"/>
    <w:rsid w:val="00CF064D"/>
    <w:rsid w:val="00CF089B"/>
    <w:rsid w:val="00CF2552"/>
    <w:rsid w:val="00CF4950"/>
    <w:rsid w:val="00CF61C6"/>
    <w:rsid w:val="00CF66F3"/>
    <w:rsid w:val="00CF67E9"/>
    <w:rsid w:val="00D001C0"/>
    <w:rsid w:val="00D01D7C"/>
    <w:rsid w:val="00D04281"/>
    <w:rsid w:val="00D05D7F"/>
    <w:rsid w:val="00D06887"/>
    <w:rsid w:val="00D072AF"/>
    <w:rsid w:val="00D100DC"/>
    <w:rsid w:val="00D10F22"/>
    <w:rsid w:val="00D113D2"/>
    <w:rsid w:val="00D11C21"/>
    <w:rsid w:val="00D11DE7"/>
    <w:rsid w:val="00D1216E"/>
    <w:rsid w:val="00D12AFB"/>
    <w:rsid w:val="00D12B67"/>
    <w:rsid w:val="00D13694"/>
    <w:rsid w:val="00D13A56"/>
    <w:rsid w:val="00D17F5C"/>
    <w:rsid w:val="00D2200A"/>
    <w:rsid w:val="00D22B6B"/>
    <w:rsid w:val="00D22BF0"/>
    <w:rsid w:val="00D2659C"/>
    <w:rsid w:val="00D32A58"/>
    <w:rsid w:val="00D340BD"/>
    <w:rsid w:val="00D41FA0"/>
    <w:rsid w:val="00D43C9C"/>
    <w:rsid w:val="00D45FC2"/>
    <w:rsid w:val="00D5234A"/>
    <w:rsid w:val="00D55ED7"/>
    <w:rsid w:val="00D5699B"/>
    <w:rsid w:val="00D57121"/>
    <w:rsid w:val="00D60F6D"/>
    <w:rsid w:val="00D6301D"/>
    <w:rsid w:val="00D660D1"/>
    <w:rsid w:val="00D673FA"/>
    <w:rsid w:val="00D703D9"/>
    <w:rsid w:val="00D8058D"/>
    <w:rsid w:val="00D829A2"/>
    <w:rsid w:val="00D82B0D"/>
    <w:rsid w:val="00D8496A"/>
    <w:rsid w:val="00D90211"/>
    <w:rsid w:val="00D90A2B"/>
    <w:rsid w:val="00D9180A"/>
    <w:rsid w:val="00D91EC6"/>
    <w:rsid w:val="00D94B2F"/>
    <w:rsid w:val="00D94B63"/>
    <w:rsid w:val="00D97EBD"/>
    <w:rsid w:val="00DA313F"/>
    <w:rsid w:val="00DA4D56"/>
    <w:rsid w:val="00DA5CB2"/>
    <w:rsid w:val="00DA6DE9"/>
    <w:rsid w:val="00DA78DD"/>
    <w:rsid w:val="00DB2245"/>
    <w:rsid w:val="00DB2E82"/>
    <w:rsid w:val="00DB4FFA"/>
    <w:rsid w:val="00DB5749"/>
    <w:rsid w:val="00DB7C64"/>
    <w:rsid w:val="00DB7EB1"/>
    <w:rsid w:val="00DC081E"/>
    <w:rsid w:val="00DC10B3"/>
    <w:rsid w:val="00DC1AEA"/>
    <w:rsid w:val="00DC2F45"/>
    <w:rsid w:val="00DC3473"/>
    <w:rsid w:val="00DC4029"/>
    <w:rsid w:val="00DC4512"/>
    <w:rsid w:val="00DC4D96"/>
    <w:rsid w:val="00DD0D3E"/>
    <w:rsid w:val="00DD2AFB"/>
    <w:rsid w:val="00DD483F"/>
    <w:rsid w:val="00DD6365"/>
    <w:rsid w:val="00DD69DD"/>
    <w:rsid w:val="00DE54DF"/>
    <w:rsid w:val="00DE6C76"/>
    <w:rsid w:val="00DE7488"/>
    <w:rsid w:val="00DF0834"/>
    <w:rsid w:val="00DF387F"/>
    <w:rsid w:val="00DF3A2C"/>
    <w:rsid w:val="00DF404C"/>
    <w:rsid w:val="00DF6AD1"/>
    <w:rsid w:val="00DF75EA"/>
    <w:rsid w:val="00DF787B"/>
    <w:rsid w:val="00E05496"/>
    <w:rsid w:val="00E05EFF"/>
    <w:rsid w:val="00E0712B"/>
    <w:rsid w:val="00E11AE6"/>
    <w:rsid w:val="00E12C0B"/>
    <w:rsid w:val="00E20C3F"/>
    <w:rsid w:val="00E2139D"/>
    <w:rsid w:val="00E24FB6"/>
    <w:rsid w:val="00E26231"/>
    <w:rsid w:val="00E26699"/>
    <w:rsid w:val="00E3006B"/>
    <w:rsid w:val="00E3037A"/>
    <w:rsid w:val="00E31EFF"/>
    <w:rsid w:val="00E331D2"/>
    <w:rsid w:val="00E3323E"/>
    <w:rsid w:val="00E34411"/>
    <w:rsid w:val="00E36E21"/>
    <w:rsid w:val="00E3715B"/>
    <w:rsid w:val="00E40F04"/>
    <w:rsid w:val="00E42544"/>
    <w:rsid w:val="00E44C8A"/>
    <w:rsid w:val="00E44FD1"/>
    <w:rsid w:val="00E455A4"/>
    <w:rsid w:val="00E505A1"/>
    <w:rsid w:val="00E52185"/>
    <w:rsid w:val="00E56D51"/>
    <w:rsid w:val="00E601B0"/>
    <w:rsid w:val="00E6078E"/>
    <w:rsid w:val="00E61E3A"/>
    <w:rsid w:val="00E62B15"/>
    <w:rsid w:val="00E62E84"/>
    <w:rsid w:val="00E64CFA"/>
    <w:rsid w:val="00E65435"/>
    <w:rsid w:val="00E65454"/>
    <w:rsid w:val="00E65960"/>
    <w:rsid w:val="00E67FCC"/>
    <w:rsid w:val="00E70261"/>
    <w:rsid w:val="00E70D0B"/>
    <w:rsid w:val="00E71C49"/>
    <w:rsid w:val="00E721BF"/>
    <w:rsid w:val="00E732B0"/>
    <w:rsid w:val="00E74DF9"/>
    <w:rsid w:val="00E7546C"/>
    <w:rsid w:val="00E806E8"/>
    <w:rsid w:val="00E828FB"/>
    <w:rsid w:val="00E84842"/>
    <w:rsid w:val="00E85633"/>
    <w:rsid w:val="00E86C17"/>
    <w:rsid w:val="00E900CF"/>
    <w:rsid w:val="00E900EE"/>
    <w:rsid w:val="00E919A2"/>
    <w:rsid w:val="00E92861"/>
    <w:rsid w:val="00E933FF"/>
    <w:rsid w:val="00E9445B"/>
    <w:rsid w:val="00E96212"/>
    <w:rsid w:val="00E96B0B"/>
    <w:rsid w:val="00EA3AA0"/>
    <w:rsid w:val="00EA4233"/>
    <w:rsid w:val="00EA7920"/>
    <w:rsid w:val="00EA7BA4"/>
    <w:rsid w:val="00EB0490"/>
    <w:rsid w:val="00EB0D14"/>
    <w:rsid w:val="00EB3D73"/>
    <w:rsid w:val="00EB3F06"/>
    <w:rsid w:val="00EB7610"/>
    <w:rsid w:val="00EC1983"/>
    <w:rsid w:val="00EC2842"/>
    <w:rsid w:val="00EC2DC9"/>
    <w:rsid w:val="00EC3AF9"/>
    <w:rsid w:val="00EC3E6E"/>
    <w:rsid w:val="00EC4196"/>
    <w:rsid w:val="00EC6009"/>
    <w:rsid w:val="00EC7E6F"/>
    <w:rsid w:val="00ED04F0"/>
    <w:rsid w:val="00ED2069"/>
    <w:rsid w:val="00ED381B"/>
    <w:rsid w:val="00ED6824"/>
    <w:rsid w:val="00ED6DBF"/>
    <w:rsid w:val="00EE0C4B"/>
    <w:rsid w:val="00EE7E64"/>
    <w:rsid w:val="00EF0D2A"/>
    <w:rsid w:val="00EF146B"/>
    <w:rsid w:val="00EF2737"/>
    <w:rsid w:val="00EF55E6"/>
    <w:rsid w:val="00F06E63"/>
    <w:rsid w:val="00F07CCE"/>
    <w:rsid w:val="00F07CEC"/>
    <w:rsid w:val="00F11A69"/>
    <w:rsid w:val="00F13011"/>
    <w:rsid w:val="00F13999"/>
    <w:rsid w:val="00F160A0"/>
    <w:rsid w:val="00F178BD"/>
    <w:rsid w:val="00F178D7"/>
    <w:rsid w:val="00F22227"/>
    <w:rsid w:val="00F242C2"/>
    <w:rsid w:val="00F24A48"/>
    <w:rsid w:val="00F274D0"/>
    <w:rsid w:val="00F31718"/>
    <w:rsid w:val="00F31F36"/>
    <w:rsid w:val="00F33E73"/>
    <w:rsid w:val="00F349E7"/>
    <w:rsid w:val="00F40BC2"/>
    <w:rsid w:val="00F4126B"/>
    <w:rsid w:val="00F41F95"/>
    <w:rsid w:val="00F425D5"/>
    <w:rsid w:val="00F44B62"/>
    <w:rsid w:val="00F45694"/>
    <w:rsid w:val="00F506B5"/>
    <w:rsid w:val="00F52E48"/>
    <w:rsid w:val="00F54DDC"/>
    <w:rsid w:val="00F55418"/>
    <w:rsid w:val="00F56EAA"/>
    <w:rsid w:val="00F57678"/>
    <w:rsid w:val="00F60371"/>
    <w:rsid w:val="00F60B1E"/>
    <w:rsid w:val="00F61436"/>
    <w:rsid w:val="00F631AD"/>
    <w:rsid w:val="00F67901"/>
    <w:rsid w:val="00F7092C"/>
    <w:rsid w:val="00F7112A"/>
    <w:rsid w:val="00F71461"/>
    <w:rsid w:val="00F75896"/>
    <w:rsid w:val="00F8035F"/>
    <w:rsid w:val="00F80DBD"/>
    <w:rsid w:val="00F80E4B"/>
    <w:rsid w:val="00F82BA2"/>
    <w:rsid w:val="00F82FE9"/>
    <w:rsid w:val="00F831CF"/>
    <w:rsid w:val="00F8382E"/>
    <w:rsid w:val="00F857D2"/>
    <w:rsid w:val="00F8637D"/>
    <w:rsid w:val="00F86A2C"/>
    <w:rsid w:val="00F8741F"/>
    <w:rsid w:val="00F9036C"/>
    <w:rsid w:val="00F92C08"/>
    <w:rsid w:val="00F93FFA"/>
    <w:rsid w:val="00F958B3"/>
    <w:rsid w:val="00F968D8"/>
    <w:rsid w:val="00FA00C0"/>
    <w:rsid w:val="00FA1391"/>
    <w:rsid w:val="00FA1D5A"/>
    <w:rsid w:val="00FA2E6D"/>
    <w:rsid w:val="00FA79A9"/>
    <w:rsid w:val="00FB1A5E"/>
    <w:rsid w:val="00FB27EB"/>
    <w:rsid w:val="00FB2F20"/>
    <w:rsid w:val="00FB3432"/>
    <w:rsid w:val="00FB454E"/>
    <w:rsid w:val="00FB75F9"/>
    <w:rsid w:val="00FC1DF7"/>
    <w:rsid w:val="00FC4854"/>
    <w:rsid w:val="00FC64CD"/>
    <w:rsid w:val="00FC6B2D"/>
    <w:rsid w:val="00FD0054"/>
    <w:rsid w:val="00FD0141"/>
    <w:rsid w:val="00FD157E"/>
    <w:rsid w:val="00FD1C02"/>
    <w:rsid w:val="00FD2272"/>
    <w:rsid w:val="00FD3AD6"/>
    <w:rsid w:val="00FD4A15"/>
    <w:rsid w:val="00FD51C1"/>
    <w:rsid w:val="00FD62CC"/>
    <w:rsid w:val="00FD7266"/>
    <w:rsid w:val="00FE1D45"/>
    <w:rsid w:val="00FE3D77"/>
    <w:rsid w:val="00FE5B2C"/>
    <w:rsid w:val="00FE7973"/>
    <w:rsid w:val="00FF0B08"/>
    <w:rsid w:val="00FF361F"/>
    <w:rsid w:val="00FF7C24"/>
    <w:rsid w:val="013E2285"/>
    <w:rsid w:val="01567F37"/>
    <w:rsid w:val="01A22C15"/>
    <w:rsid w:val="01B446F6"/>
    <w:rsid w:val="01D90B32"/>
    <w:rsid w:val="021D36C4"/>
    <w:rsid w:val="02BE2134"/>
    <w:rsid w:val="03347812"/>
    <w:rsid w:val="03657A9A"/>
    <w:rsid w:val="03715D48"/>
    <w:rsid w:val="03885EBA"/>
    <w:rsid w:val="04AFA5FB"/>
    <w:rsid w:val="04D74C7F"/>
    <w:rsid w:val="05B053B7"/>
    <w:rsid w:val="05C54482"/>
    <w:rsid w:val="0620399E"/>
    <w:rsid w:val="069B5E85"/>
    <w:rsid w:val="0728596A"/>
    <w:rsid w:val="07320597"/>
    <w:rsid w:val="073E6F3C"/>
    <w:rsid w:val="07A330EF"/>
    <w:rsid w:val="07FCA2A9"/>
    <w:rsid w:val="08534C69"/>
    <w:rsid w:val="08C05459"/>
    <w:rsid w:val="09190577"/>
    <w:rsid w:val="09A11A04"/>
    <w:rsid w:val="0A7B5BC3"/>
    <w:rsid w:val="0A841FD0"/>
    <w:rsid w:val="0A9652E1"/>
    <w:rsid w:val="0B620D75"/>
    <w:rsid w:val="0BAF1610"/>
    <w:rsid w:val="0C1B5A9E"/>
    <w:rsid w:val="0C2956DB"/>
    <w:rsid w:val="0C4C5A16"/>
    <w:rsid w:val="0C5F0C39"/>
    <w:rsid w:val="0DB238D2"/>
    <w:rsid w:val="0DCF4D92"/>
    <w:rsid w:val="0F7A5F2F"/>
    <w:rsid w:val="0F8A6E6A"/>
    <w:rsid w:val="0FC6716D"/>
    <w:rsid w:val="10000BFA"/>
    <w:rsid w:val="10414420"/>
    <w:rsid w:val="10C008DE"/>
    <w:rsid w:val="10E95469"/>
    <w:rsid w:val="114E29F5"/>
    <w:rsid w:val="123D5579"/>
    <w:rsid w:val="129FA7CF"/>
    <w:rsid w:val="132536A6"/>
    <w:rsid w:val="13262438"/>
    <w:rsid w:val="13515FDE"/>
    <w:rsid w:val="13737F6D"/>
    <w:rsid w:val="138A1FDB"/>
    <w:rsid w:val="141379A2"/>
    <w:rsid w:val="1433593D"/>
    <w:rsid w:val="14552371"/>
    <w:rsid w:val="14F54EDC"/>
    <w:rsid w:val="15971734"/>
    <w:rsid w:val="173E1BB2"/>
    <w:rsid w:val="17CF761C"/>
    <w:rsid w:val="188744BB"/>
    <w:rsid w:val="18A4505C"/>
    <w:rsid w:val="18AE1812"/>
    <w:rsid w:val="190726EF"/>
    <w:rsid w:val="191919E0"/>
    <w:rsid w:val="19DFB8E6"/>
    <w:rsid w:val="1A420699"/>
    <w:rsid w:val="1AF55A0C"/>
    <w:rsid w:val="1B7D1939"/>
    <w:rsid w:val="1B7F4C6F"/>
    <w:rsid w:val="1B894BCA"/>
    <w:rsid w:val="1BA062FC"/>
    <w:rsid w:val="1BC8704D"/>
    <w:rsid w:val="1C237641"/>
    <w:rsid w:val="1CDD6D9F"/>
    <w:rsid w:val="1D7921FC"/>
    <w:rsid w:val="1D9A2632"/>
    <w:rsid w:val="1DC064A5"/>
    <w:rsid w:val="1DDB5952"/>
    <w:rsid w:val="1E17ACED"/>
    <w:rsid w:val="1E4F5A7B"/>
    <w:rsid w:val="1E8F40C9"/>
    <w:rsid w:val="1E9253C5"/>
    <w:rsid w:val="1EA53C81"/>
    <w:rsid w:val="1EFE15E7"/>
    <w:rsid w:val="1F3E526A"/>
    <w:rsid w:val="1F7D1ACB"/>
    <w:rsid w:val="1F9E5E9F"/>
    <w:rsid w:val="1FD579A8"/>
    <w:rsid w:val="1FF9AA81"/>
    <w:rsid w:val="1FFE5428"/>
    <w:rsid w:val="201F1B43"/>
    <w:rsid w:val="20F14500"/>
    <w:rsid w:val="21B15344"/>
    <w:rsid w:val="221E3F06"/>
    <w:rsid w:val="22522D20"/>
    <w:rsid w:val="2269353F"/>
    <w:rsid w:val="22877591"/>
    <w:rsid w:val="228F2A05"/>
    <w:rsid w:val="22EF9014"/>
    <w:rsid w:val="23733F43"/>
    <w:rsid w:val="23A81EB5"/>
    <w:rsid w:val="23BA3996"/>
    <w:rsid w:val="23C371FF"/>
    <w:rsid w:val="23D36676"/>
    <w:rsid w:val="23FB505B"/>
    <w:rsid w:val="24092722"/>
    <w:rsid w:val="24155071"/>
    <w:rsid w:val="246E313B"/>
    <w:rsid w:val="247C0C4C"/>
    <w:rsid w:val="25A93CC2"/>
    <w:rsid w:val="25C0475E"/>
    <w:rsid w:val="25C05C71"/>
    <w:rsid w:val="263B7010"/>
    <w:rsid w:val="263F682B"/>
    <w:rsid w:val="27265AC1"/>
    <w:rsid w:val="27441EF5"/>
    <w:rsid w:val="28991DCC"/>
    <w:rsid w:val="28A8544C"/>
    <w:rsid w:val="29195B6A"/>
    <w:rsid w:val="2A0852E1"/>
    <w:rsid w:val="2A4A0A30"/>
    <w:rsid w:val="2A4E41E2"/>
    <w:rsid w:val="2A930A9D"/>
    <w:rsid w:val="2ABE12A9"/>
    <w:rsid w:val="2B2D3114"/>
    <w:rsid w:val="2BC659C1"/>
    <w:rsid w:val="2C882884"/>
    <w:rsid w:val="2CC94B0E"/>
    <w:rsid w:val="2CF35DA7"/>
    <w:rsid w:val="2E5D1AEE"/>
    <w:rsid w:val="2E732B82"/>
    <w:rsid w:val="2ECB3E05"/>
    <w:rsid w:val="2EF064BE"/>
    <w:rsid w:val="2EF46654"/>
    <w:rsid w:val="2F236894"/>
    <w:rsid w:val="2F2B399A"/>
    <w:rsid w:val="2F79BA9B"/>
    <w:rsid w:val="2F7E9B3A"/>
    <w:rsid w:val="2FAF1F70"/>
    <w:rsid w:val="2FCBB8E2"/>
    <w:rsid w:val="2FEFA5EF"/>
    <w:rsid w:val="301A5EE8"/>
    <w:rsid w:val="301C4027"/>
    <w:rsid w:val="30B73737"/>
    <w:rsid w:val="310B3F49"/>
    <w:rsid w:val="31B85717"/>
    <w:rsid w:val="32C043F9"/>
    <w:rsid w:val="33483ADD"/>
    <w:rsid w:val="336F6858"/>
    <w:rsid w:val="33F79010"/>
    <w:rsid w:val="349932CE"/>
    <w:rsid w:val="3529699D"/>
    <w:rsid w:val="355359F9"/>
    <w:rsid w:val="35FBE627"/>
    <w:rsid w:val="360D3DFA"/>
    <w:rsid w:val="36BE9B17"/>
    <w:rsid w:val="37B06B3B"/>
    <w:rsid w:val="382FC1D3"/>
    <w:rsid w:val="3830474D"/>
    <w:rsid w:val="38673C95"/>
    <w:rsid w:val="38900FC7"/>
    <w:rsid w:val="389E0AF2"/>
    <w:rsid w:val="38D11B64"/>
    <w:rsid w:val="38FDA20D"/>
    <w:rsid w:val="39074B30"/>
    <w:rsid w:val="394741AE"/>
    <w:rsid w:val="398E3415"/>
    <w:rsid w:val="39924D42"/>
    <w:rsid w:val="39AB26B7"/>
    <w:rsid w:val="39E612C0"/>
    <w:rsid w:val="39F23A32"/>
    <w:rsid w:val="39F91CA4"/>
    <w:rsid w:val="39FB0737"/>
    <w:rsid w:val="39FBFDAC"/>
    <w:rsid w:val="3A940645"/>
    <w:rsid w:val="3ABC46D2"/>
    <w:rsid w:val="3AF775F9"/>
    <w:rsid w:val="3BBB24B6"/>
    <w:rsid w:val="3D3C0A9B"/>
    <w:rsid w:val="3D5B507C"/>
    <w:rsid w:val="3D7925A6"/>
    <w:rsid w:val="3D7EF363"/>
    <w:rsid w:val="3DB13CD0"/>
    <w:rsid w:val="3E5A7DF8"/>
    <w:rsid w:val="3E694441"/>
    <w:rsid w:val="3E7C1B1C"/>
    <w:rsid w:val="3EA22EAB"/>
    <w:rsid w:val="3EB1D866"/>
    <w:rsid w:val="3EC032A2"/>
    <w:rsid w:val="3EFD0EAF"/>
    <w:rsid w:val="3EFF5231"/>
    <w:rsid w:val="3F7FE051"/>
    <w:rsid w:val="3F83618A"/>
    <w:rsid w:val="3FBDA384"/>
    <w:rsid w:val="3FC75AC9"/>
    <w:rsid w:val="3FD6525C"/>
    <w:rsid w:val="3FEBBBDE"/>
    <w:rsid w:val="3FEF0E46"/>
    <w:rsid w:val="3FF7467F"/>
    <w:rsid w:val="3FF7D6F4"/>
    <w:rsid w:val="405A5E8D"/>
    <w:rsid w:val="40752B2E"/>
    <w:rsid w:val="411F2CF0"/>
    <w:rsid w:val="419454B5"/>
    <w:rsid w:val="43FF1225"/>
    <w:rsid w:val="443B3807"/>
    <w:rsid w:val="445F1CC4"/>
    <w:rsid w:val="44D02BC2"/>
    <w:rsid w:val="44DD1D00"/>
    <w:rsid w:val="44DE708D"/>
    <w:rsid w:val="44EB3A48"/>
    <w:rsid w:val="44FF5255"/>
    <w:rsid w:val="451738EE"/>
    <w:rsid w:val="457C4AF8"/>
    <w:rsid w:val="45992FB4"/>
    <w:rsid w:val="45AF4585"/>
    <w:rsid w:val="45EE62B6"/>
    <w:rsid w:val="464D4B65"/>
    <w:rsid w:val="47170634"/>
    <w:rsid w:val="47413903"/>
    <w:rsid w:val="474E4E09"/>
    <w:rsid w:val="47F22E4F"/>
    <w:rsid w:val="48054931"/>
    <w:rsid w:val="48175B56"/>
    <w:rsid w:val="48E541DA"/>
    <w:rsid w:val="49A876EC"/>
    <w:rsid w:val="4A272988"/>
    <w:rsid w:val="4A730759"/>
    <w:rsid w:val="4A9B5A20"/>
    <w:rsid w:val="4B985ABC"/>
    <w:rsid w:val="4BA060E3"/>
    <w:rsid w:val="4BDF2514"/>
    <w:rsid w:val="4C0F2222"/>
    <w:rsid w:val="4C886622"/>
    <w:rsid w:val="4C9E4F91"/>
    <w:rsid w:val="4CEB5135"/>
    <w:rsid w:val="4D3637DE"/>
    <w:rsid w:val="4DB03590"/>
    <w:rsid w:val="4DBD1415"/>
    <w:rsid w:val="4E056FD9"/>
    <w:rsid w:val="4E0B736E"/>
    <w:rsid w:val="4E3F4215"/>
    <w:rsid w:val="4F105AB7"/>
    <w:rsid w:val="4F734876"/>
    <w:rsid w:val="4FA47125"/>
    <w:rsid w:val="4FFADB72"/>
    <w:rsid w:val="4FFF2C91"/>
    <w:rsid w:val="4FFF63EB"/>
    <w:rsid w:val="50434791"/>
    <w:rsid w:val="50C25AB5"/>
    <w:rsid w:val="50DD786F"/>
    <w:rsid w:val="513049C3"/>
    <w:rsid w:val="51B54B7D"/>
    <w:rsid w:val="52187956"/>
    <w:rsid w:val="52402F66"/>
    <w:rsid w:val="52BF0399"/>
    <w:rsid w:val="52FD8433"/>
    <w:rsid w:val="530B3F03"/>
    <w:rsid w:val="535639A4"/>
    <w:rsid w:val="53656BCB"/>
    <w:rsid w:val="53FF6045"/>
    <w:rsid w:val="53FFF049"/>
    <w:rsid w:val="54114BA2"/>
    <w:rsid w:val="5418783D"/>
    <w:rsid w:val="542551A6"/>
    <w:rsid w:val="54291DFB"/>
    <w:rsid w:val="543D5452"/>
    <w:rsid w:val="55102D81"/>
    <w:rsid w:val="5537229B"/>
    <w:rsid w:val="55A363C5"/>
    <w:rsid w:val="55BFF1FA"/>
    <w:rsid w:val="55E42029"/>
    <w:rsid w:val="56601C48"/>
    <w:rsid w:val="56840464"/>
    <w:rsid w:val="56A3274D"/>
    <w:rsid w:val="56A812A9"/>
    <w:rsid w:val="56ED13B1"/>
    <w:rsid w:val="57D7C9CB"/>
    <w:rsid w:val="57DA24A8"/>
    <w:rsid w:val="57EAB584"/>
    <w:rsid w:val="57EF9415"/>
    <w:rsid w:val="583D3C73"/>
    <w:rsid w:val="583F5C3D"/>
    <w:rsid w:val="59511BDF"/>
    <w:rsid w:val="59CA444D"/>
    <w:rsid w:val="5B417F1E"/>
    <w:rsid w:val="5B6D996B"/>
    <w:rsid w:val="5BC67AD2"/>
    <w:rsid w:val="5BFFA8A1"/>
    <w:rsid w:val="5BFFD99B"/>
    <w:rsid w:val="5C1B7675"/>
    <w:rsid w:val="5C385559"/>
    <w:rsid w:val="5C46529C"/>
    <w:rsid w:val="5C60707E"/>
    <w:rsid w:val="5D027239"/>
    <w:rsid w:val="5D5F421E"/>
    <w:rsid w:val="5D6C69CE"/>
    <w:rsid w:val="5D775CC8"/>
    <w:rsid w:val="5D869638"/>
    <w:rsid w:val="5D8F6D1E"/>
    <w:rsid w:val="5DA725AA"/>
    <w:rsid w:val="5DF98BC4"/>
    <w:rsid w:val="5E7384D2"/>
    <w:rsid w:val="5E7721D8"/>
    <w:rsid w:val="5E7BD6F7"/>
    <w:rsid w:val="5EE017FC"/>
    <w:rsid w:val="5EFFAB9B"/>
    <w:rsid w:val="5F5A1E13"/>
    <w:rsid w:val="5F824661"/>
    <w:rsid w:val="5FA97E40"/>
    <w:rsid w:val="5FAB8215"/>
    <w:rsid w:val="5FBE4115"/>
    <w:rsid w:val="5FD7D32C"/>
    <w:rsid w:val="5FDF5BFD"/>
    <w:rsid w:val="5FDFE12F"/>
    <w:rsid w:val="5FE344C9"/>
    <w:rsid w:val="5FFD4580"/>
    <w:rsid w:val="5FFE47D2"/>
    <w:rsid w:val="5FFE637E"/>
    <w:rsid w:val="5FFEFF36"/>
    <w:rsid w:val="5FFF2DD1"/>
    <w:rsid w:val="5FFF8747"/>
    <w:rsid w:val="60453CAD"/>
    <w:rsid w:val="60736A8B"/>
    <w:rsid w:val="61614183"/>
    <w:rsid w:val="61695AD8"/>
    <w:rsid w:val="61841D10"/>
    <w:rsid w:val="622336A4"/>
    <w:rsid w:val="62AC3ECF"/>
    <w:rsid w:val="637D579A"/>
    <w:rsid w:val="63AB2175"/>
    <w:rsid w:val="63D52BEC"/>
    <w:rsid w:val="63FB7787"/>
    <w:rsid w:val="63FC5341"/>
    <w:rsid w:val="6447518D"/>
    <w:rsid w:val="65606DD9"/>
    <w:rsid w:val="65723449"/>
    <w:rsid w:val="657B8A72"/>
    <w:rsid w:val="66023881"/>
    <w:rsid w:val="660A6E43"/>
    <w:rsid w:val="660B1854"/>
    <w:rsid w:val="6610F697"/>
    <w:rsid w:val="664341E9"/>
    <w:rsid w:val="6670733E"/>
    <w:rsid w:val="66AFF7C4"/>
    <w:rsid w:val="670342D9"/>
    <w:rsid w:val="670A1B22"/>
    <w:rsid w:val="673858C6"/>
    <w:rsid w:val="674E7426"/>
    <w:rsid w:val="67806F5E"/>
    <w:rsid w:val="67BD65C8"/>
    <w:rsid w:val="67D5211A"/>
    <w:rsid w:val="67FBEF34"/>
    <w:rsid w:val="67FEE246"/>
    <w:rsid w:val="67FFEFC4"/>
    <w:rsid w:val="68423799"/>
    <w:rsid w:val="68846542"/>
    <w:rsid w:val="68FF7E90"/>
    <w:rsid w:val="693C0325"/>
    <w:rsid w:val="69AD0DAB"/>
    <w:rsid w:val="6A2919E5"/>
    <w:rsid w:val="6ACEECFF"/>
    <w:rsid w:val="6AE977A3"/>
    <w:rsid w:val="6AEF7147"/>
    <w:rsid w:val="6B0725D0"/>
    <w:rsid w:val="6B1322C7"/>
    <w:rsid w:val="6B2018FE"/>
    <w:rsid w:val="6BD004E0"/>
    <w:rsid w:val="6BDF89A2"/>
    <w:rsid w:val="6BED904F"/>
    <w:rsid w:val="6BEFEBEC"/>
    <w:rsid w:val="6BF7CE64"/>
    <w:rsid w:val="6BFC7E3E"/>
    <w:rsid w:val="6BFE0DBD"/>
    <w:rsid w:val="6BFF5B6B"/>
    <w:rsid w:val="6C152AE5"/>
    <w:rsid w:val="6DB369C6"/>
    <w:rsid w:val="6DBFE7A9"/>
    <w:rsid w:val="6DC323E1"/>
    <w:rsid w:val="6DDA2238"/>
    <w:rsid w:val="6E6E0BD2"/>
    <w:rsid w:val="6E6E1FF5"/>
    <w:rsid w:val="6ED75435"/>
    <w:rsid w:val="6ED9295A"/>
    <w:rsid w:val="6EEEBBCF"/>
    <w:rsid w:val="6EFF4490"/>
    <w:rsid w:val="6EFFABE0"/>
    <w:rsid w:val="6EFFADB5"/>
    <w:rsid w:val="6F7F001C"/>
    <w:rsid w:val="6F7F1B57"/>
    <w:rsid w:val="6F934060"/>
    <w:rsid w:val="6FB955C5"/>
    <w:rsid w:val="6FD18636"/>
    <w:rsid w:val="6FFAC51B"/>
    <w:rsid w:val="6FFB45B4"/>
    <w:rsid w:val="7030766E"/>
    <w:rsid w:val="70785D38"/>
    <w:rsid w:val="70B30891"/>
    <w:rsid w:val="711D6AF3"/>
    <w:rsid w:val="714E6B8E"/>
    <w:rsid w:val="7197122F"/>
    <w:rsid w:val="71C70E4A"/>
    <w:rsid w:val="71E55F39"/>
    <w:rsid w:val="71F118FE"/>
    <w:rsid w:val="72182E2C"/>
    <w:rsid w:val="723143F0"/>
    <w:rsid w:val="72966949"/>
    <w:rsid w:val="729754F0"/>
    <w:rsid w:val="72DB5678"/>
    <w:rsid w:val="730B28B3"/>
    <w:rsid w:val="734D1F34"/>
    <w:rsid w:val="739D24C6"/>
    <w:rsid w:val="73C3FAE6"/>
    <w:rsid w:val="73D53D00"/>
    <w:rsid w:val="73FB1752"/>
    <w:rsid w:val="744C31A2"/>
    <w:rsid w:val="74510D7A"/>
    <w:rsid w:val="74620891"/>
    <w:rsid w:val="746C7962"/>
    <w:rsid w:val="755AE280"/>
    <w:rsid w:val="75A50537"/>
    <w:rsid w:val="75A5E753"/>
    <w:rsid w:val="760E125A"/>
    <w:rsid w:val="764922C4"/>
    <w:rsid w:val="766663B6"/>
    <w:rsid w:val="766703E1"/>
    <w:rsid w:val="766F18B1"/>
    <w:rsid w:val="76BE1A53"/>
    <w:rsid w:val="76F1B2DA"/>
    <w:rsid w:val="76FB321F"/>
    <w:rsid w:val="7719470F"/>
    <w:rsid w:val="771A729C"/>
    <w:rsid w:val="7766B85B"/>
    <w:rsid w:val="777F9B6E"/>
    <w:rsid w:val="77996CC0"/>
    <w:rsid w:val="77CB0E43"/>
    <w:rsid w:val="77DF7399"/>
    <w:rsid w:val="77E025F6"/>
    <w:rsid w:val="77E72FD8"/>
    <w:rsid w:val="77ECE0F9"/>
    <w:rsid w:val="780E7D7D"/>
    <w:rsid w:val="784B127B"/>
    <w:rsid w:val="79414195"/>
    <w:rsid w:val="794F0A18"/>
    <w:rsid w:val="79F24465"/>
    <w:rsid w:val="7A1A6CCA"/>
    <w:rsid w:val="7A1B7E60"/>
    <w:rsid w:val="7A496513"/>
    <w:rsid w:val="7A80531E"/>
    <w:rsid w:val="7AA240DD"/>
    <w:rsid w:val="7AC73B44"/>
    <w:rsid w:val="7AE10CCC"/>
    <w:rsid w:val="7AFD33D5"/>
    <w:rsid w:val="7B3E36DA"/>
    <w:rsid w:val="7B4F86A7"/>
    <w:rsid w:val="7B622E76"/>
    <w:rsid w:val="7B768156"/>
    <w:rsid w:val="7B9607E6"/>
    <w:rsid w:val="7B9652C4"/>
    <w:rsid w:val="7BBF8F74"/>
    <w:rsid w:val="7BBFA1FB"/>
    <w:rsid w:val="7BD659A4"/>
    <w:rsid w:val="7BDB8A90"/>
    <w:rsid w:val="7BDE73E0"/>
    <w:rsid w:val="7C0D042C"/>
    <w:rsid w:val="7C9511A3"/>
    <w:rsid w:val="7CAE5097"/>
    <w:rsid w:val="7CB3C5F0"/>
    <w:rsid w:val="7D3E5400"/>
    <w:rsid w:val="7D476D25"/>
    <w:rsid w:val="7DA13D43"/>
    <w:rsid w:val="7DB688B2"/>
    <w:rsid w:val="7DBB6A46"/>
    <w:rsid w:val="7DEF98FD"/>
    <w:rsid w:val="7DEFE323"/>
    <w:rsid w:val="7DF6917B"/>
    <w:rsid w:val="7DF8E245"/>
    <w:rsid w:val="7DFE32E0"/>
    <w:rsid w:val="7E0C3504"/>
    <w:rsid w:val="7E2A1707"/>
    <w:rsid w:val="7E37F032"/>
    <w:rsid w:val="7E59276E"/>
    <w:rsid w:val="7EAB949E"/>
    <w:rsid w:val="7EAFCAC1"/>
    <w:rsid w:val="7EBF9CC1"/>
    <w:rsid w:val="7EF40C80"/>
    <w:rsid w:val="7EF8C3BF"/>
    <w:rsid w:val="7EFA5AEB"/>
    <w:rsid w:val="7EFEEF6A"/>
    <w:rsid w:val="7EFF5874"/>
    <w:rsid w:val="7F240054"/>
    <w:rsid w:val="7F415201"/>
    <w:rsid w:val="7F668EDD"/>
    <w:rsid w:val="7F9A494C"/>
    <w:rsid w:val="7FAD7A36"/>
    <w:rsid w:val="7FBD35CD"/>
    <w:rsid w:val="7FBF11C7"/>
    <w:rsid w:val="7FBF945C"/>
    <w:rsid w:val="7FCEB830"/>
    <w:rsid w:val="7FDB2375"/>
    <w:rsid w:val="7FDD0A31"/>
    <w:rsid w:val="7FDF1E5D"/>
    <w:rsid w:val="7FE533E6"/>
    <w:rsid w:val="7FE53BEC"/>
    <w:rsid w:val="7FF2FAC8"/>
    <w:rsid w:val="7FF5CA2C"/>
    <w:rsid w:val="7FFB2CAA"/>
    <w:rsid w:val="7FFCB82C"/>
    <w:rsid w:val="7FFDF9AE"/>
    <w:rsid w:val="7FFE230C"/>
    <w:rsid w:val="7FFE63CD"/>
    <w:rsid w:val="7FFE9C15"/>
    <w:rsid w:val="7FFFEC9E"/>
    <w:rsid w:val="86F1C9FF"/>
    <w:rsid w:val="8CFFA16F"/>
    <w:rsid w:val="97DD5426"/>
    <w:rsid w:val="9ADB797B"/>
    <w:rsid w:val="9AFFA67E"/>
    <w:rsid w:val="9BFB4FBB"/>
    <w:rsid w:val="9C5EA9A9"/>
    <w:rsid w:val="9E1E7E57"/>
    <w:rsid w:val="9EEE841D"/>
    <w:rsid w:val="9F5D74F9"/>
    <w:rsid w:val="9FBF09DD"/>
    <w:rsid w:val="9FFF29A3"/>
    <w:rsid w:val="A3F48513"/>
    <w:rsid w:val="ADDB2442"/>
    <w:rsid w:val="ADEFE021"/>
    <w:rsid w:val="AE5F17B2"/>
    <w:rsid w:val="AEB84560"/>
    <w:rsid w:val="AF9F7843"/>
    <w:rsid w:val="B2FDD84D"/>
    <w:rsid w:val="B37D9D08"/>
    <w:rsid w:val="B5F6910C"/>
    <w:rsid w:val="B6FBD430"/>
    <w:rsid w:val="B7FEE276"/>
    <w:rsid w:val="B9D2C73E"/>
    <w:rsid w:val="B9D740E2"/>
    <w:rsid w:val="BA9DE83F"/>
    <w:rsid w:val="BBB9E828"/>
    <w:rsid w:val="BBEE8261"/>
    <w:rsid w:val="BDBE6A29"/>
    <w:rsid w:val="BDDD725A"/>
    <w:rsid w:val="BDEEDD38"/>
    <w:rsid w:val="BEFFA50F"/>
    <w:rsid w:val="BF9F3619"/>
    <w:rsid w:val="BFADC47C"/>
    <w:rsid w:val="BFBBE6F8"/>
    <w:rsid w:val="BFBF5D2F"/>
    <w:rsid w:val="BFEF6A25"/>
    <w:rsid w:val="CF3BAED6"/>
    <w:rsid w:val="CF5E8F6F"/>
    <w:rsid w:val="CFBF403D"/>
    <w:rsid w:val="CFDF038E"/>
    <w:rsid w:val="CFE2B3F4"/>
    <w:rsid w:val="CFFFCC54"/>
    <w:rsid w:val="D37F630C"/>
    <w:rsid w:val="D3FF37DA"/>
    <w:rsid w:val="D5AF8B8F"/>
    <w:rsid w:val="D677E4A4"/>
    <w:rsid w:val="DB2535D7"/>
    <w:rsid w:val="DBED31F5"/>
    <w:rsid w:val="DBFA8EF5"/>
    <w:rsid w:val="DE7F8ABA"/>
    <w:rsid w:val="DE9C0C61"/>
    <w:rsid w:val="DEFA8F57"/>
    <w:rsid w:val="DEFB44D0"/>
    <w:rsid w:val="DF7B16D0"/>
    <w:rsid w:val="DF7FB7B8"/>
    <w:rsid w:val="DFB9102C"/>
    <w:rsid w:val="DFED70A3"/>
    <w:rsid w:val="DFFF9E0E"/>
    <w:rsid w:val="E6E98FD7"/>
    <w:rsid w:val="E76FAA40"/>
    <w:rsid w:val="E7FE5063"/>
    <w:rsid w:val="E9D7915A"/>
    <w:rsid w:val="EAFA7CB2"/>
    <w:rsid w:val="EAFF9864"/>
    <w:rsid w:val="EBBBFCB4"/>
    <w:rsid w:val="ED95152B"/>
    <w:rsid w:val="EDFF0058"/>
    <w:rsid w:val="EEFB7B38"/>
    <w:rsid w:val="EF7DCFF3"/>
    <w:rsid w:val="EF7E5FA2"/>
    <w:rsid w:val="EFAFA996"/>
    <w:rsid w:val="EFBFEEDF"/>
    <w:rsid w:val="EFD3AE47"/>
    <w:rsid w:val="EFF570AE"/>
    <w:rsid w:val="EFF7B4A5"/>
    <w:rsid w:val="EFFDEC58"/>
    <w:rsid w:val="EFFE2191"/>
    <w:rsid w:val="EFFF0B43"/>
    <w:rsid w:val="F187D7EC"/>
    <w:rsid w:val="F37D9D2F"/>
    <w:rsid w:val="F37EAF83"/>
    <w:rsid w:val="F3D3CF21"/>
    <w:rsid w:val="F3EED5F1"/>
    <w:rsid w:val="F5FB3862"/>
    <w:rsid w:val="F5FF7F93"/>
    <w:rsid w:val="F7775ECF"/>
    <w:rsid w:val="F79FBDC1"/>
    <w:rsid w:val="F7BF809D"/>
    <w:rsid w:val="F7BFBF88"/>
    <w:rsid w:val="F7DF6D40"/>
    <w:rsid w:val="F7F6948A"/>
    <w:rsid w:val="F7FB20ED"/>
    <w:rsid w:val="F7FF92F0"/>
    <w:rsid w:val="F7FFDD54"/>
    <w:rsid w:val="F94BBB5B"/>
    <w:rsid w:val="F9782F30"/>
    <w:rsid w:val="F9FFE6AA"/>
    <w:rsid w:val="FA742C8B"/>
    <w:rsid w:val="FA7D50F3"/>
    <w:rsid w:val="FABC5CAE"/>
    <w:rsid w:val="FAD75BDC"/>
    <w:rsid w:val="FADB67D3"/>
    <w:rsid w:val="FAFF7D8D"/>
    <w:rsid w:val="FBBE3C97"/>
    <w:rsid w:val="FBD5FC40"/>
    <w:rsid w:val="FBFA817A"/>
    <w:rsid w:val="FBFD2B0E"/>
    <w:rsid w:val="FBFDA3B9"/>
    <w:rsid w:val="FBFE9E2A"/>
    <w:rsid w:val="FCBD94F5"/>
    <w:rsid w:val="FCE2764D"/>
    <w:rsid w:val="FCEB5316"/>
    <w:rsid w:val="FCFD0437"/>
    <w:rsid w:val="FD2F8FBC"/>
    <w:rsid w:val="FDDF3749"/>
    <w:rsid w:val="FDFCF40A"/>
    <w:rsid w:val="FDFD7113"/>
    <w:rsid w:val="FDFEF9E7"/>
    <w:rsid w:val="FDFF616B"/>
    <w:rsid w:val="FE3E24F6"/>
    <w:rsid w:val="FE42623E"/>
    <w:rsid w:val="FE4F8B88"/>
    <w:rsid w:val="FE75D29E"/>
    <w:rsid w:val="FE979AD0"/>
    <w:rsid w:val="FEDF86CB"/>
    <w:rsid w:val="FEE75926"/>
    <w:rsid w:val="FEFC2369"/>
    <w:rsid w:val="FEFFDABE"/>
    <w:rsid w:val="FF1716FF"/>
    <w:rsid w:val="FF3E2B84"/>
    <w:rsid w:val="FF6C55C7"/>
    <w:rsid w:val="FF6FEDBA"/>
    <w:rsid w:val="FF77B3DA"/>
    <w:rsid w:val="FF7BDE44"/>
    <w:rsid w:val="FF7C9F12"/>
    <w:rsid w:val="FF97DBCF"/>
    <w:rsid w:val="FFBA71CE"/>
    <w:rsid w:val="FFBF37DA"/>
    <w:rsid w:val="FFDF626C"/>
    <w:rsid w:val="FFED1954"/>
    <w:rsid w:val="FFEF0065"/>
    <w:rsid w:val="FFF75E5A"/>
    <w:rsid w:val="FFFB9A63"/>
    <w:rsid w:val="FFFF5F9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9" w:semiHidden="0" w:name="heading 3"/>
    <w:lsdException w:qFormat="1" w:unhideWhenUsed="0" w:uiPriority="9"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iPriority="0" w:semiHidden="0" w:name="heading 8"/>
    <w:lsdException w:qFormat="1" w:uiPriority="9" w:semiHidden="0" w:name="heading 9"/>
    <w:lsdException w:qFormat="1" w:unhideWhenUsed="0" w:uiPriority="0" w:semiHidden="0" w:name="index 1"/>
    <w:lsdException w:qFormat="1" w:unhideWhenUsed="0" w:uiPriority="0" w:semiHidden="0" w:name="index 2"/>
    <w:lsdException w:qFormat="1" w:unhideWhenUsed="0" w:uiPriority="0" w:semiHidden="0" w:name="index 3"/>
    <w:lsdException w:qFormat="1" w:unhideWhenUsed="0" w:uiPriority="0" w:semiHidden="0" w:name="index 4"/>
    <w:lsdException w:qFormat="1" w:unhideWhenUsed="0" w:uiPriority="0" w:semiHidden="0" w:name="index 5"/>
    <w:lsdException w:qFormat="1" w:unhideWhenUsed="0" w:uiPriority="0" w:semiHidden="0" w:name="index 6"/>
    <w:lsdException w:qFormat="1" w:unhideWhenUsed="0" w:uiPriority="0" w:semiHidden="0" w:name="index 7"/>
    <w:lsdException w:qFormat="1" w:unhideWhenUsed="0" w:uiPriority="0" w:semiHidden="0" w:name="index 8"/>
    <w:lsdException w:qFormat="1" w:unhideWhenUsed="0" w:uiPriority="0" w:semiHidden="0"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iPriority="0" w:semiHidden="0" w:name="Normal Indent"/>
    <w:lsdException w:qFormat="1" w:unhideWhenUsed="0" w:uiPriority="0" w:semiHidden="0" w:name="footnote text"/>
    <w:lsdException w:qFormat="1" w:unhideWhenUsed="0" w:uiPriority="99" w:semiHidden="0" w:name="annotation text"/>
    <w:lsdException w:qFormat="1" w:uiPriority="99" w:semiHidden="0" w:name="header"/>
    <w:lsdException w:qFormat="1" w:uiPriority="99" w:semiHidden="0" w:name="footer"/>
    <w:lsdException w:qFormat="1" w:unhideWhenUsed="0" w:uiPriority="0" w:semiHidden="0" w:name="index heading"/>
    <w:lsdException w:qFormat="1" w:uiPriority="0" w:semiHidden="0" w:name="caption"/>
    <w:lsdException w:qFormat="1" w:unhideWhenUsed="0" w:uiPriority="99" w:semiHidden="0" w:name="table of figures"/>
    <w:lsdException w:uiPriority="99" w:name="envelope address"/>
    <w:lsdException w:uiPriority="99" w:name="envelope return"/>
    <w:lsdException w:qFormat="1" w:unhideWhenUsed="0" w:uiPriority="0" w:semiHidden="0" w:name="footnote reference"/>
    <w:lsdException w:qFormat="1" w:unhideWhenUsed="0" w:uiPriority="99" w:semiHidden="0" w:name="annotation reference"/>
    <w:lsdException w:qFormat="1" w:unhideWhenUsed="0" w:uiPriority="0" w:semiHidden="0" w:name="line number"/>
    <w:lsdException w:qFormat="1" w:unhideWhenUsed="0" w:uiPriority="0" w:semiHidden="0" w:name="page number"/>
    <w:lsdException w:qFormat="1" w:unhideWhenUsed="0" w:uiPriority="0" w:semiHidden="0" w:name="endnote reference"/>
    <w:lsdException w:qFormat="1" w:unhideWhenUsed="0" w:uiPriority="0" w:semiHidden="0"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qFormat="1" w:uiPriority="0" w:semiHidden="0" w:name="List Bullet 2"/>
    <w:lsdException w:uiPriority="99" w:name="List Bullet 3"/>
    <w:lsdException w:uiPriority="99" w:name="List Bullet 4"/>
    <w:lsdException w:uiPriority="99" w:name="List Bullet 5"/>
    <w:lsdException w:uiPriority="99" w:name="List Number 2"/>
    <w:lsdException w:qFormat="1" w:unhideWhenUsed="0" w:uiPriority="0" w:semiHidden="0"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iPriority="0" w:semiHidden="0" w:name="Body Text"/>
    <w:lsdException w:qFormat="1"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qFormat="1" w:unhideWhenUsed="0" w:uiPriority="0" w:semiHidden="0" w:name="Salutation"/>
    <w:lsdException w:qFormat="1" w:uiPriority="99" w:semiHidden="0" w:name="Date"/>
    <w:lsdException w:qFormat="1" w:unhideWhenUsed="0" w:uiPriority="0" w:semiHidden="0" w:name="Body Text First Indent"/>
    <w:lsdException w:qFormat="1" w:uiPriority="0" w:semiHidden="0"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iPriority="0" w:semiHidden="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qFormat="1" w:uiPriority="99" w:name="HTML Code"/>
    <w:lsdException w:uiPriority="99" w:name="HTML Definition"/>
    <w:lsdException w:uiPriority="99" w:name="HTML Keyboard"/>
    <w:lsdException w:qFormat="1" w:uiPriority="99" w:semiHidden="0" w:name="HTML Preformatted"/>
    <w:lsdException w:uiPriority="99" w:name="HTML Sample"/>
    <w:lsdException w:uiPriority="99" w:name="HTML Typewriter"/>
    <w:lsdException w:uiPriority="99" w:name="HTML Variable"/>
    <w:lsdException w:qFormat="1" w:uiPriority="99" w:name="Normal Table"/>
    <w:lsdException w:qFormat="1" w:uiPriority="0" w:semiHidden="0" w:name="annotation subject"/>
    <w:lsdException w:qFormat="1" w:unhideWhenUsed="0" w:uiPriority="0" w:semiHidden="0"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qFormat="1" w:unhideWhenUsed="0" w:uiPriority="0" w:semiHidden="0"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qFormat="1" w:unhideWhenUsed="0" w:uiPriority="0" w:semiHidden="0" w:name="Table List 4"/>
    <w:lsdException w:uiPriority="99" w:name="Table List 5"/>
    <w:lsdException w:uiPriority="99" w:name="Table List 6"/>
    <w:lsdException w:uiPriority="99" w:name="Table List 7"/>
    <w:lsdException w:qFormat="1" w:unhideWhenUsed="0" w:uiPriority="0" w:semiHidden="0" w:name="Table List 8"/>
    <w:lsdException w:uiPriority="99" w:name="Table 3D effects 1"/>
    <w:lsdException w:uiPriority="99" w:name="Table 3D effects 2"/>
    <w:lsdException w:uiPriority="99" w:name="Table 3D effects 3"/>
    <w:lsdException w:qFormat="1" w:unhideWhenUsed="0" w:uiPriority="0" w:semiHidden="0" w:name="Table Contemporary"/>
    <w:lsdException w:qFormat="1" w:unhideWhenUsed="0" w:uiPriority="0" w:semiHidden="0" w:name="Table Elegant"/>
    <w:lsdException w:uiPriority="99" w:name="Table Professional"/>
    <w:lsdException w:uiPriority="99" w:name="Table Subtle 1"/>
    <w:lsdException w:uiPriority="99" w:name="Table Subtle 2"/>
    <w:lsdException w:uiPriority="99" w:name="Table Web 1"/>
    <w:lsdException w:uiPriority="99" w:name="Table Web 2"/>
    <w:lsdException w:qFormat="1" w:unhideWhenUsed="0" w:uiPriority="0" w:semiHidden="0" w:name="Table Web 3"/>
    <w:lsdException w:qFormat="1" w:uiPriority="0" w:semiHidden="0" w:name="Balloon Text"/>
    <w:lsdException w:qFormat="1" w:unhideWhenUsed="0" w:uiPriority="0" w:semiHidden="0" w:name="Table Grid"/>
    <w:lsdException w:qFormat="1" w:uiPriority="99" w:semiHidden="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ind w:firstLine="200" w:firstLineChars="200"/>
      <w:jc w:val="both"/>
    </w:pPr>
    <w:rPr>
      <w:rFonts w:ascii="Songti SC" w:hAnsi="Songti SC" w:eastAsia="Songti SC" w:cs="宋体"/>
      <w:kern w:val="2"/>
      <w:sz w:val="24"/>
      <w:szCs w:val="24"/>
      <w:lang w:val="en-US" w:eastAsia="zh-CN" w:bidi="ar-SA"/>
    </w:rPr>
  </w:style>
  <w:style w:type="paragraph" w:styleId="2">
    <w:name w:val="heading 1"/>
    <w:basedOn w:val="1"/>
    <w:next w:val="1"/>
    <w:link w:val="87"/>
    <w:qFormat/>
    <w:uiPriority w:val="0"/>
    <w:pPr>
      <w:keepNext/>
      <w:numPr>
        <w:ilvl w:val="0"/>
        <w:numId w:val="1"/>
      </w:numPr>
      <w:spacing w:before="50" w:beforeLines="50" w:after="50" w:afterLines="50"/>
      <w:ind w:firstLineChars="0"/>
      <w:jc w:val="center"/>
      <w:textAlignment w:val="top"/>
      <w:outlineLvl w:val="0"/>
    </w:pPr>
    <w:rPr>
      <w:rFonts w:ascii="Songti SC" w:hAnsi="Songti SC" w:eastAsia="Songti SC"/>
      <w:bCs/>
      <w:sz w:val="44"/>
      <w:lang w:bidi="en-US"/>
    </w:rPr>
  </w:style>
  <w:style w:type="paragraph" w:styleId="3">
    <w:name w:val="heading 2"/>
    <w:basedOn w:val="1"/>
    <w:next w:val="1"/>
    <w:link w:val="81"/>
    <w:qFormat/>
    <w:uiPriority w:val="0"/>
    <w:pPr>
      <w:keepNext/>
      <w:numPr>
        <w:ilvl w:val="1"/>
        <w:numId w:val="1"/>
      </w:numPr>
      <w:ind w:firstLineChars="0"/>
      <w:outlineLvl w:val="1"/>
    </w:pPr>
    <w:rPr>
      <w:rFonts w:ascii="Songti SC" w:hAnsi="Songti SC" w:eastAsia="Songti SC"/>
      <w:b/>
      <w:iCs/>
      <w:sz w:val="32"/>
      <w:szCs w:val="32"/>
      <w:lang w:eastAsia="en-US" w:bidi="en-US"/>
    </w:rPr>
  </w:style>
  <w:style w:type="paragraph" w:styleId="4">
    <w:name w:val="heading 3"/>
    <w:basedOn w:val="3"/>
    <w:next w:val="1"/>
    <w:link w:val="88"/>
    <w:qFormat/>
    <w:uiPriority w:val="9"/>
    <w:pPr>
      <w:numPr>
        <w:ilvl w:val="2"/>
      </w:numPr>
      <w:outlineLvl w:val="2"/>
    </w:pPr>
    <w:rPr>
      <w:rFonts w:ascii="Songti SC" w:hAnsi="Songti SC" w:eastAsia="Songti SC"/>
      <w:b w:val="0"/>
      <w:sz w:val="28"/>
    </w:rPr>
  </w:style>
  <w:style w:type="paragraph" w:styleId="5">
    <w:name w:val="heading 4"/>
    <w:basedOn w:val="1"/>
    <w:next w:val="1"/>
    <w:link w:val="89"/>
    <w:qFormat/>
    <w:uiPriority w:val="9"/>
    <w:pPr>
      <w:keepNext/>
      <w:widowControl/>
      <w:numPr>
        <w:ilvl w:val="3"/>
        <w:numId w:val="1"/>
      </w:numPr>
      <w:spacing w:line="480" w:lineRule="auto"/>
      <w:ind w:firstLineChars="0"/>
      <w:jc w:val="left"/>
      <w:outlineLvl w:val="3"/>
    </w:pPr>
    <w:rPr>
      <w:rFonts w:ascii="Songti SC" w:hAnsi="Songti SC" w:eastAsia="Songti SC"/>
      <w:bCs/>
      <w:sz w:val="28"/>
      <w:szCs w:val="28"/>
      <w:lang w:bidi="en-US"/>
    </w:rPr>
  </w:style>
  <w:style w:type="paragraph" w:styleId="6">
    <w:name w:val="heading 5"/>
    <w:basedOn w:val="5"/>
    <w:next w:val="1"/>
    <w:link w:val="90"/>
    <w:qFormat/>
    <w:uiPriority w:val="0"/>
    <w:pPr>
      <w:numPr>
        <w:ilvl w:val="4"/>
      </w:numPr>
      <w:outlineLvl w:val="4"/>
    </w:pPr>
    <w:rPr>
      <w:rFonts w:ascii="Songti SC" w:hAnsi="Songti SC" w:eastAsia="Songti SC"/>
    </w:rPr>
  </w:style>
  <w:style w:type="paragraph" w:styleId="7">
    <w:name w:val="heading 6"/>
    <w:basedOn w:val="1"/>
    <w:next w:val="1"/>
    <w:link w:val="91"/>
    <w:qFormat/>
    <w:uiPriority w:val="0"/>
    <w:pPr>
      <w:keepNext/>
      <w:keepLines/>
      <w:spacing w:line="480" w:lineRule="auto"/>
      <w:ind w:firstLine="0" w:firstLineChars="0"/>
      <w:jc w:val="left"/>
      <w:outlineLvl w:val="5"/>
    </w:pPr>
    <w:rPr>
      <w:rFonts w:ascii="Songti SC" w:hAnsi="Songti SC" w:eastAsia="Songti SC"/>
      <w:b/>
      <w:bCs/>
      <w:sz w:val="28"/>
    </w:rPr>
  </w:style>
  <w:style w:type="paragraph" w:styleId="8">
    <w:name w:val="heading 7"/>
    <w:basedOn w:val="1"/>
    <w:next w:val="1"/>
    <w:link w:val="92"/>
    <w:qFormat/>
    <w:uiPriority w:val="0"/>
    <w:pPr>
      <w:keepNext/>
      <w:keepLines/>
      <w:spacing w:line="480" w:lineRule="auto"/>
      <w:ind w:firstLine="0" w:firstLineChars="0"/>
      <w:jc w:val="left"/>
      <w:outlineLvl w:val="6"/>
    </w:pPr>
    <w:rPr>
      <w:rFonts w:ascii="Songti SC" w:hAnsi="Songti SC" w:eastAsia="Songti SC"/>
      <w:b/>
      <w:bCs/>
    </w:rPr>
  </w:style>
  <w:style w:type="paragraph" w:styleId="9">
    <w:name w:val="heading 8"/>
    <w:basedOn w:val="1"/>
    <w:next w:val="1"/>
    <w:link w:val="93"/>
    <w:unhideWhenUsed/>
    <w:qFormat/>
    <w:uiPriority w:val="0"/>
    <w:pPr>
      <w:keepNext/>
      <w:keepLines/>
      <w:widowControl/>
      <w:spacing w:before="240" w:after="64" w:line="320" w:lineRule="auto"/>
      <w:ind w:firstLine="0" w:firstLineChars="0"/>
      <w:jc w:val="left"/>
      <w:outlineLvl w:val="7"/>
    </w:pPr>
    <w:rPr>
      <w:rFonts w:ascii="Songti SC" w:hAnsi="Songti SC" w:eastAsia="Songti SC" w:cstheme="majorBidi"/>
    </w:rPr>
  </w:style>
  <w:style w:type="paragraph" w:styleId="10">
    <w:name w:val="heading 9"/>
    <w:basedOn w:val="1"/>
    <w:next w:val="1"/>
    <w:link w:val="109"/>
    <w:unhideWhenUsed/>
    <w:qFormat/>
    <w:uiPriority w:val="9"/>
    <w:pPr>
      <w:keepNext/>
      <w:keepLines/>
      <w:numPr>
        <w:ilvl w:val="8"/>
        <w:numId w:val="2"/>
      </w:numPr>
      <w:spacing w:before="240" w:after="64" w:line="320" w:lineRule="auto"/>
      <w:outlineLvl w:val="8"/>
    </w:pPr>
    <w:rPr>
      <w:rFonts w:ascii="Songti SC" w:hAnsi="Songti SC" w:eastAsia="Songti SC" w:cstheme="majorBidi"/>
      <w:sz w:val="21"/>
      <w:szCs w:val="21"/>
    </w:rPr>
  </w:style>
  <w:style w:type="character" w:default="1" w:styleId="70">
    <w:name w:val="Default Paragraph Font"/>
    <w:semiHidden/>
    <w:unhideWhenUsed/>
    <w:qFormat/>
    <w:uiPriority w:val="1"/>
    <w:rPr>
      <w:rFonts w:ascii="Songti SC" w:hAnsi="Songti SC" w:eastAsia="Songti SC"/>
    </w:rPr>
  </w:style>
  <w:style w:type="table" w:default="1" w:styleId="60">
    <w:name w:val="Normal Table"/>
    <w:semiHidden/>
    <w:unhideWhenUsed/>
    <w:qFormat/>
    <w:uiPriority w:val="99"/>
    <w:rPr>
      <w:rFonts w:ascii="Songti SC" w:hAnsi="Songti SC" w:eastAsia="Songti SC"/>
    </w:rPr>
    <w:tblPr>
      <w:tblCellMar>
        <w:top w:w="0" w:type="dxa"/>
        <w:left w:w="108" w:type="dxa"/>
        <w:bottom w:w="0" w:type="dxa"/>
        <w:right w:w="108" w:type="dxa"/>
      </w:tblCellMar>
    </w:tblPr>
  </w:style>
  <w:style w:type="paragraph" w:styleId="11">
    <w:name w:val="toc 7"/>
    <w:basedOn w:val="1"/>
    <w:next w:val="1"/>
    <w:autoRedefine/>
    <w:unhideWhenUsed/>
    <w:qFormat/>
    <w:uiPriority w:val="39"/>
    <w:pPr>
      <w:ind w:left="1920"/>
      <w:jc w:val="left"/>
    </w:pPr>
    <w:rPr>
      <w:rFonts w:ascii="Songti SC" w:hAnsi="Songti SC" w:eastAsia="Songti SC" w:cstheme="minorHAnsi"/>
      <w:sz w:val="18"/>
      <w:szCs w:val="18"/>
    </w:rPr>
  </w:style>
  <w:style w:type="paragraph" w:styleId="12">
    <w:name w:val="index 8"/>
    <w:basedOn w:val="1"/>
    <w:next w:val="1"/>
    <w:autoRedefine/>
    <w:qFormat/>
    <w:uiPriority w:val="0"/>
    <w:pPr>
      <w:widowControl/>
      <w:ind w:left="1920" w:hanging="240"/>
      <w:jc w:val="left"/>
    </w:pPr>
    <w:rPr>
      <w:rFonts w:ascii="Songti SC" w:hAnsi="Songti SC" w:eastAsia="Songti SC"/>
      <w:kern w:val="0"/>
      <w:sz w:val="20"/>
      <w:lang w:eastAsia="en-US" w:bidi="en-US"/>
    </w:rPr>
  </w:style>
  <w:style w:type="paragraph" w:styleId="13">
    <w:name w:val="Normal Indent"/>
    <w:basedOn w:val="1"/>
    <w:link w:val="175"/>
    <w:unhideWhenUsed/>
    <w:qFormat/>
    <w:uiPriority w:val="0"/>
    <w:pPr>
      <w:ind w:firstLine="420"/>
    </w:pPr>
    <w:rPr>
      <w:rFonts w:ascii="Songti SC" w:hAnsi="Songti SC" w:eastAsia="Songti SC"/>
    </w:rPr>
  </w:style>
  <w:style w:type="paragraph" w:styleId="14">
    <w:name w:val="caption"/>
    <w:next w:val="1"/>
    <w:link w:val="99"/>
    <w:unhideWhenUsed/>
    <w:qFormat/>
    <w:uiPriority w:val="0"/>
    <w:pPr>
      <w:jc w:val="center"/>
    </w:pPr>
    <w:rPr>
      <w:rFonts w:ascii="Songti SC" w:hAnsi="Songti SC" w:eastAsia="Songti SC" w:cstheme="majorBidi"/>
      <w:b/>
      <w:kern w:val="2"/>
      <w:sz w:val="21"/>
      <w:lang w:val="en-US" w:eastAsia="zh-CN" w:bidi="ar-SA"/>
    </w:rPr>
  </w:style>
  <w:style w:type="paragraph" w:styleId="15">
    <w:name w:val="index 5"/>
    <w:basedOn w:val="1"/>
    <w:next w:val="1"/>
    <w:autoRedefine/>
    <w:qFormat/>
    <w:uiPriority w:val="0"/>
    <w:pPr>
      <w:widowControl/>
      <w:ind w:left="1200" w:hanging="240"/>
      <w:jc w:val="left"/>
    </w:pPr>
    <w:rPr>
      <w:rFonts w:ascii="Songti SC" w:hAnsi="Songti SC" w:eastAsia="Songti SC"/>
      <w:kern w:val="0"/>
      <w:sz w:val="20"/>
      <w:lang w:eastAsia="en-US" w:bidi="en-US"/>
    </w:rPr>
  </w:style>
  <w:style w:type="paragraph" w:styleId="16">
    <w:name w:val="List Bullet"/>
    <w:basedOn w:val="1"/>
    <w:semiHidden/>
    <w:unhideWhenUsed/>
    <w:uiPriority w:val="99"/>
    <w:pPr>
      <w:numPr>
        <w:ilvl w:val="0"/>
        <w:numId w:val="3"/>
      </w:numPr>
    </w:pPr>
    <w:rPr>
      <w:rFonts w:ascii="Songti SC" w:hAnsi="Songti SC" w:eastAsia="Songti SC"/>
    </w:rPr>
  </w:style>
  <w:style w:type="paragraph" w:styleId="17">
    <w:name w:val="Document Map"/>
    <w:basedOn w:val="1"/>
    <w:link w:val="167"/>
    <w:unhideWhenUsed/>
    <w:qFormat/>
    <w:uiPriority w:val="0"/>
    <w:rPr>
      <w:rFonts w:ascii="Songti SC" w:hAnsi="Songti SC" w:eastAsia="Songti SC"/>
      <w:sz w:val="18"/>
      <w:szCs w:val="18"/>
    </w:rPr>
  </w:style>
  <w:style w:type="paragraph" w:styleId="18">
    <w:name w:val="annotation text"/>
    <w:basedOn w:val="1"/>
    <w:link w:val="84"/>
    <w:qFormat/>
    <w:uiPriority w:val="99"/>
    <w:pPr>
      <w:jc w:val="left"/>
    </w:pPr>
    <w:rPr>
      <w:rFonts w:ascii="Songti SC" w:hAnsi="Songti SC" w:eastAsia="Songti SC"/>
    </w:rPr>
  </w:style>
  <w:style w:type="paragraph" w:styleId="19">
    <w:name w:val="index 6"/>
    <w:basedOn w:val="1"/>
    <w:next w:val="1"/>
    <w:autoRedefine/>
    <w:qFormat/>
    <w:uiPriority w:val="0"/>
    <w:pPr>
      <w:widowControl/>
      <w:ind w:left="1440" w:hanging="240"/>
      <w:jc w:val="left"/>
    </w:pPr>
    <w:rPr>
      <w:rFonts w:ascii="Songti SC" w:hAnsi="Songti SC" w:eastAsia="Songti SC"/>
      <w:kern w:val="0"/>
      <w:sz w:val="20"/>
      <w:lang w:eastAsia="en-US" w:bidi="en-US"/>
    </w:rPr>
  </w:style>
  <w:style w:type="paragraph" w:styleId="20">
    <w:name w:val="Salutation"/>
    <w:basedOn w:val="1"/>
    <w:next w:val="1"/>
    <w:link w:val="264"/>
    <w:qFormat/>
    <w:uiPriority w:val="0"/>
    <w:pPr>
      <w:widowControl/>
      <w:jc w:val="left"/>
    </w:pPr>
    <w:rPr>
      <w:rFonts w:ascii="Songti SC" w:hAnsi="Songti SC" w:eastAsia="Songti SC" w:cstheme="minorBidi"/>
      <w:sz w:val="21"/>
      <w:szCs w:val="22"/>
    </w:rPr>
  </w:style>
  <w:style w:type="paragraph" w:styleId="21">
    <w:name w:val="Body Text 3"/>
    <w:basedOn w:val="1"/>
    <w:link w:val="250"/>
    <w:qFormat/>
    <w:uiPriority w:val="0"/>
    <w:pPr>
      <w:widowControl/>
      <w:autoSpaceDE w:val="0"/>
      <w:autoSpaceDN w:val="0"/>
      <w:adjustRightInd w:val="0"/>
      <w:spacing w:before="120" w:after="120" w:line="300" w:lineRule="auto"/>
      <w:jc w:val="left"/>
    </w:pPr>
    <w:rPr>
      <w:rFonts w:ascii="Songti SC" w:hAnsi="Songti SC" w:eastAsia="Songti SC" w:cstheme="minorBidi"/>
      <w:color w:val="000000"/>
      <w:spacing w:val="20"/>
      <w:szCs w:val="22"/>
      <w:lang w:val="en-IE"/>
    </w:rPr>
  </w:style>
  <w:style w:type="paragraph" w:styleId="22">
    <w:name w:val="Body Text"/>
    <w:basedOn w:val="1"/>
    <w:link w:val="114"/>
    <w:unhideWhenUsed/>
    <w:qFormat/>
    <w:uiPriority w:val="0"/>
    <w:pPr>
      <w:spacing w:after="120"/>
    </w:pPr>
    <w:rPr>
      <w:rFonts w:ascii="Songti SC" w:hAnsi="Songti SC" w:eastAsia="Songti SC"/>
    </w:rPr>
  </w:style>
  <w:style w:type="paragraph" w:styleId="23">
    <w:name w:val="Body Text Indent"/>
    <w:basedOn w:val="1"/>
    <w:link w:val="102"/>
    <w:unhideWhenUsed/>
    <w:qFormat/>
    <w:uiPriority w:val="0"/>
    <w:pPr>
      <w:spacing w:after="120"/>
      <w:ind w:left="420" w:leftChars="200"/>
    </w:pPr>
    <w:rPr>
      <w:rFonts w:ascii="Songti SC" w:hAnsi="Songti SC" w:eastAsia="Songti SC"/>
    </w:rPr>
  </w:style>
  <w:style w:type="paragraph" w:styleId="24">
    <w:name w:val="List Number 3"/>
    <w:basedOn w:val="1"/>
    <w:qFormat/>
    <w:uiPriority w:val="0"/>
    <w:pPr>
      <w:widowControl/>
      <w:numPr>
        <w:ilvl w:val="0"/>
        <w:numId w:val="4"/>
      </w:numPr>
      <w:tabs>
        <w:tab w:val="clear" w:pos="1200"/>
      </w:tabs>
      <w:ind w:left="1020" w:hanging="1020"/>
      <w:jc w:val="left"/>
      <w:outlineLvl w:val="0"/>
    </w:pPr>
    <w:rPr>
      <w:rFonts w:ascii="Songti SC" w:hAnsi="Songti SC" w:eastAsia="Songti SC"/>
      <w:color w:val="000000"/>
      <w:kern w:val="0"/>
      <w:lang w:eastAsia="en-US" w:bidi="en-US"/>
    </w:rPr>
  </w:style>
  <w:style w:type="paragraph" w:styleId="25">
    <w:name w:val="Block Text"/>
    <w:qFormat/>
    <w:uiPriority w:val="0"/>
    <w:pPr>
      <w:spacing w:after="200" w:line="276" w:lineRule="auto"/>
    </w:pPr>
    <w:rPr>
      <w:rFonts w:ascii="Songti SC" w:hAnsi="Songti SC" w:eastAsia="Songti SC" w:cs="宋体"/>
      <w:sz w:val="22"/>
      <w:szCs w:val="22"/>
      <w:lang w:val="en-US" w:eastAsia="en-US" w:bidi="en-US"/>
    </w:rPr>
  </w:style>
  <w:style w:type="paragraph" w:styleId="26">
    <w:name w:val="List Bullet 2"/>
    <w:basedOn w:val="1"/>
    <w:autoRedefine/>
    <w:unhideWhenUsed/>
    <w:qFormat/>
    <w:uiPriority w:val="0"/>
    <w:pPr>
      <w:numPr>
        <w:ilvl w:val="0"/>
        <w:numId w:val="5"/>
      </w:numPr>
      <w:adjustRightInd w:val="0"/>
      <w:snapToGrid w:val="0"/>
      <w:ind w:right="144"/>
    </w:pPr>
    <w:rPr>
      <w:rFonts w:ascii="Songti SC" w:hAnsi="Songti SC" w:eastAsia="Songti SC"/>
      <w:szCs w:val="20"/>
    </w:rPr>
  </w:style>
  <w:style w:type="paragraph" w:styleId="27">
    <w:name w:val="index 4"/>
    <w:basedOn w:val="1"/>
    <w:next w:val="1"/>
    <w:autoRedefine/>
    <w:qFormat/>
    <w:uiPriority w:val="0"/>
    <w:pPr>
      <w:widowControl/>
      <w:ind w:left="960" w:hanging="240"/>
      <w:jc w:val="left"/>
    </w:pPr>
    <w:rPr>
      <w:rFonts w:ascii="Songti SC" w:hAnsi="Songti SC" w:eastAsia="Songti SC"/>
      <w:kern w:val="0"/>
      <w:sz w:val="20"/>
      <w:lang w:eastAsia="en-US" w:bidi="en-US"/>
    </w:rPr>
  </w:style>
  <w:style w:type="paragraph" w:styleId="28">
    <w:name w:val="toc 5"/>
    <w:basedOn w:val="1"/>
    <w:next w:val="1"/>
    <w:autoRedefine/>
    <w:unhideWhenUsed/>
    <w:qFormat/>
    <w:uiPriority w:val="39"/>
    <w:pPr>
      <w:ind w:left="1280"/>
      <w:jc w:val="left"/>
    </w:pPr>
    <w:rPr>
      <w:rFonts w:ascii="Songti SC" w:hAnsi="Songti SC" w:eastAsia="Songti SC" w:cstheme="minorHAnsi"/>
      <w:sz w:val="18"/>
      <w:szCs w:val="18"/>
    </w:rPr>
  </w:style>
  <w:style w:type="paragraph" w:styleId="29">
    <w:name w:val="toc 3"/>
    <w:basedOn w:val="1"/>
    <w:next w:val="1"/>
    <w:autoRedefine/>
    <w:unhideWhenUsed/>
    <w:qFormat/>
    <w:uiPriority w:val="39"/>
    <w:pPr>
      <w:ind w:left="640"/>
      <w:jc w:val="left"/>
    </w:pPr>
    <w:rPr>
      <w:rFonts w:ascii="Songti SC" w:hAnsi="Songti SC" w:eastAsia="Songti SC" w:cstheme="minorHAnsi"/>
      <w:iCs/>
      <w:szCs w:val="20"/>
    </w:rPr>
  </w:style>
  <w:style w:type="paragraph" w:styleId="30">
    <w:name w:val="Plain Text"/>
    <w:basedOn w:val="1"/>
    <w:next w:val="1"/>
    <w:link w:val="209"/>
    <w:qFormat/>
    <w:uiPriority w:val="0"/>
    <w:pPr>
      <w:spacing w:beforeLines="50" w:afterLines="50" w:line="400" w:lineRule="exact"/>
    </w:pPr>
    <w:rPr>
      <w:rFonts w:ascii="Songti SC" w:hAnsi="Songti SC" w:eastAsia="Songti SC"/>
    </w:rPr>
  </w:style>
  <w:style w:type="paragraph" w:styleId="31">
    <w:name w:val="toc 8"/>
    <w:basedOn w:val="1"/>
    <w:next w:val="1"/>
    <w:autoRedefine/>
    <w:unhideWhenUsed/>
    <w:qFormat/>
    <w:uiPriority w:val="39"/>
    <w:pPr>
      <w:ind w:left="2240"/>
      <w:jc w:val="left"/>
    </w:pPr>
    <w:rPr>
      <w:rFonts w:ascii="Songti SC" w:hAnsi="Songti SC" w:eastAsia="Songti SC" w:cstheme="minorHAnsi"/>
      <w:sz w:val="18"/>
      <w:szCs w:val="18"/>
    </w:rPr>
  </w:style>
  <w:style w:type="paragraph" w:styleId="32">
    <w:name w:val="index 3"/>
    <w:basedOn w:val="1"/>
    <w:next w:val="1"/>
    <w:autoRedefine/>
    <w:qFormat/>
    <w:uiPriority w:val="0"/>
    <w:pPr>
      <w:widowControl/>
      <w:ind w:left="720" w:hanging="240"/>
      <w:jc w:val="left"/>
    </w:pPr>
    <w:rPr>
      <w:rFonts w:ascii="Songti SC" w:hAnsi="Songti SC" w:eastAsia="Songti SC"/>
      <w:kern w:val="0"/>
      <w:sz w:val="20"/>
      <w:lang w:eastAsia="en-US" w:bidi="en-US"/>
    </w:rPr>
  </w:style>
  <w:style w:type="paragraph" w:styleId="33">
    <w:name w:val="Date"/>
    <w:basedOn w:val="1"/>
    <w:next w:val="1"/>
    <w:link w:val="164"/>
    <w:unhideWhenUsed/>
    <w:qFormat/>
    <w:uiPriority w:val="99"/>
    <w:pPr>
      <w:ind w:left="100" w:leftChars="2500"/>
    </w:pPr>
    <w:rPr>
      <w:rFonts w:ascii="Songti SC" w:hAnsi="Songti SC" w:eastAsia="Songti SC"/>
      <w:kern w:val="0"/>
      <w:sz w:val="18"/>
      <w:szCs w:val="18"/>
    </w:rPr>
  </w:style>
  <w:style w:type="paragraph" w:styleId="34">
    <w:name w:val="Body Text Indent 2"/>
    <w:basedOn w:val="1"/>
    <w:link w:val="242"/>
    <w:qFormat/>
    <w:uiPriority w:val="0"/>
    <w:pPr>
      <w:widowControl/>
      <w:ind w:left="1680" w:firstLine="425"/>
      <w:jc w:val="left"/>
      <w:outlineLvl w:val="0"/>
    </w:pPr>
    <w:rPr>
      <w:rFonts w:ascii="Songti SC" w:hAnsi="Songti SC" w:eastAsia="Songti SC" w:cstheme="minorBidi"/>
      <w:color w:val="000000"/>
      <w:szCs w:val="22"/>
    </w:rPr>
  </w:style>
  <w:style w:type="paragraph" w:styleId="35">
    <w:name w:val="endnote text"/>
    <w:basedOn w:val="1"/>
    <w:link w:val="480"/>
    <w:qFormat/>
    <w:uiPriority w:val="0"/>
    <w:pPr>
      <w:widowControl/>
      <w:snapToGrid w:val="0"/>
      <w:jc w:val="left"/>
    </w:pPr>
    <w:rPr>
      <w:rFonts w:ascii="Songti SC" w:hAnsi="Songti SC" w:eastAsia="Songti SC"/>
      <w:kern w:val="0"/>
      <w:lang w:eastAsia="en-US" w:bidi="en-US"/>
    </w:rPr>
  </w:style>
  <w:style w:type="paragraph" w:styleId="36">
    <w:name w:val="Balloon Text"/>
    <w:basedOn w:val="1"/>
    <w:link w:val="85"/>
    <w:unhideWhenUsed/>
    <w:qFormat/>
    <w:uiPriority w:val="0"/>
    <w:rPr>
      <w:rFonts w:ascii="Songti SC" w:hAnsi="Songti SC" w:eastAsia="Songti SC"/>
      <w:sz w:val="18"/>
      <w:szCs w:val="18"/>
    </w:rPr>
  </w:style>
  <w:style w:type="paragraph" w:styleId="37">
    <w:name w:val="footer"/>
    <w:basedOn w:val="1"/>
    <w:link w:val="83"/>
    <w:unhideWhenUsed/>
    <w:qFormat/>
    <w:uiPriority w:val="99"/>
    <w:pPr>
      <w:tabs>
        <w:tab w:val="center" w:pos="4153"/>
        <w:tab w:val="right" w:pos="8306"/>
      </w:tabs>
      <w:snapToGrid w:val="0"/>
      <w:jc w:val="left"/>
    </w:pPr>
    <w:rPr>
      <w:rFonts w:ascii="Songti SC" w:hAnsi="Songti SC" w:eastAsia="Songti SC"/>
      <w:sz w:val="18"/>
      <w:szCs w:val="18"/>
    </w:rPr>
  </w:style>
  <w:style w:type="paragraph" w:styleId="38">
    <w:name w:val="header"/>
    <w:basedOn w:val="1"/>
    <w:link w:val="82"/>
    <w:unhideWhenUsed/>
    <w:qFormat/>
    <w:uiPriority w:val="99"/>
    <w:pPr>
      <w:pBdr>
        <w:bottom w:val="single" w:color="auto" w:sz="6" w:space="1"/>
      </w:pBdr>
      <w:tabs>
        <w:tab w:val="center" w:pos="4153"/>
        <w:tab w:val="right" w:pos="8306"/>
      </w:tabs>
      <w:snapToGrid w:val="0"/>
      <w:jc w:val="center"/>
    </w:pPr>
    <w:rPr>
      <w:rFonts w:ascii="Songti SC" w:hAnsi="Songti SC" w:eastAsia="Songti SC"/>
      <w:sz w:val="18"/>
      <w:szCs w:val="18"/>
    </w:rPr>
  </w:style>
  <w:style w:type="paragraph" w:styleId="39">
    <w:name w:val="toc 1"/>
    <w:basedOn w:val="1"/>
    <w:next w:val="1"/>
    <w:autoRedefine/>
    <w:unhideWhenUsed/>
    <w:qFormat/>
    <w:uiPriority w:val="39"/>
    <w:pPr>
      <w:spacing w:before="120" w:after="120"/>
      <w:jc w:val="left"/>
    </w:pPr>
    <w:rPr>
      <w:rFonts w:ascii="Songti SC" w:hAnsi="Songti SC" w:eastAsia="Songti SC" w:cstheme="minorHAnsi"/>
      <w:b/>
      <w:bCs/>
      <w:caps/>
      <w:szCs w:val="20"/>
    </w:rPr>
  </w:style>
  <w:style w:type="paragraph" w:styleId="40">
    <w:name w:val="toc 4"/>
    <w:basedOn w:val="1"/>
    <w:next w:val="1"/>
    <w:autoRedefine/>
    <w:unhideWhenUsed/>
    <w:qFormat/>
    <w:uiPriority w:val="39"/>
    <w:pPr>
      <w:ind w:left="960"/>
      <w:jc w:val="left"/>
    </w:pPr>
    <w:rPr>
      <w:rFonts w:ascii="Songti SC" w:hAnsi="Songti SC" w:eastAsia="Songti SC" w:cstheme="minorHAnsi"/>
      <w:sz w:val="18"/>
      <w:szCs w:val="18"/>
    </w:rPr>
  </w:style>
  <w:style w:type="paragraph" w:styleId="41">
    <w:name w:val="index heading"/>
    <w:basedOn w:val="1"/>
    <w:next w:val="42"/>
    <w:qFormat/>
    <w:uiPriority w:val="0"/>
    <w:pPr>
      <w:widowControl/>
      <w:jc w:val="left"/>
    </w:pPr>
    <w:rPr>
      <w:rFonts w:ascii="Songti SC" w:hAnsi="Songti SC" w:eastAsia="Songti SC"/>
      <w:b/>
      <w:bCs/>
      <w:kern w:val="0"/>
      <w:lang w:eastAsia="en-US" w:bidi="en-US"/>
    </w:rPr>
  </w:style>
  <w:style w:type="paragraph" w:styleId="42">
    <w:name w:val="index 1"/>
    <w:basedOn w:val="1"/>
    <w:next w:val="1"/>
    <w:autoRedefine/>
    <w:qFormat/>
    <w:uiPriority w:val="0"/>
    <w:pPr>
      <w:widowControl/>
      <w:jc w:val="left"/>
    </w:pPr>
    <w:rPr>
      <w:rFonts w:ascii="Songti SC" w:hAnsi="Songti SC" w:eastAsia="Songti SC"/>
      <w:kern w:val="0"/>
      <w:lang w:eastAsia="en-US" w:bidi="en-US"/>
    </w:rPr>
  </w:style>
  <w:style w:type="paragraph" w:styleId="43">
    <w:name w:val="Subtitle"/>
    <w:basedOn w:val="1"/>
    <w:next w:val="1"/>
    <w:link w:val="188"/>
    <w:qFormat/>
    <w:uiPriority w:val="0"/>
    <w:pPr>
      <w:widowControl/>
      <w:spacing w:after="200" w:line="276" w:lineRule="auto"/>
      <w:jc w:val="left"/>
    </w:pPr>
    <w:rPr>
      <w:rFonts w:ascii="Songti SC" w:hAnsi="Songti SC" w:eastAsia="Songti SC"/>
      <w:i/>
      <w:iCs/>
      <w:smallCaps/>
      <w:spacing w:val="10"/>
      <w:kern w:val="0"/>
      <w:sz w:val="28"/>
      <w:szCs w:val="28"/>
    </w:rPr>
  </w:style>
  <w:style w:type="paragraph" w:styleId="44">
    <w:name w:val="footnote text"/>
    <w:basedOn w:val="1"/>
    <w:link w:val="481"/>
    <w:qFormat/>
    <w:uiPriority w:val="0"/>
    <w:pPr>
      <w:widowControl/>
      <w:snapToGrid w:val="0"/>
      <w:jc w:val="left"/>
    </w:pPr>
    <w:rPr>
      <w:rFonts w:ascii="Songti SC" w:hAnsi="Songti SC" w:eastAsia="Songti SC"/>
      <w:kern w:val="0"/>
      <w:sz w:val="18"/>
      <w:szCs w:val="18"/>
      <w:lang w:eastAsia="en-US" w:bidi="en-US"/>
    </w:rPr>
  </w:style>
  <w:style w:type="paragraph" w:styleId="45">
    <w:name w:val="toc 6"/>
    <w:basedOn w:val="1"/>
    <w:next w:val="1"/>
    <w:autoRedefine/>
    <w:unhideWhenUsed/>
    <w:qFormat/>
    <w:uiPriority w:val="39"/>
    <w:pPr>
      <w:ind w:left="1600"/>
      <w:jc w:val="left"/>
    </w:pPr>
    <w:rPr>
      <w:rFonts w:ascii="Songti SC" w:hAnsi="Songti SC" w:eastAsia="Songti SC" w:cstheme="minorHAnsi"/>
      <w:sz w:val="18"/>
      <w:szCs w:val="18"/>
    </w:rPr>
  </w:style>
  <w:style w:type="paragraph" w:styleId="46">
    <w:name w:val="Body Text Indent 3"/>
    <w:basedOn w:val="1"/>
    <w:link w:val="249"/>
    <w:qFormat/>
    <w:uiPriority w:val="0"/>
    <w:pPr>
      <w:widowControl/>
      <w:autoSpaceDE w:val="0"/>
      <w:autoSpaceDN w:val="0"/>
      <w:adjustRightInd w:val="0"/>
      <w:ind w:firstLine="540"/>
      <w:jc w:val="left"/>
    </w:pPr>
    <w:rPr>
      <w:rFonts w:ascii="Songti SC" w:hAnsi="Songti SC" w:eastAsia="Songti SC"/>
      <w:spacing w:val="20"/>
      <w:kern w:val="0"/>
      <w:lang w:eastAsia="en-US" w:bidi="en-US"/>
    </w:rPr>
  </w:style>
  <w:style w:type="paragraph" w:styleId="47">
    <w:name w:val="index 7"/>
    <w:basedOn w:val="1"/>
    <w:next w:val="1"/>
    <w:autoRedefine/>
    <w:qFormat/>
    <w:uiPriority w:val="0"/>
    <w:pPr>
      <w:widowControl/>
      <w:ind w:left="1680" w:hanging="240"/>
      <w:jc w:val="left"/>
    </w:pPr>
    <w:rPr>
      <w:rFonts w:ascii="Songti SC" w:hAnsi="Songti SC" w:eastAsia="Songti SC"/>
      <w:kern w:val="0"/>
      <w:sz w:val="20"/>
      <w:lang w:eastAsia="en-US" w:bidi="en-US"/>
    </w:rPr>
  </w:style>
  <w:style w:type="paragraph" w:styleId="48">
    <w:name w:val="index 9"/>
    <w:basedOn w:val="1"/>
    <w:next w:val="1"/>
    <w:autoRedefine/>
    <w:qFormat/>
    <w:uiPriority w:val="0"/>
    <w:pPr>
      <w:widowControl/>
      <w:ind w:left="2160" w:hanging="240"/>
      <w:jc w:val="left"/>
    </w:pPr>
    <w:rPr>
      <w:rFonts w:ascii="Songti SC" w:hAnsi="Songti SC" w:eastAsia="Songti SC"/>
      <w:kern w:val="0"/>
      <w:sz w:val="20"/>
      <w:lang w:eastAsia="en-US" w:bidi="en-US"/>
    </w:rPr>
  </w:style>
  <w:style w:type="paragraph" w:styleId="49">
    <w:name w:val="table of figures"/>
    <w:basedOn w:val="1"/>
    <w:next w:val="1"/>
    <w:qFormat/>
    <w:uiPriority w:val="99"/>
    <w:pPr>
      <w:widowControl/>
      <w:spacing w:before="40" w:after="40"/>
      <w:ind w:left="840" w:hanging="420"/>
    </w:pPr>
    <w:rPr>
      <w:rFonts w:ascii="Songti SC" w:hAnsi="Songti SC" w:eastAsia="Songti SC"/>
      <w:sz w:val="21"/>
      <w:szCs w:val="20"/>
    </w:rPr>
  </w:style>
  <w:style w:type="paragraph" w:styleId="50">
    <w:name w:val="toc 2"/>
    <w:basedOn w:val="1"/>
    <w:next w:val="1"/>
    <w:autoRedefine/>
    <w:unhideWhenUsed/>
    <w:qFormat/>
    <w:uiPriority w:val="39"/>
    <w:pPr>
      <w:ind w:left="320"/>
      <w:jc w:val="left"/>
    </w:pPr>
    <w:rPr>
      <w:rFonts w:ascii="Songti SC" w:hAnsi="Songti SC" w:eastAsia="Songti SC" w:cstheme="minorHAnsi"/>
      <w:smallCaps/>
      <w:szCs w:val="20"/>
    </w:rPr>
  </w:style>
  <w:style w:type="paragraph" w:styleId="51">
    <w:name w:val="toc 9"/>
    <w:basedOn w:val="1"/>
    <w:next w:val="1"/>
    <w:autoRedefine/>
    <w:unhideWhenUsed/>
    <w:qFormat/>
    <w:uiPriority w:val="39"/>
    <w:pPr>
      <w:ind w:left="2560"/>
      <w:jc w:val="left"/>
    </w:pPr>
    <w:rPr>
      <w:rFonts w:ascii="Songti SC" w:hAnsi="Songti SC" w:eastAsia="Songti SC" w:cstheme="minorHAnsi"/>
      <w:sz w:val="18"/>
      <w:szCs w:val="18"/>
    </w:rPr>
  </w:style>
  <w:style w:type="paragraph" w:styleId="52">
    <w:name w:val="Body Text 2"/>
    <w:basedOn w:val="1"/>
    <w:link w:val="253"/>
    <w:qFormat/>
    <w:uiPriority w:val="0"/>
    <w:pPr>
      <w:widowControl/>
      <w:jc w:val="left"/>
    </w:pPr>
    <w:rPr>
      <w:rFonts w:ascii="Songti SC" w:hAnsi="Songti SC" w:eastAsia="Songti SC" w:cstheme="minorBidi"/>
      <w:szCs w:val="22"/>
    </w:rPr>
  </w:style>
  <w:style w:type="paragraph" w:styleId="53">
    <w:name w:val="HTML Preformatted"/>
    <w:basedOn w:val="1"/>
    <w:link w:val="161"/>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Songti SC" w:hAnsi="Songti SC" w:eastAsia="Songti SC"/>
      <w:kern w:val="0"/>
    </w:rPr>
  </w:style>
  <w:style w:type="paragraph" w:styleId="54">
    <w:name w:val="Normal (Web)"/>
    <w:basedOn w:val="1"/>
    <w:link w:val="117"/>
    <w:qFormat/>
    <w:uiPriority w:val="0"/>
    <w:pPr>
      <w:widowControl/>
      <w:spacing w:before="100" w:beforeAutospacing="1" w:after="100" w:afterAutospacing="1"/>
      <w:jc w:val="left"/>
    </w:pPr>
    <w:rPr>
      <w:rFonts w:ascii="Songti SC" w:hAnsi="Songti SC" w:eastAsia="Songti SC"/>
      <w:kern w:val="0"/>
    </w:rPr>
  </w:style>
  <w:style w:type="paragraph" w:styleId="55">
    <w:name w:val="index 2"/>
    <w:basedOn w:val="1"/>
    <w:next w:val="1"/>
    <w:autoRedefine/>
    <w:qFormat/>
    <w:uiPriority w:val="0"/>
    <w:pPr>
      <w:widowControl/>
      <w:ind w:left="480" w:hanging="240"/>
      <w:jc w:val="left"/>
    </w:pPr>
    <w:rPr>
      <w:rFonts w:ascii="Songti SC" w:hAnsi="Songti SC" w:eastAsia="Songti SC"/>
      <w:kern w:val="0"/>
      <w:sz w:val="20"/>
      <w:lang w:eastAsia="en-US" w:bidi="en-US"/>
    </w:rPr>
  </w:style>
  <w:style w:type="paragraph" w:styleId="56">
    <w:name w:val="Title"/>
    <w:basedOn w:val="1"/>
    <w:next w:val="1"/>
    <w:link w:val="187"/>
    <w:qFormat/>
    <w:uiPriority w:val="0"/>
    <w:pPr>
      <w:widowControl/>
      <w:spacing w:after="300"/>
      <w:contextualSpacing/>
      <w:jc w:val="left"/>
    </w:pPr>
    <w:rPr>
      <w:rFonts w:ascii="Songti SC" w:hAnsi="Songti SC" w:eastAsia="Songti SC"/>
      <w:b/>
      <w:smallCaps/>
      <w:kern w:val="0"/>
      <w:sz w:val="44"/>
      <w:szCs w:val="52"/>
    </w:rPr>
  </w:style>
  <w:style w:type="paragraph" w:styleId="57">
    <w:name w:val="annotation subject"/>
    <w:basedOn w:val="18"/>
    <w:next w:val="18"/>
    <w:link w:val="95"/>
    <w:unhideWhenUsed/>
    <w:qFormat/>
    <w:uiPriority w:val="0"/>
    <w:rPr>
      <w:rFonts w:ascii="Songti SC" w:hAnsi="Songti SC" w:eastAsia="Songti SC"/>
      <w:b/>
      <w:bCs/>
    </w:rPr>
  </w:style>
  <w:style w:type="paragraph" w:styleId="58">
    <w:name w:val="Body Text First Indent"/>
    <w:basedOn w:val="22"/>
    <w:link w:val="246"/>
    <w:qFormat/>
    <w:uiPriority w:val="0"/>
    <w:pPr>
      <w:widowControl/>
      <w:ind w:left="525" w:firstLine="420"/>
      <w:jc w:val="left"/>
    </w:pPr>
    <w:rPr>
      <w:rFonts w:ascii="Songti SC" w:hAnsi="Songti SC" w:eastAsia="Songti SC"/>
      <w:sz w:val="21"/>
      <w:lang w:eastAsia="en-US" w:bidi="en-US"/>
    </w:rPr>
  </w:style>
  <w:style w:type="paragraph" w:styleId="59">
    <w:name w:val="Body Text First Indent 2"/>
    <w:basedOn w:val="23"/>
    <w:link w:val="104"/>
    <w:unhideWhenUsed/>
    <w:qFormat/>
    <w:uiPriority w:val="0"/>
    <w:pPr>
      <w:spacing w:beforeLines="50"/>
      <w:ind w:firstLine="420"/>
      <w:jc w:val="left"/>
    </w:pPr>
    <w:rPr>
      <w:rFonts w:ascii="Songti SC" w:hAnsi="Songti SC" w:eastAsia="Songti SC"/>
      <w:szCs w:val="22"/>
      <w:lang w:val="zh-CN"/>
    </w:rPr>
  </w:style>
  <w:style w:type="table" w:styleId="61">
    <w:name w:val="Table Grid"/>
    <w:basedOn w:val="60"/>
    <w:qFormat/>
    <w:uiPriority w:val="0"/>
    <w:rPr>
      <w:rFonts w:ascii="Songti SC" w:hAnsi="Songti SC" w:eastAsia="Songti SC"/>
      <w:szCs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62">
    <w:name w:val="Table Theme"/>
    <w:basedOn w:val="60"/>
    <w:unhideWhenUsed/>
    <w:qFormat/>
    <w:uiPriority w:val="99"/>
    <w:pPr>
      <w:widowControl w:val="0"/>
      <w:jc w:val="both"/>
    </w:pPr>
    <w:rPr>
      <w:rFonts w:ascii="Songti SC" w:hAnsi="Songti SC" w:eastAsia="Songti SC" w:cs="宋体"/>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63">
    <w:name w:val="Table Elegant"/>
    <w:basedOn w:val="60"/>
    <w:qFormat/>
    <w:uiPriority w:val="0"/>
    <w:pPr>
      <w:widowControl w:val="0"/>
      <w:spacing w:after="200" w:line="276" w:lineRule="auto"/>
      <w:jc w:val="both"/>
    </w:pPr>
    <w:rPr>
      <w:rFonts w:ascii="Songti SC" w:hAnsi="Songti SC" w:eastAsia="Songti SC"/>
      <w:sz w:val="22"/>
      <w:lang w:eastAsia="en-US" w:bidi="en-US"/>
    </w:r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cPr>
      <w:shd w:val="clear" w:color="auto" w:fill="auto"/>
    </w:tcPr>
    <w:tblStylePr w:type="firstRow">
      <w:rPr>
        <w:caps/>
        <w:color w:val="000000"/>
      </w:rPr>
      <w:tblPr/>
      <w:tcPr>
        <w:tcBorders>
          <w:tl2br w:val="nil"/>
          <w:tr2bl w:val="nil"/>
        </w:tcBorders>
      </w:tcPr>
    </w:tblStylePr>
  </w:style>
  <w:style w:type="table" w:styleId="64">
    <w:name w:val="Table Simple 1"/>
    <w:basedOn w:val="60"/>
    <w:qFormat/>
    <w:uiPriority w:val="0"/>
    <w:pPr>
      <w:widowControl w:val="0"/>
      <w:jc w:val="both"/>
    </w:pPr>
    <w:rPr>
      <w:rFonts w:ascii="Songti SC" w:hAnsi="Songti SC" w:eastAsia="Songti SC"/>
    </w:rPr>
    <w:tblPr>
      <w:tblBorders>
        <w:top w:val="single" w:color="008000" w:sz="12" w:space="0"/>
        <w:bottom w:val="single" w:color="008000" w:sz="12" w:space="0"/>
      </w:tblBorders>
    </w:tblPr>
    <w:tcPr>
      <w:shd w:val="clear" w:color="auto" w:fill="auto"/>
    </w:tcPr>
    <w:tblStylePr w:type="firstRow">
      <w:tblPr/>
      <w:tcPr>
        <w:tcBorders>
          <w:bottom w:val="single" w:color="008000" w:sz="6" w:space="0"/>
          <w:tl2br w:val="nil"/>
          <w:tr2bl w:val="nil"/>
        </w:tcBorders>
      </w:tcPr>
    </w:tblStylePr>
    <w:tblStylePr w:type="lastRow">
      <w:tblPr/>
      <w:tcPr>
        <w:tcBorders>
          <w:top w:val="single" w:color="008000" w:sz="6" w:space="0"/>
          <w:tl2br w:val="nil"/>
          <w:tr2bl w:val="nil"/>
        </w:tcBorders>
      </w:tcPr>
    </w:tblStylePr>
  </w:style>
  <w:style w:type="table" w:styleId="65">
    <w:name w:val="Table List 4"/>
    <w:basedOn w:val="60"/>
    <w:qFormat/>
    <w:uiPriority w:val="0"/>
    <w:pPr>
      <w:widowControl w:val="0"/>
      <w:jc w:val="both"/>
    </w:pPr>
    <w:rPr>
      <w:rFonts w:ascii="Songti SC" w:hAnsi="Songti SC" w:eastAsia="Songti SC"/>
    </w:rPr>
    <w:tblPr>
      <w:tblBorders>
        <w:top w:val="single" w:color="000000" w:sz="12" w:space="0"/>
        <w:left w:val="single" w:color="000000" w:sz="12" w:space="0"/>
        <w:bottom w:val="single" w:color="000000" w:sz="12" w:space="0"/>
        <w:right w:val="single" w:color="000000" w:sz="12" w:space="0"/>
        <w:insideH w:val="single" w:color="000000" w:sz="6" w:space="0"/>
      </w:tblBorders>
    </w:tblPr>
    <w:tcPr>
      <w:shd w:val="clear" w:color="auto" w:fill="auto"/>
    </w:tcPr>
    <w:tblStylePr w:type="firstRow">
      <w:rPr>
        <w:b/>
        <w:bCs/>
        <w:color w:val="000000"/>
      </w:rPr>
      <w:tblPr/>
      <w:tcPr>
        <w:tcBorders>
          <w:bottom w:val="single" w:color="000000" w:sz="12" w:space="0"/>
          <w:tl2br w:val="nil"/>
          <w:tr2bl w:val="nil"/>
        </w:tcBorders>
        <w:shd w:val="solid" w:color="808080" w:fill="FFFFFF"/>
      </w:tcPr>
    </w:tblStylePr>
  </w:style>
  <w:style w:type="table" w:styleId="66">
    <w:name w:val="Table List 8"/>
    <w:basedOn w:val="60"/>
    <w:qFormat/>
    <w:uiPriority w:val="0"/>
    <w:pPr>
      <w:widowControl w:val="0"/>
      <w:spacing w:after="200" w:line="276" w:lineRule="auto"/>
      <w:jc w:val="both"/>
    </w:pPr>
    <w:rPr>
      <w:rFonts w:ascii="Songti SC" w:hAnsi="Songti SC" w:eastAsia="Songti SC"/>
      <w:sz w:val="22"/>
      <w:lang w:eastAsia="en-US" w:bidi="en-US"/>
    </w:rPr>
    <w:tblPr>
      <w:tblBorders>
        <w:top w:val="single" w:color="000000" w:sz="6" w:space="0"/>
        <w:left w:val="single" w:color="000000" w:sz="6" w:space="0"/>
        <w:bottom w:val="single" w:color="000000" w:sz="6" w:space="0"/>
        <w:right w:val="single" w:color="000000" w:sz="6" w:space="0"/>
        <w:insideV w:val="single" w:color="000000" w:sz="6" w:space="0"/>
      </w:tblBorders>
    </w:tblPr>
    <w:tblStylePr w:type="firstRow">
      <w:rPr>
        <w:b/>
        <w:bCs/>
        <w:i/>
        <w:iCs/>
      </w:rPr>
      <w:tblPr/>
      <w:tcPr>
        <w:tcBorders>
          <w:bottom w:val="single" w:color="000000" w:sz="6" w:space="0"/>
          <w:tl2br w:val="nil"/>
          <w:tr2bl w:val="nil"/>
        </w:tcBorders>
        <w:shd w:val="solid" w:color="FFFF00" w:fill="FFFFFF"/>
      </w:tcPr>
    </w:tblStylePr>
    <w:tblStylePr w:type="lastRow">
      <w:rPr>
        <w:b/>
        <w:bCs/>
      </w:rPr>
      <w:tblPr/>
      <w:tcPr>
        <w:tcBorders>
          <w:top w:val="single" w:color="000000" w:sz="6" w:space="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000000"/>
      </w:rPr>
      <w:tblPr/>
      <w:tcPr>
        <w:tcBorders>
          <w:tl2br w:val="nil"/>
          <w:tr2bl w:val="nil"/>
        </w:tcBorders>
        <w:shd w:val="pct25" w:color="FFFF00" w:fill="FFFFFF"/>
      </w:tcPr>
    </w:tblStylePr>
    <w:tblStylePr w:type="band2Horz">
      <w:tblPr/>
      <w:tcPr>
        <w:tcBorders>
          <w:tl2br w:val="nil"/>
          <w:tr2bl w:val="nil"/>
        </w:tcBorders>
        <w:shd w:val="pct50" w:color="FF0000" w:fill="FFFFFF"/>
      </w:tcPr>
    </w:tblStylePr>
    <w:tblStylePr w:type="nwCell">
      <w:tblPr/>
      <w:tcPr>
        <w:tcBorders>
          <w:tl2br w:val="single" w:color="auto" w:sz="6" w:space="0"/>
          <w:tr2bl w:val="nil"/>
        </w:tcBorders>
      </w:tcPr>
    </w:tblStylePr>
  </w:style>
  <w:style w:type="table" w:styleId="67">
    <w:name w:val="Table Contemporary"/>
    <w:basedOn w:val="60"/>
    <w:qFormat/>
    <w:uiPriority w:val="0"/>
    <w:pPr>
      <w:widowControl w:val="0"/>
      <w:spacing w:after="200" w:line="276" w:lineRule="auto"/>
      <w:jc w:val="both"/>
    </w:pPr>
    <w:rPr>
      <w:rFonts w:ascii="Songti SC" w:hAnsi="Songti SC" w:eastAsia="Songti SC"/>
      <w:sz w:val="22"/>
      <w:lang w:eastAsia="en-US" w:bidi="en-US"/>
    </w:rPr>
    <w:tblPr>
      <w:tblBorders>
        <w:insideH w:val="single" w:color="FFFFFF" w:sz="18" w:space="0"/>
        <w:insideV w:val="single" w:color="FFFFFF" w:sz="18" w:space="0"/>
      </w:tblBorders>
    </w:tblPr>
    <w:tblStylePr w:type="firstRow">
      <w:rPr>
        <w:b/>
        <w:bCs/>
        <w:color w:val="000000"/>
      </w:rPr>
      <w:tblPr/>
      <w:tcPr>
        <w:tcBorders>
          <w:tl2br w:val="nil"/>
          <w:tr2bl w:val="nil"/>
        </w:tcBorders>
        <w:shd w:val="pct20" w:color="000000" w:fill="FFFFFF"/>
      </w:tcPr>
    </w:tblStylePr>
    <w:tblStylePr w:type="band1Horz">
      <w:rPr>
        <w:color w:val="000000"/>
      </w:rPr>
      <w:tblPr/>
      <w:tcPr>
        <w:tcBorders>
          <w:tl2br w:val="nil"/>
          <w:tr2bl w:val="nil"/>
        </w:tcBorders>
        <w:shd w:val="pct5" w:color="000000" w:fill="FFFFFF"/>
      </w:tcPr>
    </w:tblStylePr>
    <w:tblStylePr w:type="band2Horz">
      <w:rPr>
        <w:color w:val="000000"/>
      </w:rPr>
      <w:tblPr/>
      <w:tcPr>
        <w:tcBorders>
          <w:tl2br w:val="nil"/>
          <w:tr2bl w:val="nil"/>
        </w:tcBorders>
        <w:shd w:val="pct20" w:color="000000" w:fill="FFFFFF"/>
      </w:tcPr>
    </w:tblStylePr>
  </w:style>
  <w:style w:type="table" w:styleId="68">
    <w:name w:val="Table Grid 5"/>
    <w:basedOn w:val="60"/>
    <w:qFormat/>
    <w:uiPriority w:val="0"/>
    <w:pPr>
      <w:widowControl w:val="0"/>
      <w:jc w:val="both"/>
    </w:pPr>
    <w:rPr>
      <w:rFonts w:ascii="Songti SC" w:hAnsi="Songti SC" w:eastAsia="Songti SC"/>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cPr>
      <w:shd w:val="clear" w:color="auto" w:fill="auto"/>
    </w:tcPr>
    <w:tblStylePr w:type="firstRow">
      <w:tblPr/>
      <w:tcPr>
        <w:tcBorders>
          <w:bottom w:val="single" w:color="000000" w:sz="12" w:space="0"/>
          <w:tl2br w:val="nil"/>
          <w:tr2bl w:val="nil"/>
        </w:tcBorders>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color="000000" w:sz="6" w:space="0"/>
          <w:tr2bl w:val="nil"/>
        </w:tcBorders>
      </w:tcPr>
    </w:tblStylePr>
  </w:style>
  <w:style w:type="table" w:styleId="69">
    <w:name w:val="Table Web 3"/>
    <w:basedOn w:val="60"/>
    <w:qFormat/>
    <w:uiPriority w:val="0"/>
    <w:pPr>
      <w:widowControl w:val="0"/>
      <w:spacing w:after="200" w:line="276" w:lineRule="auto"/>
      <w:jc w:val="both"/>
    </w:pPr>
    <w:rPr>
      <w:rFonts w:ascii="Songti SC" w:hAnsi="Songti SC" w:eastAsia="Songti SC"/>
      <w:sz w:val="22"/>
      <w:lang w:eastAsia="en-US" w:bidi="en-US"/>
    </w:rPr>
    <w:tblPr>
      <w:tblCellSpacing w:w="20" w:type="dxa"/>
      <w:tblBorders>
        <w:top w:val="outset" w:color="auto" w:sz="24" w:space="0"/>
        <w:left w:val="outset" w:color="auto" w:sz="24" w:space="0"/>
        <w:bottom w:val="outset" w:color="auto" w:sz="24" w:space="0"/>
        <w:right w:val="outset" w:color="auto" w:sz="24" w:space="0"/>
        <w:insideH w:val="outset" w:color="auto" w:sz="6" w:space="0"/>
        <w:insideV w:val="outset" w:color="auto" w:sz="6" w:space="0"/>
      </w:tblBorders>
    </w:tblPr>
    <w:trPr>
      <w:tblCellSpacing w:w="20" w:type="dxa"/>
    </w:trPr>
    <w:tcPr>
      <w:shd w:val="clear" w:color="auto" w:fill="auto"/>
    </w:tcPr>
    <w:tblStylePr w:type="firstRow">
      <w:rPr>
        <w:color w:val="000000"/>
      </w:rPr>
      <w:tblPr/>
      <w:tcPr>
        <w:tcBorders>
          <w:tl2br w:val="nil"/>
          <w:tr2bl w:val="nil"/>
        </w:tcBorders>
      </w:tcPr>
    </w:tblStylePr>
  </w:style>
  <w:style w:type="character" w:styleId="71">
    <w:name w:val="Strong"/>
    <w:qFormat/>
    <w:uiPriority w:val="0"/>
    <w:rPr>
      <w:rFonts w:ascii="Songti SC" w:hAnsi="Songti SC" w:eastAsia="Songti SC"/>
      <w:b/>
      <w:bCs/>
    </w:rPr>
  </w:style>
  <w:style w:type="character" w:styleId="72">
    <w:name w:val="endnote reference"/>
    <w:basedOn w:val="70"/>
    <w:qFormat/>
    <w:uiPriority w:val="0"/>
    <w:rPr>
      <w:rFonts w:ascii="Songti SC" w:hAnsi="Songti SC" w:eastAsia="Songti SC"/>
      <w:vertAlign w:val="superscript"/>
    </w:rPr>
  </w:style>
  <w:style w:type="character" w:styleId="73">
    <w:name w:val="page number"/>
    <w:basedOn w:val="70"/>
    <w:qFormat/>
    <w:uiPriority w:val="0"/>
    <w:rPr>
      <w:rFonts w:ascii="Songti SC" w:hAnsi="Songti SC" w:eastAsia="Songti SC"/>
    </w:rPr>
  </w:style>
  <w:style w:type="character" w:styleId="74">
    <w:name w:val="FollowedHyperlink"/>
    <w:basedOn w:val="70"/>
    <w:qFormat/>
    <w:uiPriority w:val="0"/>
    <w:rPr>
      <w:rFonts w:ascii="Songti SC" w:hAnsi="Songti SC" w:eastAsia="Songti SC"/>
      <w:color w:val="000000"/>
      <w:u w:val="single"/>
    </w:rPr>
  </w:style>
  <w:style w:type="character" w:styleId="75">
    <w:name w:val="Emphasis"/>
    <w:qFormat/>
    <w:uiPriority w:val="0"/>
    <w:rPr>
      <w:rFonts w:ascii="Songti SC" w:hAnsi="Songti SC" w:eastAsia="Songti SC"/>
      <w:b/>
      <w:bCs/>
      <w:i/>
      <w:iCs/>
      <w:spacing w:val="10"/>
    </w:rPr>
  </w:style>
  <w:style w:type="character" w:styleId="76">
    <w:name w:val="line number"/>
    <w:basedOn w:val="70"/>
    <w:qFormat/>
    <w:uiPriority w:val="0"/>
    <w:rPr>
      <w:rFonts w:ascii="Songti SC" w:hAnsi="Songti SC" w:eastAsia="Songti SC"/>
    </w:rPr>
  </w:style>
  <w:style w:type="character" w:styleId="77">
    <w:name w:val="Hyperlink"/>
    <w:basedOn w:val="70"/>
    <w:unhideWhenUsed/>
    <w:qFormat/>
    <w:uiPriority w:val="99"/>
    <w:rPr>
      <w:rFonts w:ascii="Songti SC" w:hAnsi="Songti SC" w:eastAsia="Songti SC"/>
      <w:color w:val="0000FF"/>
      <w:u w:val="single"/>
    </w:rPr>
  </w:style>
  <w:style w:type="character" w:styleId="78">
    <w:name w:val="HTML Code"/>
    <w:basedOn w:val="70"/>
    <w:semiHidden/>
    <w:unhideWhenUsed/>
    <w:qFormat/>
    <w:uiPriority w:val="99"/>
    <w:rPr>
      <w:rFonts w:ascii="Songti SC" w:hAnsi="Songti SC" w:eastAsia="Songti SC"/>
      <w:sz w:val="20"/>
    </w:rPr>
  </w:style>
  <w:style w:type="character" w:styleId="79">
    <w:name w:val="annotation reference"/>
    <w:qFormat/>
    <w:uiPriority w:val="99"/>
    <w:rPr>
      <w:rFonts w:ascii="Songti SC" w:hAnsi="Songti SC" w:eastAsia="Songti SC"/>
      <w:sz w:val="21"/>
      <w:szCs w:val="21"/>
    </w:rPr>
  </w:style>
  <w:style w:type="character" w:styleId="80">
    <w:name w:val="footnote reference"/>
    <w:basedOn w:val="70"/>
    <w:qFormat/>
    <w:uiPriority w:val="0"/>
    <w:rPr>
      <w:rFonts w:ascii="Songti SC" w:hAnsi="Songti SC" w:eastAsia="Songti SC"/>
      <w:vertAlign w:val="superscript"/>
    </w:rPr>
  </w:style>
  <w:style w:type="character" w:customStyle="1" w:styleId="81">
    <w:name w:val="标题 2 字符"/>
    <w:link w:val="3"/>
    <w:qFormat/>
    <w:uiPriority w:val="0"/>
    <w:rPr>
      <w:rFonts w:ascii="Songti SC" w:hAnsi="Songti SC" w:eastAsia="Songti SC" w:cs="宋体"/>
      <w:b/>
      <w:iCs/>
      <w:kern w:val="2"/>
      <w:sz w:val="32"/>
      <w:szCs w:val="32"/>
      <w:lang w:eastAsia="en-US" w:bidi="en-US"/>
    </w:rPr>
  </w:style>
  <w:style w:type="character" w:customStyle="1" w:styleId="82">
    <w:name w:val="页眉 字符"/>
    <w:basedOn w:val="70"/>
    <w:link w:val="38"/>
    <w:qFormat/>
    <w:uiPriority w:val="99"/>
    <w:rPr>
      <w:rFonts w:ascii="Songti SC" w:hAnsi="Songti SC" w:eastAsia="Songti SC"/>
      <w:sz w:val="18"/>
      <w:szCs w:val="18"/>
    </w:rPr>
  </w:style>
  <w:style w:type="character" w:customStyle="1" w:styleId="83">
    <w:name w:val="页脚 字符"/>
    <w:basedOn w:val="70"/>
    <w:link w:val="37"/>
    <w:qFormat/>
    <w:uiPriority w:val="99"/>
    <w:rPr>
      <w:rFonts w:ascii="Songti SC" w:hAnsi="Songti SC" w:eastAsia="Songti SC"/>
      <w:sz w:val="18"/>
      <w:szCs w:val="18"/>
    </w:rPr>
  </w:style>
  <w:style w:type="character" w:customStyle="1" w:styleId="84">
    <w:name w:val="批注文字 字符"/>
    <w:basedOn w:val="70"/>
    <w:link w:val="18"/>
    <w:qFormat/>
    <w:uiPriority w:val="99"/>
    <w:rPr>
      <w:rFonts w:ascii="Songti SC" w:hAnsi="Songti SC" w:eastAsia="Songti SC" w:cs="宋体"/>
      <w:sz w:val="32"/>
      <w:szCs w:val="24"/>
    </w:rPr>
  </w:style>
  <w:style w:type="character" w:customStyle="1" w:styleId="85">
    <w:name w:val="批注框文本 字符"/>
    <w:basedOn w:val="70"/>
    <w:link w:val="36"/>
    <w:qFormat/>
    <w:uiPriority w:val="99"/>
    <w:rPr>
      <w:rFonts w:ascii="Songti SC" w:hAnsi="Songti SC" w:eastAsia="Songti SC" w:cs="宋体"/>
      <w:sz w:val="18"/>
      <w:szCs w:val="18"/>
    </w:rPr>
  </w:style>
  <w:style w:type="paragraph" w:styleId="86">
    <w:name w:val="List Paragraph"/>
    <w:basedOn w:val="1"/>
    <w:link w:val="101"/>
    <w:qFormat/>
    <w:uiPriority w:val="1"/>
    <w:pPr>
      <w:ind w:firstLine="420"/>
    </w:pPr>
    <w:rPr>
      <w:rFonts w:ascii="Songti SC" w:hAnsi="Songti SC" w:eastAsia="Songti SC"/>
    </w:rPr>
  </w:style>
  <w:style w:type="character" w:customStyle="1" w:styleId="87">
    <w:name w:val="标题 1 字符"/>
    <w:link w:val="2"/>
    <w:qFormat/>
    <w:uiPriority w:val="0"/>
    <w:rPr>
      <w:rFonts w:ascii="Songti SC" w:hAnsi="Songti SC" w:eastAsia="Songti SC" w:cs="宋体"/>
      <w:bCs/>
      <w:kern w:val="2"/>
      <w:sz w:val="44"/>
      <w:szCs w:val="24"/>
      <w:lang w:bidi="en-US"/>
    </w:rPr>
  </w:style>
  <w:style w:type="character" w:customStyle="1" w:styleId="88">
    <w:name w:val="标题 3 字符"/>
    <w:link w:val="4"/>
    <w:qFormat/>
    <w:uiPriority w:val="9"/>
    <w:rPr>
      <w:rFonts w:ascii="Songti SC" w:hAnsi="Songti SC" w:eastAsia="Songti SC" w:cs="宋体"/>
      <w:iCs/>
      <w:kern w:val="2"/>
      <w:sz w:val="28"/>
      <w:szCs w:val="32"/>
      <w:lang w:eastAsia="en-US" w:bidi="en-US"/>
    </w:rPr>
  </w:style>
  <w:style w:type="character" w:customStyle="1" w:styleId="89">
    <w:name w:val="标题 4 字符"/>
    <w:link w:val="5"/>
    <w:qFormat/>
    <w:uiPriority w:val="9"/>
    <w:rPr>
      <w:rFonts w:ascii="Songti SC" w:hAnsi="Songti SC" w:eastAsia="Songti SC" w:cs="宋体"/>
      <w:bCs/>
      <w:kern w:val="2"/>
      <w:sz w:val="28"/>
      <w:szCs w:val="28"/>
      <w:lang w:bidi="en-US"/>
    </w:rPr>
  </w:style>
  <w:style w:type="character" w:customStyle="1" w:styleId="90">
    <w:name w:val="标题 5 字符"/>
    <w:link w:val="6"/>
    <w:qFormat/>
    <w:uiPriority w:val="0"/>
    <w:rPr>
      <w:rFonts w:ascii="Songti SC" w:hAnsi="Songti SC" w:eastAsia="Songti SC" w:cs="宋体"/>
      <w:bCs/>
      <w:kern w:val="2"/>
      <w:sz w:val="28"/>
      <w:szCs w:val="28"/>
      <w:lang w:bidi="en-US"/>
    </w:rPr>
  </w:style>
  <w:style w:type="character" w:customStyle="1" w:styleId="91">
    <w:name w:val="标题 6 字符"/>
    <w:link w:val="7"/>
    <w:qFormat/>
    <w:uiPriority w:val="0"/>
    <w:rPr>
      <w:rFonts w:ascii="Songti SC" w:hAnsi="Songti SC" w:eastAsia="Songti SC" w:cs="宋体"/>
      <w:b/>
      <w:bCs/>
      <w:sz w:val="28"/>
      <w:szCs w:val="24"/>
    </w:rPr>
  </w:style>
  <w:style w:type="character" w:customStyle="1" w:styleId="92">
    <w:name w:val="标题 7 字符"/>
    <w:link w:val="8"/>
    <w:qFormat/>
    <w:uiPriority w:val="0"/>
    <w:rPr>
      <w:rFonts w:ascii="Songti SC" w:hAnsi="Songti SC" w:eastAsia="Songti SC" w:cs="宋体"/>
      <w:b/>
      <w:bCs/>
      <w:sz w:val="24"/>
      <w:szCs w:val="24"/>
    </w:rPr>
  </w:style>
  <w:style w:type="character" w:customStyle="1" w:styleId="93">
    <w:name w:val="标题 8 字符"/>
    <w:basedOn w:val="70"/>
    <w:link w:val="9"/>
    <w:qFormat/>
    <w:uiPriority w:val="0"/>
    <w:rPr>
      <w:rFonts w:ascii="Songti SC" w:hAnsi="Songti SC" w:eastAsia="Songti SC" w:cstheme="majorBidi"/>
      <w:sz w:val="24"/>
      <w:szCs w:val="24"/>
    </w:rPr>
  </w:style>
  <w:style w:type="paragraph" w:customStyle="1" w:styleId="94">
    <w:name w:val="MU0-正文 首行缩进:  2 字符 Char"/>
    <w:basedOn w:val="1"/>
    <w:qFormat/>
    <w:uiPriority w:val="0"/>
    <w:rPr>
      <w:rFonts w:ascii="Songti SC" w:hAnsi="Songti SC" w:eastAsia="Songti SC"/>
      <w:szCs w:val="20"/>
    </w:rPr>
  </w:style>
  <w:style w:type="character" w:customStyle="1" w:styleId="95">
    <w:name w:val="批注主题 字符"/>
    <w:basedOn w:val="84"/>
    <w:link w:val="57"/>
    <w:qFormat/>
    <w:uiPriority w:val="0"/>
    <w:rPr>
      <w:rFonts w:ascii="Songti SC" w:hAnsi="Songti SC" w:eastAsia="Songti SC" w:cs="宋体"/>
      <w:b/>
      <w:bCs/>
      <w:sz w:val="32"/>
      <w:szCs w:val="24"/>
    </w:rPr>
  </w:style>
  <w:style w:type="paragraph" w:customStyle="1" w:styleId="96">
    <w:name w:val="表格正文"/>
    <w:link w:val="100"/>
    <w:qFormat/>
    <w:uiPriority w:val="0"/>
    <w:rPr>
      <w:rFonts w:ascii="Songti SC" w:hAnsi="Songti SC" w:eastAsia="Songti SC" w:cstheme="minorBidi"/>
      <w:kern w:val="2"/>
      <w:sz w:val="21"/>
      <w:szCs w:val="21"/>
      <w:lang w:val="en-US" w:eastAsia="zh-CN" w:bidi="ar-SA"/>
    </w:rPr>
  </w:style>
  <w:style w:type="paragraph" w:customStyle="1" w:styleId="97">
    <w:name w:val="my正文"/>
    <w:basedOn w:val="1"/>
    <w:link w:val="98"/>
    <w:qFormat/>
    <w:uiPriority w:val="0"/>
    <w:pPr>
      <w:ind w:firstLine="480"/>
    </w:pPr>
    <w:rPr>
      <w:rFonts w:ascii="Songti SC" w:hAnsi="Songti SC" w:eastAsia="Songti SC"/>
    </w:rPr>
  </w:style>
  <w:style w:type="character" w:customStyle="1" w:styleId="98">
    <w:name w:val="my正文 Char"/>
    <w:basedOn w:val="70"/>
    <w:link w:val="97"/>
    <w:qFormat/>
    <w:uiPriority w:val="0"/>
    <w:rPr>
      <w:rFonts w:ascii="Songti SC" w:hAnsi="Songti SC" w:eastAsia="Songti SC" w:cs="宋体"/>
      <w:sz w:val="24"/>
      <w:szCs w:val="24"/>
    </w:rPr>
  </w:style>
  <w:style w:type="character" w:customStyle="1" w:styleId="99">
    <w:name w:val="题注 字符"/>
    <w:link w:val="14"/>
    <w:qFormat/>
    <w:uiPriority w:val="0"/>
    <w:rPr>
      <w:rFonts w:ascii="Songti SC" w:hAnsi="Songti SC" w:eastAsia="Songti SC" w:cstheme="majorBidi"/>
      <w:b/>
      <w:kern w:val="2"/>
      <w:sz w:val="21"/>
    </w:rPr>
  </w:style>
  <w:style w:type="character" w:customStyle="1" w:styleId="100">
    <w:name w:val="表格正文 Char"/>
    <w:basedOn w:val="70"/>
    <w:link w:val="96"/>
    <w:qFormat/>
    <w:uiPriority w:val="0"/>
    <w:rPr>
      <w:rFonts w:ascii="Songti SC" w:hAnsi="Songti SC" w:eastAsia="Songti SC" w:cs="宋体"/>
      <w:szCs w:val="21"/>
    </w:rPr>
  </w:style>
  <w:style w:type="character" w:customStyle="1" w:styleId="101">
    <w:name w:val="列表段落 字符"/>
    <w:link w:val="86"/>
    <w:qFormat/>
    <w:uiPriority w:val="0"/>
    <w:rPr>
      <w:rFonts w:ascii="Songti SC" w:hAnsi="Songti SC" w:eastAsia="Songti SC" w:cs="宋体"/>
      <w:sz w:val="32"/>
      <w:szCs w:val="24"/>
    </w:rPr>
  </w:style>
  <w:style w:type="character" w:customStyle="1" w:styleId="102">
    <w:name w:val="正文文本缩进 字符"/>
    <w:basedOn w:val="70"/>
    <w:link w:val="23"/>
    <w:qFormat/>
    <w:uiPriority w:val="0"/>
    <w:rPr>
      <w:rFonts w:ascii="Songti SC" w:hAnsi="Songti SC" w:eastAsia="Songti SC" w:cs="宋体"/>
      <w:sz w:val="32"/>
      <w:szCs w:val="24"/>
    </w:rPr>
  </w:style>
  <w:style w:type="character" w:customStyle="1" w:styleId="103">
    <w:name w:val="正文首行缩进 2 Char"/>
    <w:basedOn w:val="102"/>
    <w:qFormat/>
    <w:uiPriority w:val="0"/>
    <w:rPr>
      <w:rFonts w:ascii="Songti SC" w:hAnsi="Songti SC" w:eastAsia="Songti SC" w:cs="宋体"/>
      <w:sz w:val="32"/>
      <w:szCs w:val="24"/>
    </w:rPr>
  </w:style>
  <w:style w:type="character" w:customStyle="1" w:styleId="104">
    <w:name w:val="正文文本首行缩进 2 字符"/>
    <w:link w:val="59"/>
    <w:qFormat/>
    <w:uiPriority w:val="0"/>
    <w:rPr>
      <w:rFonts w:ascii="Songti SC" w:hAnsi="Songti SC" w:eastAsia="Songti SC" w:cs="宋体"/>
      <w:sz w:val="24"/>
      <w:lang w:val="zh-CN" w:eastAsia="zh-CN"/>
    </w:rPr>
  </w:style>
  <w:style w:type="paragraph" w:customStyle="1" w:styleId="105">
    <w:name w:val="Default"/>
    <w:link w:val="585"/>
    <w:qFormat/>
    <w:uiPriority w:val="0"/>
    <w:pPr>
      <w:widowControl w:val="0"/>
      <w:autoSpaceDE w:val="0"/>
      <w:autoSpaceDN w:val="0"/>
      <w:adjustRightInd w:val="0"/>
    </w:pPr>
    <w:rPr>
      <w:rFonts w:ascii="Songti SC" w:hAnsi="Songti SC" w:eastAsia="Songti SC" w:cs="宋体"/>
      <w:color w:val="000000"/>
      <w:sz w:val="24"/>
      <w:szCs w:val="24"/>
      <w:lang w:val="en-US" w:eastAsia="zh-CN" w:bidi="ar-SA"/>
    </w:rPr>
  </w:style>
  <w:style w:type="paragraph" w:customStyle="1" w:styleId="106">
    <w:name w:val="样式 标题 1章节第一层h1Head1Heading appsBMS Heading 1H1PIM 1Head..."/>
    <w:basedOn w:val="2"/>
    <w:qFormat/>
    <w:uiPriority w:val="0"/>
    <w:pPr>
      <w:numPr>
        <w:numId w:val="6"/>
      </w:numPr>
      <w:spacing w:before="360" w:after="360"/>
    </w:pPr>
    <w:rPr>
      <w:rFonts w:ascii="Songti SC" w:hAnsi="Songti SC" w:eastAsia="Songti SC"/>
      <w:szCs w:val="32"/>
      <w:lang w:val="zh-CN"/>
    </w:rPr>
  </w:style>
  <w:style w:type="paragraph" w:customStyle="1" w:styleId="107">
    <w:name w:val="正文样式"/>
    <w:basedOn w:val="1"/>
    <w:link w:val="289"/>
    <w:qFormat/>
    <w:uiPriority w:val="0"/>
    <w:rPr>
      <w:rFonts w:ascii="Songti SC" w:hAnsi="Songti SC" w:eastAsia="Songti SC"/>
      <w:szCs w:val="20"/>
    </w:rPr>
  </w:style>
  <w:style w:type="paragraph" w:customStyle="1" w:styleId="108">
    <w:name w:val="列出段落1"/>
    <w:basedOn w:val="1"/>
    <w:qFormat/>
    <w:uiPriority w:val="0"/>
    <w:rPr>
      <w:rFonts w:ascii="Songti SC" w:hAnsi="Songti SC" w:eastAsia="Songti SC"/>
      <w:szCs w:val="22"/>
    </w:rPr>
  </w:style>
  <w:style w:type="character" w:customStyle="1" w:styleId="109">
    <w:name w:val="标题 9 字符"/>
    <w:basedOn w:val="70"/>
    <w:link w:val="10"/>
    <w:qFormat/>
    <w:uiPriority w:val="9"/>
    <w:rPr>
      <w:rFonts w:ascii="Songti SC" w:hAnsi="Songti SC" w:eastAsia="Songti SC" w:cstheme="majorBidi"/>
      <w:kern w:val="2"/>
      <w:sz w:val="21"/>
      <w:szCs w:val="21"/>
    </w:rPr>
  </w:style>
  <w:style w:type="paragraph" w:customStyle="1" w:styleId="110">
    <w:name w:val="d正文"/>
    <w:basedOn w:val="1"/>
    <w:link w:val="111"/>
    <w:qFormat/>
    <w:uiPriority w:val="0"/>
    <w:pPr>
      <w:spacing w:before="120" w:after="120"/>
    </w:pPr>
    <w:rPr>
      <w:rFonts w:ascii="Songti SC" w:hAnsi="Songti SC" w:eastAsia="Songti SC"/>
      <w:szCs w:val="22"/>
    </w:rPr>
  </w:style>
  <w:style w:type="character" w:customStyle="1" w:styleId="111">
    <w:name w:val="d正文 Char"/>
    <w:link w:val="110"/>
    <w:qFormat/>
    <w:uiPriority w:val="0"/>
    <w:rPr>
      <w:rFonts w:ascii="Songti SC" w:hAnsi="Songti SC" w:eastAsia="Songti SC" w:cs="宋体"/>
      <w:sz w:val="24"/>
    </w:rPr>
  </w:style>
  <w:style w:type="paragraph" w:customStyle="1" w:styleId="112">
    <w:name w:val="正式正文样式"/>
    <w:basedOn w:val="1"/>
    <w:link w:val="113"/>
    <w:qFormat/>
    <w:uiPriority w:val="0"/>
    <w:pPr>
      <w:widowControl/>
      <w:ind w:firstLine="480"/>
      <w:jc w:val="left"/>
    </w:pPr>
    <w:rPr>
      <w:rFonts w:ascii="Songti SC" w:hAnsi="Songti SC" w:eastAsia="Songti SC"/>
    </w:rPr>
  </w:style>
  <w:style w:type="character" w:customStyle="1" w:styleId="113">
    <w:name w:val="正式正文样式 Char"/>
    <w:basedOn w:val="70"/>
    <w:link w:val="112"/>
    <w:qFormat/>
    <w:uiPriority w:val="0"/>
    <w:rPr>
      <w:rFonts w:ascii="Songti SC" w:hAnsi="Songti SC" w:eastAsia="Songti SC" w:cs="宋体"/>
      <w:sz w:val="24"/>
      <w:szCs w:val="24"/>
    </w:rPr>
  </w:style>
  <w:style w:type="character" w:customStyle="1" w:styleId="114">
    <w:name w:val="正文文本 字符"/>
    <w:basedOn w:val="70"/>
    <w:link w:val="22"/>
    <w:qFormat/>
    <w:uiPriority w:val="0"/>
    <w:rPr>
      <w:rFonts w:ascii="Songti SC" w:hAnsi="Songti SC" w:eastAsia="Songti SC" w:cs="宋体"/>
      <w:sz w:val="32"/>
      <w:szCs w:val="24"/>
    </w:rPr>
  </w:style>
  <w:style w:type="paragraph" w:customStyle="1" w:styleId="115">
    <w:name w:val="MU-插图"/>
    <w:basedOn w:val="1"/>
    <w:link w:val="116"/>
    <w:qFormat/>
    <w:uiPriority w:val="0"/>
    <w:pPr>
      <w:keepNext/>
      <w:adjustRightInd w:val="0"/>
      <w:ind w:firstLine="0" w:firstLineChars="0"/>
      <w:jc w:val="center"/>
      <w:textAlignment w:val="baseline"/>
    </w:pPr>
    <w:rPr>
      <w:rFonts w:ascii="Songti SC" w:hAnsi="Songti SC" w:eastAsia="Songti SC"/>
      <w:kern w:val="0"/>
      <w:szCs w:val="20"/>
      <w:lang w:val="zh-CN"/>
    </w:rPr>
  </w:style>
  <w:style w:type="character" w:customStyle="1" w:styleId="116">
    <w:name w:val="MU-插图 Char"/>
    <w:link w:val="115"/>
    <w:qFormat/>
    <w:uiPriority w:val="0"/>
    <w:rPr>
      <w:rFonts w:ascii="Songti SC" w:hAnsi="Songti SC" w:eastAsia="Songti SC" w:cs="宋体"/>
      <w:kern w:val="0"/>
      <w:sz w:val="24"/>
      <w:szCs w:val="20"/>
      <w:lang w:val="zh-CN" w:eastAsia="zh-CN"/>
    </w:rPr>
  </w:style>
  <w:style w:type="character" w:customStyle="1" w:styleId="117">
    <w:name w:val="普通(网站) 字符"/>
    <w:link w:val="54"/>
    <w:qFormat/>
    <w:locked/>
    <w:uiPriority w:val="99"/>
    <w:rPr>
      <w:rFonts w:ascii="Songti SC" w:hAnsi="Songti SC" w:eastAsia="Songti SC" w:cs="宋体"/>
      <w:kern w:val="0"/>
      <w:sz w:val="24"/>
      <w:szCs w:val="24"/>
    </w:rPr>
  </w:style>
  <w:style w:type="character" w:customStyle="1" w:styleId="118">
    <w:name w:val="Item List Char"/>
    <w:basedOn w:val="70"/>
    <w:link w:val="119"/>
    <w:qFormat/>
    <w:locked/>
    <w:uiPriority w:val="0"/>
    <w:rPr>
      <w:rFonts w:ascii="Songti SC" w:hAnsi="Songti SC" w:eastAsia="Songti SC" w:cs="宋体"/>
      <w:kern w:val="2"/>
      <w:sz w:val="21"/>
      <w:szCs w:val="22"/>
    </w:rPr>
  </w:style>
  <w:style w:type="paragraph" w:customStyle="1" w:styleId="119">
    <w:name w:val="Item List"/>
    <w:link w:val="118"/>
    <w:qFormat/>
    <w:uiPriority w:val="0"/>
    <w:pPr>
      <w:numPr>
        <w:ilvl w:val="0"/>
        <w:numId w:val="7"/>
      </w:numPr>
      <w:adjustRightInd w:val="0"/>
      <w:snapToGrid w:val="0"/>
      <w:spacing w:before="80" w:after="80" w:line="240" w:lineRule="atLeast"/>
    </w:pPr>
    <w:rPr>
      <w:rFonts w:ascii="Songti SC" w:hAnsi="Songti SC" w:eastAsia="Songti SC" w:cs="宋体"/>
      <w:kern w:val="2"/>
      <w:sz w:val="21"/>
      <w:szCs w:val="22"/>
      <w:lang w:val="en-US" w:eastAsia="zh-CN" w:bidi="ar-SA"/>
    </w:rPr>
  </w:style>
  <w:style w:type="paragraph" w:customStyle="1" w:styleId="120">
    <w:name w:val="表格题注"/>
    <w:next w:val="1"/>
    <w:qFormat/>
    <w:uiPriority w:val="0"/>
    <w:pPr>
      <w:keepLines/>
      <w:numPr>
        <w:ilvl w:val="8"/>
        <w:numId w:val="8"/>
      </w:numPr>
      <w:spacing w:beforeLines="100" w:after="200" w:line="276" w:lineRule="auto"/>
      <w:ind w:left="1089" w:hanging="369"/>
      <w:jc w:val="center"/>
    </w:pPr>
    <w:rPr>
      <w:rFonts w:ascii="Songti SC" w:hAnsi="Songti SC" w:eastAsia="Songti SC" w:cs="宋体"/>
      <w:sz w:val="18"/>
      <w:szCs w:val="18"/>
      <w:lang w:val="en-US" w:eastAsia="en-US" w:bidi="en-US"/>
    </w:rPr>
  </w:style>
  <w:style w:type="paragraph" w:customStyle="1" w:styleId="121">
    <w:name w:val="插图题注"/>
    <w:next w:val="1"/>
    <w:link w:val="123"/>
    <w:qFormat/>
    <w:uiPriority w:val="0"/>
    <w:pPr>
      <w:numPr>
        <w:ilvl w:val="7"/>
        <w:numId w:val="8"/>
      </w:numPr>
      <w:spacing w:afterLines="100" w:line="276" w:lineRule="auto"/>
      <w:ind w:left="1089" w:hanging="369"/>
      <w:jc w:val="center"/>
    </w:pPr>
    <w:rPr>
      <w:rFonts w:ascii="Songti SC" w:hAnsi="Songti SC" w:eastAsia="Songti SC" w:cs="宋体"/>
      <w:sz w:val="18"/>
      <w:szCs w:val="18"/>
      <w:lang w:val="en-US" w:eastAsia="en-US" w:bidi="en-US"/>
    </w:rPr>
  </w:style>
  <w:style w:type="paragraph" w:customStyle="1" w:styleId="122">
    <w:name w:val="序4"/>
    <w:basedOn w:val="1"/>
    <w:qFormat/>
    <w:uiPriority w:val="0"/>
    <w:pPr>
      <w:widowControl/>
      <w:numPr>
        <w:ilvl w:val="0"/>
        <w:numId w:val="8"/>
      </w:numPr>
      <w:spacing w:before="120"/>
      <w:ind w:left="986" w:hanging="420"/>
      <w:jc w:val="left"/>
    </w:pPr>
    <w:rPr>
      <w:rFonts w:ascii="Songti SC" w:hAnsi="Songti SC" w:eastAsia="Songti SC"/>
      <w:b/>
      <w:bCs/>
      <w:caps/>
      <w:kern w:val="0"/>
      <w:lang w:eastAsia="en-US" w:bidi="en-US"/>
    </w:rPr>
  </w:style>
  <w:style w:type="character" w:customStyle="1" w:styleId="123">
    <w:name w:val="插图题注 Char"/>
    <w:link w:val="121"/>
    <w:qFormat/>
    <w:locked/>
    <w:uiPriority w:val="0"/>
    <w:rPr>
      <w:rFonts w:ascii="Songti SC" w:hAnsi="Songti SC" w:eastAsia="Songti SC" w:cs="宋体"/>
      <w:sz w:val="18"/>
      <w:szCs w:val="18"/>
      <w:lang w:eastAsia="en-US" w:bidi="en-US"/>
    </w:rPr>
  </w:style>
  <w:style w:type="paragraph" w:customStyle="1" w:styleId="124">
    <w:name w:val="样式 正文缩进 + 首行缩进:  2 字符"/>
    <w:basedOn w:val="13"/>
    <w:link w:val="125"/>
    <w:qFormat/>
    <w:uiPriority w:val="0"/>
    <w:pPr>
      <w:adjustRightInd w:val="0"/>
      <w:snapToGrid w:val="0"/>
      <w:ind w:firstLine="480"/>
      <w:jc w:val="left"/>
    </w:pPr>
    <w:rPr>
      <w:rFonts w:ascii="Songti SC" w:hAnsi="Songti SC" w:eastAsia="Songti SC" w:cstheme="minorBidi"/>
      <w:bCs/>
      <w:szCs w:val="20"/>
    </w:rPr>
  </w:style>
  <w:style w:type="character" w:customStyle="1" w:styleId="125">
    <w:name w:val="样式 正文缩进 + 首行缩进:  2 字符 Char"/>
    <w:link w:val="124"/>
    <w:qFormat/>
    <w:uiPriority w:val="0"/>
    <w:rPr>
      <w:rFonts w:ascii="Songti SC" w:hAnsi="Songti SC" w:eastAsia="Songti SC" w:cs="宋体"/>
      <w:bCs/>
      <w:sz w:val="24"/>
      <w:szCs w:val="20"/>
    </w:rPr>
  </w:style>
  <w:style w:type="paragraph" w:customStyle="1" w:styleId="126">
    <w:name w:val="）单括号正式样式"/>
    <w:basedOn w:val="86"/>
    <w:link w:val="520"/>
    <w:qFormat/>
    <w:uiPriority w:val="0"/>
    <w:pPr>
      <w:numPr>
        <w:ilvl w:val="0"/>
        <w:numId w:val="9"/>
      </w:numPr>
      <w:adjustRightInd w:val="0"/>
      <w:snapToGrid w:val="0"/>
      <w:ind w:firstLine="0" w:firstLineChars="0"/>
      <w:jc w:val="left"/>
    </w:pPr>
    <w:rPr>
      <w:rFonts w:ascii="Songti SC" w:hAnsi="Songti SC" w:eastAsia="Songti SC"/>
      <w:color w:val="000000"/>
      <w:kern w:val="0"/>
    </w:rPr>
  </w:style>
  <w:style w:type="paragraph" w:customStyle="1" w:styleId="127">
    <w:name w:val="正文 首行缩进:  2 字符 Char"/>
    <w:basedOn w:val="1"/>
    <w:qFormat/>
    <w:uiPriority w:val="0"/>
    <w:pPr>
      <w:ind w:firstLine="480"/>
    </w:pPr>
    <w:rPr>
      <w:rFonts w:ascii="Songti SC" w:hAnsi="Songti SC" w:eastAsia="Songti SC"/>
      <w:szCs w:val="20"/>
    </w:rPr>
  </w:style>
  <w:style w:type="paragraph" w:customStyle="1" w:styleId="128">
    <w:name w:val="MU-表格头部"/>
    <w:basedOn w:val="1"/>
    <w:qFormat/>
    <w:uiPriority w:val="0"/>
    <w:pPr>
      <w:widowControl/>
      <w:spacing w:line="240" w:lineRule="auto"/>
      <w:ind w:firstLine="0" w:firstLineChars="0"/>
      <w:jc w:val="center"/>
    </w:pPr>
    <w:rPr>
      <w:rFonts w:ascii="Songti SC" w:hAnsi="Songti SC" w:eastAsia="Songti SC"/>
      <w:b/>
      <w:bCs/>
      <w:kern w:val="0"/>
      <w:szCs w:val="21"/>
    </w:rPr>
  </w:style>
  <w:style w:type="paragraph" w:customStyle="1" w:styleId="129">
    <w:name w:val="MU-表格文字"/>
    <w:basedOn w:val="1"/>
    <w:qFormat/>
    <w:uiPriority w:val="0"/>
    <w:pPr>
      <w:widowControl/>
      <w:autoSpaceDE w:val="0"/>
      <w:autoSpaceDN w:val="0"/>
      <w:adjustRightInd w:val="0"/>
      <w:spacing w:line="240" w:lineRule="auto"/>
      <w:ind w:firstLine="0" w:firstLineChars="0"/>
      <w:jc w:val="center"/>
    </w:pPr>
    <w:rPr>
      <w:rFonts w:ascii="Songti SC" w:hAnsi="Songti SC" w:eastAsia="Songti SC"/>
      <w:bCs/>
      <w:kern w:val="0"/>
      <w:szCs w:val="21"/>
    </w:rPr>
  </w:style>
  <w:style w:type="character" w:customStyle="1" w:styleId="130">
    <w:name w:val="页眉 字符1"/>
    <w:basedOn w:val="70"/>
    <w:qFormat/>
    <w:uiPriority w:val="99"/>
    <w:rPr>
      <w:rFonts w:ascii="Songti SC" w:hAnsi="Songti SC" w:eastAsia="Songti SC"/>
      <w:sz w:val="18"/>
      <w:szCs w:val="18"/>
    </w:rPr>
  </w:style>
  <w:style w:type="paragraph" w:customStyle="1" w:styleId="131">
    <w:name w:val="Table Text"/>
    <w:basedOn w:val="1"/>
    <w:link w:val="133"/>
    <w:qFormat/>
    <w:uiPriority w:val="0"/>
    <w:pPr>
      <w:topLinePunct/>
      <w:adjustRightInd w:val="0"/>
      <w:snapToGrid w:val="0"/>
      <w:spacing w:before="80" w:after="80" w:line="240" w:lineRule="atLeast"/>
      <w:jc w:val="left"/>
    </w:pPr>
    <w:rPr>
      <w:rFonts w:ascii="Songti SC" w:hAnsi="Songti SC" w:eastAsia="Songti SC"/>
      <w:kern w:val="0"/>
      <w:sz w:val="21"/>
      <w:szCs w:val="21"/>
    </w:rPr>
  </w:style>
  <w:style w:type="paragraph" w:customStyle="1" w:styleId="132">
    <w:name w:val="Table Heading"/>
    <w:basedOn w:val="1"/>
    <w:link w:val="134"/>
    <w:autoRedefine/>
    <w:qFormat/>
    <w:uiPriority w:val="0"/>
    <w:pPr>
      <w:widowControl/>
      <w:spacing w:before="60" w:after="60" w:line="288" w:lineRule="auto"/>
      <w:jc w:val="center"/>
    </w:pPr>
    <w:rPr>
      <w:rFonts w:ascii="Songti SC" w:hAnsi="Songti SC" w:eastAsia="Songti SC"/>
      <w:b/>
      <w:bCs/>
      <w:kern w:val="0"/>
      <w:sz w:val="21"/>
      <w:lang w:val="zh-CN"/>
    </w:rPr>
  </w:style>
  <w:style w:type="character" w:customStyle="1" w:styleId="133">
    <w:name w:val="Table Text Char1"/>
    <w:link w:val="131"/>
    <w:qFormat/>
    <w:uiPriority w:val="0"/>
    <w:rPr>
      <w:rFonts w:ascii="Songti SC" w:hAnsi="Songti SC" w:eastAsia="Songti SC" w:cs="宋体"/>
      <w:kern w:val="0"/>
      <w:szCs w:val="21"/>
    </w:rPr>
  </w:style>
  <w:style w:type="character" w:customStyle="1" w:styleId="134">
    <w:name w:val="Table Heading Char"/>
    <w:link w:val="132"/>
    <w:qFormat/>
    <w:uiPriority w:val="0"/>
    <w:rPr>
      <w:rFonts w:ascii="Songti SC" w:hAnsi="Songti SC" w:eastAsia="Songti SC" w:cs="宋体"/>
      <w:b/>
      <w:bCs/>
      <w:kern w:val="0"/>
      <w:szCs w:val="24"/>
      <w:lang w:val="zh-CN" w:eastAsia="zh-CN"/>
    </w:rPr>
  </w:style>
  <w:style w:type="character" w:customStyle="1" w:styleId="135">
    <w:name w:val="正文（1.5行距） Char"/>
    <w:link w:val="136"/>
    <w:qFormat/>
    <w:locked/>
    <w:uiPriority w:val="0"/>
    <w:rPr>
      <w:rFonts w:ascii="Songti SC" w:hAnsi="Songti SC" w:eastAsia="Songti SC" w:cs="宋体"/>
      <w:sz w:val="24"/>
      <w:szCs w:val="24"/>
      <w:lang w:val="zh-CN" w:eastAsia="zh-CN"/>
    </w:rPr>
  </w:style>
  <w:style w:type="paragraph" w:customStyle="1" w:styleId="136">
    <w:name w:val="正文（1.5行距）"/>
    <w:basedOn w:val="1"/>
    <w:link w:val="135"/>
    <w:qFormat/>
    <w:uiPriority w:val="0"/>
    <w:pPr>
      <w:jc w:val="left"/>
    </w:pPr>
    <w:rPr>
      <w:rFonts w:ascii="Songti SC" w:hAnsi="Songti SC" w:eastAsia="Songti SC" w:cstheme="minorBidi"/>
      <w:lang w:val="zh-CN"/>
    </w:rPr>
  </w:style>
  <w:style w:type="character" w:customStyle="1" w:styleId="137">
    <w:name w:val="Figure Char"/>
    <w:basedOn w:val="70"/>
    <w:link w:val="138"/>
    <w:qFormat/>
    <w:locked/>
    <w:uiPriority w:val="0"/>
    <w:rPr>
      <w:rFonts w:ascii="Songti SC" w:hAnsi="Songti SC" w:eastAsia="Songti SC" w:cs="宋体"/>
    </w:rPr>
  </w:style>
  <w:style w:type="paragraph" w:customStyle="1" w:styleId="138">
    <w:name w:val="Figure"/>
    <w:basedOn w:val="1"/>
    <w:next w:val="1"/>
    <w:link w:val="137"/>
    <w:qFormat/>
    <w:uiPriority w:val="0"/>
    <w:pPr>
      <w:widowControl/>
      <w:topLinePunct/>
      <w:adjustRightInd w:val="0"/>
      <w:snapToGrid w:val="0"/>
      <w:spacing w:before="160" w:after="160" w:line="240" w:lineRule="atLeast"/>
      <w:ind w:left="1701"/>
      <w:jc w:val="left"/>
    </w:pPr>
    <w:rPr>
      <w:rFonts w:ascii="Songti SC" w:hAnsi="Songti SC" w:eastAsia="Songti SC"/>
      <w:sz w:val="21"/>
      <w:szCs w:val="22"/>
    </w:rPr>
  </w:style>
  <w:style w:type="character" w:customStyle="1" w:styleId="139">
    <w:name w:val="Figure Description Char"/>
    <w:basedOn w:val="70"/>
    <w:link w:val="140"/>
    <w:qFormat/>
    <w:locked/>
    <w:uiPriority w:val="0"/>
    <w:rPr>
      <w:rFonts w:ascii="Songti SC" w:hAnsi="Songti SC" w:eastAsia="Songti SC" w:cs="宋体"/>
      <w:spacing w:val="-4"/>
    </w:rPr>
  </w:style>
  <w:style w:type="paragraph" w:customStyle="1" w:styleId="140">
    <w:name w:val="Figure Description"/>
    <w:next w:val="138"/>
    <w:link w:val="139"/>
    <w:qFormat/>
    <w:uiPriority w:val="0"/>
    <w:pPr>
      <w:keepNext/>
      <w:adjustRightInd w:val="0"/>
      <w:snapToGrid w:val="0"/>
      <w:spacing w:before="320" w:after="80" w:line="240" w:lineRule="atLeast"/>
      <w:ind w:left="1701"/>
    </w:pPr>
    <w:rPr>
      <w:rFonts w:ascii="Songti SC" w:hAnsi="Songti SC" w:eastAsia="Songti SC" w:cs="宋体"/>
      <w:spacing w:val="-4"/>
      <w:kern w:val="2"/>
      <w:sz w:val="21"/>
      <w:szCs w:val="22"/>
      <w:lang w:val="en-US" w:eastAsia="zh-CN" w:bidi="ar-SA"/>
    </w:rPr>
  </w:style>
  <w:style w:type="paragraph" w:customStyle="1" w:styleId="141">
    <w:name w:val="Item Step"/>
    <w:link w:val="458"/>
    <w:qFormat/>
    <w:uiPriority w:val="0"/>
    <w:pPr>
      <w:tabs>
        <w:tab w:val="left" w:pos="2126"/>
      </w:tabs>
      <w:adjustRightInd w:val="0"/>
      <w:snapToGrid w:val="0"/>
      <w:spacing w:before="80" w:after="80" w:line="240" w:lineRule="atLeast"/>
      <w:ind w:left="2126" w:hanging="425"/>
      <w:outlineLvl w:val="6"/>
    </w:pPr>
    <w:rPr>
      <w:rFonts w:ascii="Songti SC" w:hAnsi="Songti SC" w:eastAsia="Songti SC" w:cs="宋体"/>
      <w:sz w:val="21"/>
      <w:szCs w:val="21"/>
      <w:lang w:val="en-US" w:eastAsia="zh-CN" w:bidi="ar-SA"/>
    </w:rPr>
  </w:style>
  <w:style w:type="paragraph" w:customStyle="1" w:styleId="142">
    <w:name w:val="Step"/>
    <w:basedOn w:val="1"/>
    <w:qFormat/>
    <w:uiPriority w:val="0"/>
    <w:pPr>
      <w:widowControl/>
      <w:tabs>
        <w:tab w:val="left" w:pos="1701"/>
      </w:tabs>
      <w:topLinePunct/>
      <w:adjustRightInd w:val="0"/>
      <w:snapToGrid w:val="0"/>
      <w:spacing w:before="160" w:after="160" w:line="240" w:lineRule="atLeast"/>
      <w:ind w:left="1701" w:hanging="159"/>
      <w:jc w:val="left"/>
      <w:outlineLvl w:val="5"/>
    </w:pPr>
    <w:rPr>
      <w:rFonts w:ascii="Songti SC" w:hAnsi="Songti SC" w:eastAsia="Songti SC"/>
      <w:kern w:val="0"/>
      <w:sz w:val="21"/>
      <w:szCs w:val="21"/>
    </w:rPr>
  </w:style>
  <w:style w:type="paragraph" w:customStyle="1" w:styleId="143">
    <w:name w:val="Table Description"/>
    <w:basedOn w:val="1"/>
    <w:next w:val="1"/>
    <w:qFormat/>
    <w:uiPriority w:val="0"/>
    <w:pPr>
      <w:keepNext/>
      <w:widowControl/>
      <w:topLinePunct/>
      <w:adjustRightInd w:val="0"/>
      <w:snapToGrid w:val="0"/>
      <w:spacing w:before="320" w:after="80" w:line="240" w:lineRule="atLeast"/>
      <w:ind w:left="1701"/>
      <w:jc w:val="left"/>
    </w:pPr>
    <w:rPr>
      <w:rFonts w:ascii="Songti SC" w:hAnsi="Songti SC" w:eastAsia="Songti SC"/>
      <w:spacing w:val="-4"/>
      <w:sz w:val="21"/>
      <w:szCs w:val="21"/>
    </w:rPr>
  </w:style>
  <w:style w:type="paragraph" w:customStyle="1" w:styleId="144">
    <w:name w:val="Block Label"/>
    <w:basedOn w:val="1"/>
    <w:next w:val="1"/>
    <w:qFormat/>
    <w:uiPriority w:val="0"/>
    <w:pPr>
      <w:keepNext/>
      <w:keepLines/>
      <w:widowControl/>
      <w:topLinePunct/>
      <w:adjustRightInd w:val="0"/>
      <w:snapToGrid w:val="0"/>
      <w:spacing w:before="300" w:after="80" w:line="240" w:lineRule="atLeast"/>
      <w:jc w:val="left"/>
      <w:outlineLvl w:val="3"/>
    </w:pPr>
    <w:rPr>
      <w:rFonts w:ascii="Songti SC" w:hAnsi="Songti SC" w:eastAsia="Songti SC"/>
      <w:bCs/>
      <w:kern w:val="0"/>
      <w:sz w:val="26"/>
      <w:szCs w:val="26"/>
    </w:rPr>
  </w:style>
  <w:style w:type="paragraph" w:customStyle="1" w:styleId="145">
    <w:name w:val="Notes Text list"/>
    <w:basedOn w:val="1"/>
    <w:qFormat/>
    <w:uiPriority w:val="0"/>
    <w:pPr>
      <w:widowControl/>
      <w:numPr>
        <w:ilvl w:val="0"/>
        <w:numId w:val="10"/>
      </w:numPr>
      <w:pBdr>
        <w:bottom w:val="single" w:color="auto" w:sz="8" w:space="5"/>
      </w:pBdr>
    </w:pPr>
    <w:rPr>
      <w:rFonts w:ascii="Songti SC" w:hAnsi="Songti SC" w:eastAsia="Songti SC"/>
      <w:kern w:val="0"/>
      <w:sz w:val="21"/>
      <w:szCs w:val="21"/>
    </w:rPr>
  </w:style>
  <w:style w:type="paragraph" w:customStyle="1" w:styleId="146">
    <w:name w:val="描述正文"/>
    <w:basedOn w:val="1"/>
    <w:qFormat/>
    <w:uiPriority w:val="0"/>
    <w:pPr>
      <w:widowControl/>
      <w:topLinePunct/>
      <w:adjustRightInd w:val="0"/>
      <w:snapToGrid w:val="0"/>
      <w:spacing w:before="160" w:after="160" w:line="240" w:lineRule="atLeast"/>
      <w:ind w:left="1701"/>
      <w:jc w:val="left"/>
    </w:pPr>
    <w:rPr>
      <w:rFonts w:ascii="Songti SC" w:hAnsi="Songti SC" w:eastAsia="Songti SC"/>
      <w:sz w:val="21"/>
      <w:szCs w:val="21"/>
    </w:rPr>
  </w:style>
  <w:style w:type="paragraph" w:customStyle="1" w:styleId="147">
    <w:name w:val="p0"/>
    <w:basedOn w:val="1"/>
    <w:qFormat/>
    <w:uiPriority w:val="0"/>
    <w:pPr>
      <w:widowControl/>
    </w:pPr>
    <w:rPr>
      <w:rFonts w:ascii="Songti SC" w:hAnsi="Songti SC" w:eastAsia="Songti SC"/>
      <w:kern w:val="0"/>
      <w:sz w:val="21"/>
      <w:szCs w:val="21"/>
    </w:rPr>
  </w:style>
  <w:style w:type="paragraph" w:customStyle="1" w:styleId="148">
    <w:name w:val="Item List in Table_2"/>
    <w:basedOn w:val="1"/>
    <w:qFormat/>
    <w:uiPriority w:val="0"/>
    <w:pPr>
      <w:widowControl/>
      <w:tabs>
        <w:tab w:val="left" w:pos="510"/>
      </w:tabs>
      <w:spacing w:before="80" w:after="80"/>
      <w:ind w:left="511" w:hanging="227"/>
      <w:jc w:val="left"/>
    </w:pPr>
    <w:rPr>
      <w:rFonts w:ascii="Songti SC" w:hAnsi="Songti SC" w:eastAsia="Songti SC"/>
      <w:sz w:val="18"/>
      <w:szCs w:val="18"/>
      <w:lang w:eastAsia="en-US"/>
    </w:rPr>
  </w:style>
  <w:style w:type="character" w:customStyle="1" w:styleId="149">
    <w:name w:val="Item List Char Char"/>
    <w:basedOn w:val="70"/>
    <w:qFormat/>
    <w:uiPriority w:val="0"/>
    <w:rPr>
      <w:rFonts w:ascii="Songti SC" w:hAnsi="Songti SC" w:eastAsia="Songti SC" w:cs="宋体"/>
      <w:sz w:val="24"/>
      <w:szCs w:val="20"/>
      <w:lang w:eastAsia="en-US"/>
    </w:rPr>
  </w:style>
  <w:style w:type="paragraph" w:customStyle="1" w:styleId="150">
    <w:name w:val="Item List_2"/>
    <w:basedOn w:val="119"/>
    <w:qFormat/>
    <w:uiPriority w:val="0"/>
    <w:pPr>
      <w:numPr>
        <w:numId w:val="0"/>
      </w:numPr>
      <w:tabs>
        <w:tab w:val="left" w:pos="360"/>
      </w:tabs>
      <w:adjustRightInd/>
      <w:snapToGrid/>
      <w:spacing w:before="40" w:line="240" w:lineRule="auto"/>
      <w:ind w:left="1575" w:hanging="420"/>
      <w:jc w:val="both"/>
    </w:pPr>
    <w:rPr>
      <w:rFonts w:ascii="Songti SC" w:hAnsi="Songti SC" w:eastAsia="Songti SC"/>
      <w:sz w:val="24"/>
      <w:szCs w:val="20"/>
      <w:lang w:eastAsia="en-US"/>
    </w:rPr>
  </w:style>
  <w:style w:type="paragraph" w:customStyle="1" w:styleId="151">
    <w:name w:val="Item List_3"/>
    <w:basedOn w:val="150"/>
    <w:qFormat/>
    <w:uiPriority w:val="0"/>
    <w:pPr>
      <w:ind w:left="1995"/>
    </w:pPr>
    <w:rPr>
      <w:rFonts w:ascii="Songti SC" w:hAnsi="Songti SC" w:eastAsia="Songti SC"/>
    </w:rPr>
  </w:style>
  <w:style w:type="paragraph" w:customStyle="1" w:styleId="152">
    <w:name w:val="Item List in Table"/>
    <w:basedOn w:val="1"/>
    <w:link w:val="532"/>
    <w:qFormat/>
    <w:uiPriority w:val="0"/>
    <w:pPr>
      <w:widowControl/>
      <w:tabs>
        <w:tab w:val="left" w:pos="284"/>
      </w:tabs>
      <w:spacing w:before="80" w:after="80"/>
      <w:ind w:left="284" w:hanging="284"/>
      <w:jc w:val="left"/>
    </w:pPr>
    <w:rPr>
      <w:rFonts w:ascii="Songti SC" w:hAnsi="Songti SC" w:eastAsia="Songti SC"/>
      <w:sz w:val="18"/>
      <w:szCs w:val="18"/>
      <w:lang w:eastAsia="en-US"/>
    </w:rPr>
  </w:style>
  <w:style w:type="paragraph" w:customStyle="1" w:styleId="153">
    <w:name w:val="Notes Text List in Table"/>
    <w:qFormat/>
    <w:uiPriority w:val="0"/>
    <w:pPr>
      <w:tabs>
        <w:tab w:val="left" w:pos="284"/>
      </w:tabs>
      <w:spacing w:before="80" w:after="80"/>
      <w:ind w:left="284" w:hanging="284"/>
      <w:jc w:val="both"/>
    </w:pPr>
    <w:rPr>
      <w:rFonts w:ascii="Songti SC" w:hAnsi="Songti SC" w:eastAsia="Songti SC" w:cs="宋体"/>
      <w:sz w:val="18"/>
      <w:szCs w:val="18"/>
      <w:lang w:val="en-US" w:eastAsia="zh-CN" w:bidi="ar-SA"/>
    </w:rPr>
  </w:style>
  <w:style w:type="paragraph" w:customStyle="1" w:styleId="154">
    <w:name w:val="TOC 标题1"/>
    <w:basedOn w:val="2"/>
    <w:next w:val="1"/>
    <w:unhideWhenUsed/>
    <w:qFormat/>
    <w:uiPriority w:val="39"/>
    <w:pPr>
      <w:widowControl/>
      <w:spacing w:line="259" w:lineRule="auto"/>
      <w:outlineLvl w:val="9"/>
    </w:pPr>
    <w:rPr>
      <w:rFonts w:ascii="Songti SC" w:hAnsi="Songti SC" w:eastAsia="Songti SC" w:cstheme="majorBidi"/>
      <w:b/>
      <w:bCs w:val="0"/>
      <w:color w:val="000000"/>
      <w:kern w:val="0"/>
      <w:sz w:val="32"/>
      <w:szCs w:val="32"/>
    </w:rPr>
  </w:style>
  <w:style w:type="paragraph" w:customStyle="1" w:styleId="155">
    <w:name w:val="GP正文(首行缩进)"/>
    <w:basedOn w:val="1"/>
    <w:qFormat/>
    <w:uiPriority w:val="0"/>
    <w:pPr>
      <w:jc w:val="left"/>
    </w:pPr>
    <w:rPr>
      <w:rFonts w:ascii="Songti SC" w:hAnsi="Songti SC" w:eastAsia="Songti SC"/>
      <w:szCs w:val="21"/>
    </w:rPr>
  </w:style>
  <w:style w:type="character" w:customStyle="1" w:styleId="156">
    <w:name w:val="12-E3-正文 Char Char"/>
    <w:link w:val="157"/>
    <w:qFormat/>
    <w:locked/>
    <w:uiPriority w:val="0"/>
    <w:rPr>
      <w:rFonts w:ascii="Songti SC" w:hAnsi="Songti SC" w:eastAsia="Songti SC" w:cs="宋体"/>
      <w:sz w:val="24"/>
      <w:szCs w:val="24"/>
    </w:rPr>
  </w:style>
  <w:style w:type="paragraph" w:customStyle="1" w:styleId="157">
    <w:name w:val="12-E3-正文"/>
    <w:basedOn w:val="1"/>
    <w:link w:val="156"/>
    <w:qFormat/>
    <w:uiPriority w:val="0"/>
    <w:pPr>
      <w:ind w:firstLine="420"/>
    </w:pPr>
    <w:rPr>
      <w:rFonts w:ascii="Songti SC" w:hAnsi="Songti SC" w:eastAsia="Songti SC" w:cstheme="minorBidi"/>
    </w:rPr>
  </w:style>
  <w:style w:type="paragraph" w:customStyle="1" w:styleId="158">
    <w:name w:val="正文1"/>
    <w:basedOn w:val="1"/>
    <w:link w:val="603"/>
    <w:qFormat/>
    <w:uiPriority w:val="0"/>
    <w:pPr>
      <w:widowControl/>
      <w:spacing w:before="50" w:after="50" w:line="400" w:lineRule="exact"/>
      <w:jc w:val="left"/>
    </w:pPr>
    <w:rPr>
      <w:rFonts w:ascii="Songti SC" w:hAnsi="Songti SC" w:eastAsia="Songti SC"/>
      <w:kern w:val="0"/>
      <w:lang w:eastAsia="en-US" w:bidi="en-US"/>
    </w:rPr>
  </w:style>
  <w:style w:type="character" w:customStyle="1" w:styleId="159">
    <w:name w:val="list_0020paragraph__char"/>
    <w:basedOn w:val="70"/>
    <w:qFormat/>
    <w:uiPriority w:val="0"/>
    <w:rPr>
      <w:rFonts w:ascii="Songti SC" w:hAnsi="Songti SC" w:eastAsia="Songti SC"/>
    </w:rPr>
  </w:style>
  <w:style w:type="character" w:customStyle="1" w:styleId="160">
    <w:name w:val="normal__char"/>
    <w:basedOn w:val="70"/>
    <w:qFormat/>
    <w:uiPriority w:val="0"/>
    <w:rPr>
      <w:rFonts w:ascii="Songti SC" w:hAnsi="Songti SC" w:eastAsia="Songti SC"/>
    </w:rPr>
  </w:style>
  <w:style w:type="character" w:customStyle="1" w:styleId="161">
    <w:name w:val="HTML 预设格式 字符"/>
    <w:basedOn w:val="70"/>
    <w:link w:val="53"/>
    <w:qFormat/>
    <w:uiPriority w:val="99"/>
    <w:rPr>
      <w:rFonts w:ascii="Songti SC" w:hAnsi="Songti SC" w:eastAsia="Songti SC" w:cs="宋体"/>
      <w:kern w:val="0"/>
      <w:sz w:val="24"/>
      <w:szCs w:val="24"/>
    </w:rPr>
  </w:style>
  <w:style w:type="character" w:customStyle="1" w:styleId="162">
    <w:name w:val="pln"/>
    <w:basedOn w:val="70"/>
    <w:qFormat/>
    <w:uiPriority w:val="0"/>
    <w:rPr>
      <w:rFonts w:ascii="Songti SC" w:hAnsi="Songti SC" w:eastAsia="Songti SC"/>
    </w:rPr>
  </w:style>
  <w:style w:type="character" w:customStyle="1" w:styleId="163">
    <w:name w:val="tag"/>
    <w:basedOn w:val="70"/>
    <w:qFormat/>
    <w:uiPriority w:val="0"/>
    <w:rPr>
      <w:rFonts w:ascii="Songti SC" w:hAnsi="Songti SC" w:eastAsia="Songti SC"/>
    </w:rPr>
  </w:style>
  <w:style w:type="character" w:customStyle="1" w:styleId="164">
    <w:name w:val="日期 字符"/>
    <w:basedOn w:val="70"/>
    <w:link w:val="33"/>
    <w:qFormat/>
    <w:uiPriority w:val="99"/>
    <w:rPr>
      <w:rFonts w:ascii="Songti SC" w:hAnsi="Songti SC" w:eastAsia="Songti SC" w:cs="宋体"/>
      <w:kern w:val="0"/>
      <w:sz w:val="18"/>
      <w:szCs w:val="18"/>
    </w:rPr>
  </w:style>
  <w:style w:type="paragraph" w:customStyle="1" w:styleId="165">
    <w:name w:val="文件标题1.1"/>
    <w:basedOn w:val="1"/>
    <w:link w:val="166"/>
    <w:qFormat/>
    <w:uiPriority w:val="0"/>
    <w:pPr>
      <w:numPr>
        <w:ilvl w:val="1"/>
        <w:numId w:val="11"/>
      </w:numPr>
      <w:jc w:val="left"/>
      <w:outlineLvl w:val="1"/>
    </w:pPr>
    <w:rPr>
      <w:rFonts w:ascii="Songti SC" w:hAnsi="Songti SC" w:eastAsia="Songti SC"/>
      <w:b/>
    </w:rPr>
  </w:style>
  <w:style w:type="character" w:customStyle="1" w:styleId="166">
    <w:name w:val="文件标题1.1 Char Char"/>
    <w:link w:val="165"/>
    <w:qFormat/>
    <w:uiPriority w:val="0"/>
    <w:rPr>
      <w:rFonts w:ascii="Songti SC" w:hAnsi="Songti SC" w:eastAsia="Songti SC" w:cs="宋体"/>
      <w:b/>
      <w:kern w:val="2"/>
      <w:sz w:val="24"/>
      <w:szCs w:val="24"/>
    </w:rPr>
  </w:style>
  <w:style w:type="character" w:customStyle="1" w:styleId="167">
    <w:name w:val="文档结构图 字符"/>
    <w:basedOn w:val="70"/>
    <w:link w:val="17"/>
    <w:qFormat/>
    <w:uiPriority w:val="0"/>
    <w:rPr>
      <w:rFonts w:ascii="Songti SC" w:hAnsi="Songti SC" w:eastAsia="Songti SC" w:cs="宋体"/>
      <w:sz w:val="18"/>
      <w:szCs w:val="18"/>
    </w:rPr>
  </w:style>
  <w:style w:type="paragraph" w:customStyle="1" w:styleId="168">
    <w:name w:val="图和表标题1"/>
    <w:basedOn w:val="1"/>
    <w:next w:val="1"/>
    <w:unhideWhenUsed/>
    <w:qFormat/>
    <w:uiPriority w:val="0"/>
    <w:rPr>
      <w:rFonts w:ascii="Songti SC" w:hAnsi="Songti SC" w:eastAsia="Songti SC"/>
      <w:sz w:val="20"/>
      <w:szCs w:val="20"/>
    </w:rPr>
  </w:style>
  <w:style w:type="paragraph" w:styleId="169">
    <w:name w:val="No Spacing"/>
    <w:link w:val="189"/>
    <w:qFormat/>
    <w:uiPriority w:val="1"/>
    <w:pPr>
      <w:widowControl w:val="0"/>
      <w:ind w:firstLine="200" w:firstLineChars="200"/>
      <w:jc w:val="both"/>
    </w:pPr>
    <w:rPr>
      <w:rFonts w:ascii="Songti SC" w:hAnsi="Songti SC" w:eastAsia="Songti SC" w:cs="宋体"/>
      <w:kern w:val="2"/>
      <w:sz w:val="32"/>
      <w:szCs w:val="24"/>
      <w:lang w:val="en-US" w:eastAsia="zh-CN" w:bidi="ar-SA"/>
    </w:rPr>
  </w:style>
  <w:style w:type="paragraph" w:customStyle="1" w:styleId="170">
    <w:name w:val="表格非标题文字"/>
    <w:link w:val="171"/>
    <w:qFormat/>
    <w:uiPriority w:val="0"/>
    <w:pPr>
      <w:snapToGrid w:val="0"/>
      <w:spacing w:before="80" w:after="40"/>
    </w:pPr>
    <w:rPr>
      <w:rFonts w:ascii="Songti SC" w:hAnsi="Songti SC" w:eastAsia="Songti SC" w:cstheme="minorBidi"/>
      <w:kern w:val="2"/>
      <w:sz w:val="18"/>
      <w:szCs w:val="21"/>
      <w:lang w:val="en-US" w:eastAsia="zh-CN" w:bidi="ar-SA"/>
    </w:rPr>
  </w:style>
  <w:style w:type="character" w:customStyle="1" w:styleId="171">
    <w:name w:val="表格非标题文字 Char"/>
    <w:basedOn w:val="70"/>
    <w:link w:val="170"/>
    <w:qFormat/>
    <w:uiPriority w:val="0"/>
    <w:rPr>
      <w:rFonts w:ascii="Songti SC" w:hAnsi="Songti SC" w:eastAsia="Songti SC" w:cs="宋体"/>
      <w:sz w:val="18"/>
      <w:szCs w:val="21"/>
    </w:rPr>
  </w:style>
  <w:style w:type="table" w:customStyle="1" w:styleId="172">
    <w:name w:val="Table"/>
    <w:basedOn w:val="61"/>
    <w:qFormat/>
    <w:uiPriority w:val="99"/>
    <w:pPr>
      <w:widowControl w:val="0"/>
      <w:snapToGrid w:val="0"/>
      <w:spacing w:before="80"/>
    </w:pPr>
    <w:rPr>
      <w:rFonts w:ascii="Songti SC" w:hAnsi="Songti SC" w:eastAsia="Songti SC" w:cs="宋体"/>
      <w:sz w:val="18"/>
      <w:szCs w:val="20"/>
    </w:rPr>
    <w:tblPr>
      <w:tblBorders>
        <w:top w:val="single" w:color="auto" w:sz="8" w:space="0"/>
        <w:bottom w:val="single" w:color="auto" w:sz="8" w:space="0"/>
        <w:insideH w:val="single" w:color="808080" w:sz="4" w:space="0"/>
        <w:insideV w:val="single" w:color="808080" w:sz="4" w:space="0"/>
      </w:tblBorders>
    </w:tblPr>
    <w:tcPr>
      <w:vAlign w:val="center"/>
    </w:tcPr>
    <w:tblStylePr w:type="firstRow">
      <w:pPr>
        <w:wordWrap/>
        <w:ind w:left="0" w:leftChars="0"/>
      </w:pPr>
      <w:tcPr>
        <w:tcBorders>
          <w:top w:val="single" w:color="auto" w:sz="8" w:space="0"/>
          <w:left w:val="nil"/>
          <w:bottom w:val="single" w:color="808080" w:sz="4" w:space="0"/>
          <w:right w:val="nil"/>
          <w:insideH w:val="nil"/>
          <w:insideV w:val="single" w:sz="4" w:space="0"/>
          <w:tl2br w:val="nil"/>
          <w:tr2bl w:val="nil"/>
        </w:tcBorders>
        <w:shd w:val="clear" w:color="auto" w:fill="D9D9D9"/>
      </w:tcPr>
    </w:tblStylePr>
    <w:tblStylePr w:type="lastRow">
      <w:tcPr>
        <w:tcBorders>
          <w:top w:val="single" w:color="808080" w:sz="4" w:space="0"/>
          <w:left w:val="nil"/>
          <w:bottom w:val="single" w:color="auto" w:sz="8" w:space="0"/>
          <w:right w:val="nil"/>
          <w:insideH w:val="nil"/>
          <w:insideV w:val="single" w:sz="4" w:space="0"/>
          <w:tl2br w:val="nil"/>
          <w:tr2bl w:val="nil"/>
        </w:tcBorders>
      </w:tcPr>
    </w:tblStylePr>
  </w:style>
  <w:style w:type="table" w:customStyle="1" w:styleId="173">
    <w:name w:val="网格型2"/>
    <w:basedOn w:val="60"/>
    <w:qFormat/>
    <w:uiPriority w:val="39"/>
    <w:rPr>
      <w:rFonts w:ascii="Songti SC" w:hAnsi="Songti SC" w:eastAsia="Songti SC" w:cs="宋体"/>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customStyle="1" w:styleId="174">
    <w:name w:val="itemlist"/>
    <w:basedOn w:val="1"/>
    <w:qFormat/>
    <w:uiPriority w:val="0"/>
    <w:pPr>
      <w:widowControl/>
      <w:spacing w:before="100" w:beforeAutospacing="1" w:after="100" w:afterAutospacing="1"/>
      <w:jc w:val="left"/>
    </w:pPr>
    <w:rPr>
      <w:rFonts w:ascii="Songti SC" w:hAnsi="Songti SC" w:eastAsia="Songti SC"/>
      <w:kern w:val="0"/>
    </w:rPr>
  </w:style>
  <w:style w:type="character" w:customStyle="1" w:styleId="175">
    <w:name w:val="正文缩进 字符"/>
    <w:link w:val="13"/>
    <w:qFormat/>
    <w:uiPriority w:val="0"/>
    <w:rPr>
      <w:rFonts w:ascii="Songti SC" w:hAnsi="Songti SC" w:eastAsia="Songti SC" w:cs="宋体"/>
      <w:sz w:val="32"/>
      <w:szCs w:val="24"/>
    </w:rPr>
  </w:style>
  <w:style w:type="character" w:customStyle="1" w:styleId="176">
    <w:name w:val="不明显强调1"/>
    <w:basedOn w:val="70"/>
    <w:qFormat/>
    <w:uiPriority w:val="19"/>
    <w:rPr>
      <w:rFonts w:ascii="Songti SC" w:hAnsi="Songti SC" w:eastAsia="Songti SC"/>
      <w:i/>
      <w:iCs/>
      <w:color w:val="000000"/>
    </w:rPr>
  </w:style>
  <w:style w:type="character" w:customStyle="1" w:styleId="177">
    <w:name w:val="正文2 Char"/>
    <w:link w:val="178"/>
    <w:qFormat/>
    <w:locked/>
    <w:uiPriority w:val="0"/>
    <w:rPr>
      <w:rFonts w:ascii="Songti SC" w:hAnsi="Songti SC" w:eastAsia="Songti SC"/>
      <w:sz w:val="24"/>
    </w:rPr>
  </w:style>
  <w:style w:type="paragraph" w:customStyle="1" w:styleId="178">
    <w:name w:val="正文2"/>
    <w:basedOn w:val="1"/>
    <w:link w:val="177"/>
    <w:qFormat/>
    <w:uiPriority w:val="0"/>
    <w:pPr>
      <w:spacing w:before="156"/>
      <w:ind w:firstLine="510"/>
    </w:pPr>
    <w:rPr>
      <w:rFonts w:ascii="Songti SC" w:hAnsi="Songti SC" w:eastAsia="Songti SC" w:cstheme="minorBidi"/>
      <w:szCs w:val="22"/>
    </w:rPr>
  </w:style>
  <w:style w:type="paragraph" w:customStyle="1" w:styleId="179">
    <w:name w:val="摘要"/>
    <w:basedOn w:val="1"/>
    <w:qFormat/>
    <w:uiPriority w:val="0"/>
    <w:pPr>
      <w:widowControl/>
      <w:tabs>
        <w:tab w:val="left" w:pos="851"/>
      </w:tabs>
      <w:autoSpaceDE w:val="0"/>
      <w:autoSpaceDN w:val="0"/>
      <w:adjustRightInd w:val="0"/>
      <w:spacing w:before="80" w:after="80"/>
      <w:ind w:left="850" w:hanging="850" w:hangingChars="403"/>
    </w:pPr>
    <w:rPr>
      <w:rFonts w:ascii="Songti SC" w:hAnsi="Songti SC" w:eastAsia="Songti SC"/>
      <w:kern w:val="0"/>
      <w:szCs w:val="21"/>
    </w:rPr>
  </w:style>
  <w:style w:type="paragraph" w:customStyle="1" w:styleId="180">
    <w:name w:val="a"/>
    <w:basedOn w:val="1"/>
    <w:qFormat/>
    <w:uiPriority w:val="0"/>
    <w:pPr>
      <w:widowControl/>
      <w:spacing w:before="100" w:beforeAutospacing="1" w:after="100" w:afterAutospacing="1"/>
      <w:jc w:val="left"/>
    </w:pPr>
    <w:rPr>
      <w:rFonts w:ascii="Songti SC" w:hAnsi="Songti SC" w:eastAsia="Songti SC"/>
      <w:kern w:val="0"/>
    </w:rPr>
  </w:style>
  <w:style w:type="paragraph" w:customStyle="1" w:styleId="181">
    <w:name w:val="Char Char Char Char Char Char Char"/>
    <w:basedOn w:val="1"/>
    <w:qFormat/>
    <w:uiPriority w:val="0"/>
    <w:pPr>
      <w:spacing w:after="200" w:line="276" w:lineRule="auto"/>
    </w:pPr>
    <w:rPr>
      <w:rFonts w:ascii="Songti SC" w:hAnsi="Songti SC" w:eastAsia="Songti SC"/>
      <w:szCs w:val="22"/>
      <w:lang w:bidi="en-US"/>
    </w:rPr>
  </w:style>
  <w:style w:type="paragraph" w:customStyle="1" w:styleId="182">
    <w:name w:val="正文（首行不缩进）"/>
    <w:basedOn w:val="1"/>
    <w:qFormat/>
    <w:uiPriority w:val="0"/>
    <w:pPr>
      <w:spacing w:after="156" w:afterLines="50" w:line="240" w:lineRule="auto"/>
      <w:ind w:firstLine="31" w:firstLineChars="13"/>
    </w:pPr>
    <w:rPr>
      <w:rFonts w:ascii="Songti SC" w:hAnsi="Songti SC" w:eastAsia="Songti SC"/>
      <w:lang w:bidi="en-US"/>
    </w:rPr>
  </w:style>
  <w:style w:type="paragraph" w:customStyle="1" w:styleId="183">
    <w:name w:val="标题4"/>
    <w:basedOn w:val="5"/>
    <w:qFormat/>
    <w:uiPriority w:val="0"/>
    <w:pPr>
      <w:spacing w:before="160" w:after="160" w:line="160" w:lineRule="atLeast"/>
      <w:ind w:right="210" w:rightChars="100"/>
    </w:pPr>
    <w:rPr>
      <w:rFonts w:ascii="Songti SC" w:hAnsi="Songti SC" w:eastAsia="Songti SC"/>
    </w:rPr>
  </w:style>
  <w:style w:type="paragraph" w:customStyle="1" w:styleId="184">
    <w:name w:val="缺省文本"/>
    <w:basedOn w:val="1"/>
    <w:link w:val="235"/>
    <w:qFormat/>
    <w:uiPriority w:val="0"/>
    <w:pPr>
      <w:autoSpaceDE w:val="0"/>
      <w:autoSpaceDN w:val="0"/>
      <w:adjustRightInd w:val="0"/>
      <w:spacing w:after="200" w:line="276" w:lineRule="auto"/>
      <w:jc w:val="left"/>
    </w:pPr>
    <w:rPr>
      <w:rFonts w:ascii="Songti SC" w:hAnsi="Songti SC" w:eastAsia="Songti SC"/>
      <w:kern w:val="0"/>
      <w:lang w:bidi="en-US"/>
    </w:rPr>
  </w:style>
  <w:style w:type="paragraph" w:customStyle="1" w:styleId="185">
    <w:name w:val="Char Char Char1"/>
    <w:basedOn w:val="1"/>
    <w:qFormat/>
    <w:uiPriority w:val="0"/>
    <w:pPr>
      <w:spacing w:after="200" w:line="276" w:lineRule="auto"/>
    </w:pPr>
    <w:rPr>
      <w:rFonts w:ascii="Songti SC" w:hAnsi="Songti SC" w:eastAsia="Songti SC"/>
      <w:szCs w:val="22"/>
      <w:lang w:bidi="en-US"/>
    </w:rPr>
  </w:style>
  <w:style w:type="paragraph" w:customStyle="1" w:styleId="186">
    <w:name w:val="text"/>
    <w:basedOn w:val="1"/>
    <w:qFormat/>
    <w:uiPriority w:val="0"/>
    <w:pPr>
      <w:widowControl/>
      <w:spacing w:after="200" w:line="276" w:lineRule="auto"/>
      <w:jc w:val="left"/>
    </w:pPr>
    <w:rPr>
      <w:rFonts w:ascii="Songti SC" w:hAnsi="Songti SC" w:eastAsia="Songti SC"/>
      <w:kern w:val="0"/>
      <w:szCs w:val="22"/>
      <w:lang w:eastAsia="en-US" w:bidi="en-US"/>
    </w:rPr>
  </w:style>
  <w:style w:type="character" w:customStyle="1" w:styleId="187">
    <w:name w:val="标题 字符"/>
    <w:basedOn w:val="70"/>
    <w:link w:val="56"/>
    <w:qFormat/>
    <w:uiPriority w:val="0"/>
    <w:rPr>
      <w:rFonts w:ascii="Songti SC" w:hAnsi="Songti SC" w:eastAsia="Songti SC" w:cs="宋体"/>
      <w:b/>
      <w:smallCaps/>
      <w:kern w:val="0"/>
      <w:sz w:val="44"/>
      <w:szCs w:val="52"/>
    </w:rPr>
  </w:style>
  <w:style w:type="character" w:customStyle="1" w:styleId="188">
    <w:name w:val="副标题 字符"/>
    <w:basedOn w:val="70"/>
    <w:link w:val="43"/>
    <w:qFormat/>
    <w:uiPriority w:val="0"/>
    <w:rPr>
      <w:rFonts w:ascii="Songti SC" w:hAnsi="Songti SC" w:eastAsia="Songti SC" w:cs="宋体"/>
      <w:i/>
      <w:iCs/>
      <w:smallCaps/>
      <w:spacing w:val="10"/>
      <w:kern w:val="0"/>
      <w:sz w:val="28"/>
      <w:szCs w:val="28"/>
    </w:rPr>
  </w:style>
  <w:style w:type="character" w:customStyle="1" w:styleId="189">
    <w:name w:val="无间隔 字符"/>
    <w:basedOn w:val="70"/>
    <w:link w:val="169"/>
    <w:qFormat/>
    <w:uiPriority w:val="0"/>
    <w:rPr>
      <w:rFonts w:ascii="Songti SC" w:hAnsi="Songti SC" w:eastAsia="Songti SC" w:cs="宋体"/>
      <w:sz w:val="32"/>
      <w:szCs w:val="24"/>
    </w:rPr>
  </w:style>
  <w:style w:type="paragraph" w:styleId="190">
    <w:name w:val="Quote"/>
    <w:basedOn w:val="1"/>
    <w:next w:val="1"/>
    <w:link w:val="191"/>
    <w:qFormat/>
    <w:uiPriority w:val="29"/>
    <w:pPr>
      <w:widowControl/>
      <w:spacing w:after="200" w:line="276" w:lineRule="auto"/>
      <w:jc w:val="left"/>
    </w:pPr>
    <w:rPr>
      <w:rFonts w:ascii="Songti SC" w:hAnsi="Songti SC" w:eastAsia="Songti SC"/>
      <w:i/>
      <w:iCs/>
      <w:kern w:val="0"/>
      <w:sz w:val="20"/>
      <w:szCs w:val="20"/>
    </w:rPr>
  </w:style>
  <w:style w:type="character" w:customStyle="1" w:styleId="191">
    <w:name w:val="引用 字符"/>
    <w:basedOn w:val="70"/>
    <w:link w:val="190"/>
    <w:qFormat/>
    <w:uiPriority w:val="29"/>
    <w:rPr>
      <w:rFonts w:ascii="Songti SC" w:hAnsi="Songti SC" w:eastAsia="Songti SC" w:cs="宋体"/>
      <w:i/>
      <w:iCs/>
      <w:kern w:val="0"/>
      <w:sz w:val="20"/>
      <w:szCs w:val="20"/>
    </w:rPr>
  </w:style>
  <w:style w:type="paragraph" w:styleId="192">
    <w:name w:val="Intense Quote"/>
    <w:basedOn w:val="1"/>
    <w:next w:val="1"/>
    <w:link w:val="193"/>
    <w:qFormat/>
    <w:uiPriority w:val="30"/>
    <w:pPr>
      <w:widowControl/>
      <w:pBdr>
        <w:top w:val="single" w:color="auto" w:sz="4" w:space="10"/>
        <w:bottom w:val="single" w:color="auto" w:sz="4" w:space="10"/>
      </w:pBdr>
      <w:spacing w:before="240" w:after="240" w:line="300" w:lineRule="auto"/>
      <w:ind w:left="1152" w:right="1152"/>
    </w:pPr>
    <w:rPr>
      <w:rFonts w:ascii="Songti SC" w:hAnsi="Songti SC" w:eastAsia="Songti SC"/>
      <w:i/>
      <w:iCs/>
      <w:kern w:val="0"/>
      <w:sz w:val="20"/>
      <w:szCs w:val="20"/>
    </w:rPr>
  </w:style>
  <w:style w:type="character" w:customStyle="1" w:styleId="193">
    <w:name w:val="明显引用 字符"/>
    <w:basedOn w:val="70"/>
    <w:link w:val="192"/>
    <w:qFormat/>
    <w:uiPriority w:val="30"/>
    <w:rPr>
      <w:rFonts w:ascii="Songti SC" w:hAnsi="Songti SC" w:eastAsia="Songti SC" w:cs="宋体"/>
      <w:i/>
      <w:iCs/>
      <w:kern w:val="0"/>
      <w:sz w:val="20"/>
      <w:szCs w:val="20"/>
    </w:rPr>
  </w:style>
  <w:style w:type="character" w:customStyle="1" w:styleId="194">
    <w:name w:val="明显强调1"/>
    <w:qFormat/>
    <w:uiPriority w:val="21"/>
    <w:rPr>
      <w:rFonts w:ascii="Songti SC" w:hAnsi="Songti SC" w:eastAsia="Songti SC"/>
      <w:b/>
      <w:bCs/>
      <w:i/>
      <w:iCs/>
    </w:rPr>
  </w:style>
  <w:style w:type="character" w:customStyle="1" w:styleId="195">
    <w:name w:val="不明显参考1"/>
    <w:qFormat/>
    <w:uiPriority w:val="31"/>
    <w:rPr>
      <w:rFonts w:ascii="Songti SC" w:hAnsi="Songti SC" w:eastAsia="Songti SC"/>
      <w:smallCaps/>
    </w:rPr>
  </w:style>
  <w:style w:type="character" w:customStyle="1" w:styleId="196">
    <w:name w:val="明显参考1"/>
    <w:qFormat/>
    <w:uiPriority w:val="32"/>
    <w:rPr>
      <w:rFonts w:ascii="Songti SC" w:hAnsi="Songti SC" w:eastAsia="Songti SC"/>
      <w:b/>
      <w:bCs/>
      <w:smallCaps/>
    </w:rPr>
  </w:style>
  <w:style w:type="character" w:customStyle="1" w:styleId="197">
    <w:name w:val="书籍标题1"/>
    <w:qFormat/>
    <w:uiPriority w:val="33"/>
    <w:rPr>
      <w:rFonts w:ascii="Songti SC" w:hAnsi="Songti SC" w:eastAsia="Songti SC"/>
      <w:i/>
      <w:iCs/>
      <w:smallCaps/>
      <w:spacing w:val="5"/>
    </w:rPr>
  </w:style>
  <w:style w:type="paragraph" w:customStyle="1" w:styleId="198">
    <w:name w:val="biaoti 1.1.1"/>
    <w:basedOn w:val="1"/>
    <w:link w:val="200"/>
    <w:qFormat/>
    <w:uiPriority w:val="0"/>
    <w:pPr>
      <w:widowControl/>
      <w:numPr>
        <w:ilvl w:val="0"/>
        <w:numId w:val="12"/>
      </w:numPr>
      <w:spacing w:after="200" w:line="276" w:lineRule="auto"/>
      <w:jc w:val="left"/>
    </w:pPr>
    <w:rPr>
      <w:rFonts w:ascii="Songti SC" w:hAnsi="Songti SC" w:eastAsia="Songti SC"/>
      <w:b/>
      <w:color w:val="000000"/>
      <w:kern w:val="0"/>
      <w:szCs w:val="21"/>
      <w:lang w:bidi="en-US"/>
    </w:rPr>
  </w:style>
  <w:style w:type="paragraph" w:customStyle="1" w:styleId="199">
    <w:name w:val="样式1 1"/>
    <w:basedOn w:val="2"/>
    <w:link w:val="202"/>
    <w:qFormat/>
    <w:uiPriority w:val="0"/>
    <w:pPr>
      <w:keepNext w:val="0"/>
      <w:widowControl/>
      <w:numPr>
        <w:numId w:val="0"/>
      </w:numPr>
      <w:spacing w:before="480" w:line="276" w:lineRule="auto"/>
      <w:ind w:left="425" w:hanging="425"/>
      <w:contextualSpacing/>
    </w:pPr>
    <w:rPr>
      <w:rFonts w:ascii="Songti SC" w:hAnsi="Songti SC" w:eastAsia="Songti SC"/>
      <w:bCs w:val="0"/>
      <w:smallCaps/>
      <w:spacing w:val="5"/>
      <w:kern w:val="0"/>
      <w:sz w:val="32"/>
      <w:szCs w:val="36"/>
    </w:rPr>
  </w:style>
  <w:style w:type="character" w:customStyle="1" w:styleId="200">
    <w:name w:val="biaoti 1.1.1 Char"/>
    <w:link w:val="198"/>
    <w:qFormat/>
    <w:uiPriority w:val="0"/>
    <w:rPr>
      <w:rFonts w:ascii="Songti SC" w:hAnsi="Songti SC" w:eastAsia="Songti SC" w:cs="宋体"/>
      <w:b/>
      <w:color w:val="000000"/>
      <w:sz w:val="24"/>
      <w:szCs w:val="21"/>
      <w:lang w:bidi="en-US"/>
    </w:rPr>
  </w:style>
  <w:style w:type="paragraph" w:customStyle="1" w:styleId="201">
    <w:name w:val="样式2 1.1"/>
    <w:basedOn w:val="3"/>
    <w:link w:val="204"/>
    <w:qFormat/>
    <w:uiPriority w:val="0"/>
    <w:pPr>
      <w:keepNext w:val="0"/>
      <w:widowControl/>
      <w:numPr>
        <w:ilvl w:val="0"/>
        <w:numId w:val="13"/>
      </w:numPr>
      <w:spacing w:before="200" w:line="271" w:lineRule="auto"/>
      <w:ind w:right="100" w:rightChars="100"/>
    </w:pPr>
    <w:rPr>
      <w:rFonts w:ascii="Songti SC" w:hAnsi="Songti SC" w:eastAsia="Songti SC"/>
      <w:bCs/>
      <w:smallCaps/>
      <w:kern w:val="0"/>
      <w:szCs w:val="21"/>
    </w:rPr>
  </w:style>
  <w:style w:type="character" w:customStyle="1" w:styleId="202">
    <w:name w:val="样式1 1 Char"/>
    <w:link w:val="199"/>
    <w:qFormat/>
    <w:uiPriority w:val="0"/>
    <w:rPr>
      <w:rFonts w:ascii="Songti SC" w:hAnsi="Songti SC" w:eastAsia="Songti SC" w:cs="宋体"/>
      <w:smallCaps/>
      <w:spacing w:val="5"/>
      <w:sz w:val="32"/>
      <w:szCs w:val="36"/>
      <w:lang w:bidi="en-US"/>
    </w:rPr>
  </w:style>
  <w:style w:type="paragraph" w:customStyle="1" w:styleId="203">
    <w:name w:val="样式3 1.1.1"/>
    <w:basedOn w:val="201"/>
    <w:link w:val="206"/>
    <w:qFormat/>
    <w:uiPriority w:val="0"/>
    <w:pPr>
      <w:numPr>
        <w:numId w:val="0"/>
      </w:numPr>
      <w:outlineLvl w:val="3"/>
    </w:pPr>
    <w:rPr>
      <w:rFonts w:ascii="Songti SC" w:hAnsi="Songti SC" w:eastAsia="Songti SC"/>
      <w:sz w:val="24"/>
    </w:rPr>
  </w:style>
  <w:style w:type="character" w:customStyle="1" w:styleId="204">
    <w:name w:val="样式2 1.1 Char"/>
    <w:link w:val="201"/>
    <w:qFormat/>
    <w:uiPriority w:val="0"/>
    <w:rPr>
      <w:rFonts w:ascii="Songti SC" w:hAnsi="Songti SC" w:eastAsia="Songti SC" w:cs="宋体"/>
      <w:b/>
      <w:bCs/>
      <w:iCs/>
      <w:smallCaps/>
      <w:sz w:val="32"/>
      <w:szCs w:val="21"/>
      <w:lang w:eastAsia="en-US" w:bidi="en-US"/>
    </w:rPr>
  </w:style>
  <w:style w:type="paragraph" w:customStyle="1" w:styleId="205">
    <w:name w:val="样式"/>
    <w:basedOn w:val="56"/>
    <w:link w:val="207"/>
    <w:qFormat/>
    <w:uiPriority w:val="0"/>
    <w:rPr>
      <w:rFonts w:ascii="Songti SC" w:hAnsi="Songti SC" w:eastAsia="Songti SC"/>
    </w:rPr>
  </w:style>
  <w:style w:type="character" w:customStyle="1" w:styleId="206">
    <w:name w:val="样式3 1.1.1 Char"/>
    <w:link w:val="203"/>
    <w:qFormat/>
    <w:uiPriority w:val="0"/>
    <w:rPr>
      <w:rFonts w:ascii="Songti SC" w:hAnsi="Songti SC" w:eastAsia="Songti SC" w:cs="宋体"/>
      <w:b/>
      <w:smallCaps/>
      <w:kern w:val="0"/>
      <w:sz w:val="24"/>
      <w:szCs w:val="21"/>
      <w:lang w:bidi="en-US"/>
    </w:rPr>
  </w:style>
  <w:style w:type="character" w:customStyle="1" w:styleId="207">
    <w:name w:val="样式 Char"/>
    <w:link w:val="205"/>
    <w:qFormat/>
    <w:uiPriority w:val="0"/>
    <w:rPr>
      <w:rFonts w:ascii="Songti SC" w:hAnsi="Songti SC" w:eastAsia="Songti SC" w:cs="宋体"/>
      <w:b/>
      <w:smallCaps/>
      <w:kern w:val="0"/>
      <w:sz w:val="44"/>
      <w:szCs w:val="52"/>
    </w:rPr>
  </w:style>
  <w:style w:type="character" w:customStyle="1" w:styleId="208">
    <w:name w:val="纯文本 Char"/>
    <w:basedOn w:val="70"/>
    <w:qFormat/>
    <w:uiPriority w:val="99"/>
    <w:rPr>
      <w:rFonts w:ascii="Songti SC" w:hAnsi="Songti SC" w:eastAsia="Songti SC" w:cs="宋体"/>
      <w:szCs w:val="21"/>
    </w:rPr>
  </w:style>
  <w:style w:type="character" w:customStyle="1" w:styleId="209">
    <w:name w:val="纯文本 字符"/>
    <w:basedOn w:val="70"/>
    <w:link w:val="30"/>
    <w:qFormat/>
    <w:uiPriority w:val="0"/>
    <w:rPr>
      <w:rFonts w:ascii="Songti SC" w:hAnsi="Songti SC" w:eastAsia="Songti SC" w:cs="宋体"/>
      <w:sz w:val="24"/>
      <w:szCs w:val="24"/>
    </w:rPr>
  </w:style>
  <w:style w:type="paragraph" w:customStyle="1" w:styleId="210">
    <w:name w:val="È±Ê¡ÎÄ±¾"/>
    <w:basedOn w:val="1"/>
    <w:qFormat/>
    <w:uiPriority w:val="0"/>
    <w:pPr>
      <w:widowControl/>
      <w:overflowPunct w:val="0"/>
      <w:autoSpaceDE w:val="0"/>
      <w:autoSpaceDN w:val="0"/>
      <w:adjustRightInd w:val="0"/>
      <w:jc w:val="left"/>
      <w:textAlignment w:val="baseline"/>
    </w:pPr>
    <w:rPr>
      <w:rFonts w:ascii="Songti SC" w:hAnsi="Songti SC" w:eastAsia="Songti SC"/>
      <w:kern w:val="0"/>
      <w:szCs w:val="20"/>
    </w:rPr>
  </w:style>
  <w:style w:type="paragraph" w:customStyle="1" w:styleId="211">
    <w:name w:val="0、正文"/>
    <w:basedOn w:val="1"/>
    <w:qFormat/>
    <w:uiPriority w:val="0"/>
    <w:pPr>
      <w:spacing w:beforeLines="20" w:line="336" w:lineRule="auto"/>
      <w:ind w:firstLine="420"/>
    </w:pPr>
    <w:rPr>
      <w:rFonts w:ascii="Songti SC" w:hAnsi="Songti SC" w:eastAsia="Songti SC"/>
      <w:szCs w:val="20"/>
    </w:rPr>
  </w:style>
  <w:style w:type="paragraph" w:customStyle="1" w:styleId="212">
    <w:name w:val="Table_Heading_Center"/>
    <w:basedOn w:val="1"/>
    <w:qFormat/>
    <w:uiPriority w:val="0"/>
    <w:pPr>
      <w:keepNext/>
      <w:keepLines/>
      <w:widowControl/>
      <w:spacing w:before="40" w:after="40"/>
      <w:jc w:val="center"/>
    </w:pPr>
    <w:rPr>
      <w:rFonts w:ascii="Songti SC" w:hAnsi="Songti SC" w:eastAsia="Songti SC"/>
      <w:b/>
      <w:kern w:val="0"/>
      <w:sz w:val="20"/>
      <w:szCs w:val="20"/>
    </w:rPr>
  </w:style>
  <w:style w:type="paragraph" w:customStyle="1" w:styleId="213">
    <w:name w:val="潍柴文档标题1"/>
    <w:basedOn w:val="2"/>
    <w:next w:val="1"/>
    <w:qFormat/>
    <w:uiPriority w:val="0"/>
    <w:pPr>
      <w:numPr>
        <w:numId w:val="0"/>
      </w:numPr>
      <w:pBdr>
        <w:top w:val="single" w:color="auto" w:sz="48" w:space="1"/>
      </w:pBdr>
      <w:ind w:left="4253"/>
      <w:jc w:val="both"/>
    </w:pPr>
    <w:rPr>
      <w:rFonts w:ascii="Songti SC" w:hAnsi="Songti SC" w:eastAsia="Songti SC"/>
    </w:rPr>
  </w:style>
  <w:style w:type="paragraph" w:customStyle="1" w:styleId="214">
    <w:name w:val="潍柴文档标题2"/>
    <w:basedOn w:val="3"/>
    <w:next w:val="1"/>
    <w:qFormat/>
    <w:uiPriority w:val="0"/>
    <w:pPr>
      <w:numPr>
        <w:ilvl w:val="0"/>
        <w:numId w:val="0"/>
      </w:numPr>
      <w:pBdr>
        <w:bottom w:val="single" w:color="auto" w:sz="2" w:space="1"/>
      </w:pBdr>
      <w:ind w:left="4253"/>
    </w:pPr>
    <w:rPr>
      <w:rFonts w:ascii="Songti SC" w:hAnsi="Songti SC" w:eastAsia="Songti SC"/>
    </w:rPr>
  </w:style>
  <w:style w:type="paragraph" w:customStyle="1" w:styleId="215">
    <w:name w:val="潍柴文档标题3"/>
    <w:basedOn w:val="4"/>
    <w:next w:val="1"/>
    <w:qFormat/>
    <w:uiPriority w:val="0"/>
    <w:pPr>
      <w:numPr>
        <w:ilvl w:val="0"/>
        <w:numId w:val="0"/>
      </w:numPr>
      <w:pBdr>
        <w:bottom w:val="single" w:color="auto" w:sz="2" w:space="1"/>
      </w:pBdr>
      <w:ind w:left="4253"/>
    </w:pPr>
    <w:rPr>
      <w:rFonts w:ascii="Songti SC" w:hAnsi="Songti SC" w:eastAsia="Songti SC"/>
    </w:rPr>
  </w:style>
  <w:style w:type="paragraph" w:customStyle="1" w:styleId="216">
    <w:name w:val="潍柴文档标题4"/>
    <w:basedOn w:val="5"/>
    <w:next w:val="1"/>
    <w:qFormat/>
    <w:uiPriority w:val="0"/>
    <w:pPr>
      <w:numPr>
        <w:ilvl w:val="0"/>
        <w:numId w:val="0"/>
      </w:numPr>
      <w:pBdr>
        <w:bottom w:val="single" w:color="auto" w:sz="2" w:space="1"/>
      </w:pBdr>
      <w:spacing w:before="280" w:after="290" w:line="376" w:lineRule="auto"/>
      <w:ind w:left="4253"/>
      <w:jc w:val="both"/>
    </w:pPr>
    <w:rPr>
      <w:rFonts w:ascii="Songti SC" w:hAnsi="Songti SC" w:eastAsia="Songti SC"/>
    </w:rPr>
  </w:style>
  <w:style w:type="paragraph" w:customStyle="1" w:styleId="217">
    <w:name w:val="潍柴文档标题5"/>
    <w:basedOn w:val="6"/>
    <w:next w:val="1"/>
    <w:qFormat/>
    <w:uiPriority w:val="0"/>
    <w:pPr>
      <w:numPr>
        <w:ilvl w:val="0"/>
        <w:numId w:val="0"/>
      </w:numPr>
      <w:pBdr>
        <w:bottom w:val="single" w:color="auto" w:sz="2" w:space="1"/>
      </w:pBdr>
      <w:ind w:left="4253"/>
      <w:jc w:val="both"/>
    </w:pPr>
    <w:rPr>
      <w:rFonts w:ascii="Songti SC" w:hAnsi="Songti SC" w:eastAsia="Songti SC"/>
    </w:rPr>
  </w:style>
  <w:style w:type="paragraph" w:customStyle="1" w:styleId="218">
    <w:name w:val="潍柴文档标题6"/>
    <w:basedOn w:val="7"/>
    <w:next w:val="1"/>
    <w:qFormat/>
    <w:uiPriority w:val="0"/>
    <w:pPr>
      <w:pBdr>
        <w:bottom w:val="single" w:color="auto" w:sz="2" w:space="1"/>
      </w:pBdr>
      <w:spacing w:line="360" w:lineRule="auto"/>
      <w:ind w:left="4253"/>
      <w:jc w:val="both"/>
    </w:pPr>
    <w:rPr>
      <w:rFonts w:ascii="Songti SC" w:hAnsi="Songti SC" w:eastAsia="Songti SC"/>
    </w:rPr>
  </w:style>
  <w:style w:type="paragraph" w:customStyle="1" w:styleId="219">
    <w:name w:val="潍柴文档标题7"/>
    <w:basedOn w:val="8"/>
    <w:next w:val="1"/>
    <w:qFormat/>
    <w:uiPriority w:val="0"/>
    <w:pPr>
      <w:pBdr>
        <w:bottom w:val="single" w:color="auto" w:sz="2" w:space="1"/>
      </w:pBdr>
      <w:spacing w:line="360" w:lineRule="auto"/>
      <w:ind w:left="4253"/>
      <w:jc w:val="both"/>
    </w:pPr>
    <w:rPr>
      <w:rFonts w:ascii="Songti SC" w:hAnsi="Songti SC" w:eastAsia="Songti SC"/>
      <w:sz w:val="28"/>
    </w:rPr>
  </w:style>
  <w:style w:type="paragraph" w:customStyle="1" w:styleId="220">
    <w:name w:val="潍柴文档图编号"/>
    <w:basedOn w:val="9"/>
    <w:next w:val="1"/>
    <w:qFormat/>
    <w:uiPriority w:val="0"/>
    <w:pPr>
      <w:widowControl w:val="0"/>
      <w:numPr>
        <w:ilvl w:val="0"/>
        <w:numId w:val="14"/>
      </w:numPr>
      <w:spacing w:before="0" w:after="20" w:line="360" w:lineRule="auto"/>
      <w:jc w:val="center"/>
    </w:pPr>
    <w:rPr>
      <w:rFonts w:ascii="Songti SC" w:hAnsi="Songti SC" w:eastAsia="Songti SC" w:cs="宋体"/>
    </w:rPr>
  </w:style>
  <w:style w:type="paragraph" w:customStyle="1" w:styleId="221">
    <w:name w:val="潍柴文档表编号"/>
    <w:basedOn w:val="1"/>
    <w:next w:val="1"/>
    <w:qFormat/>
    <w:uiPriority w:val="0"/>
    <w:pPr>
      <w:numPr>
        <w:ilvl w:val="8"/>
        <w:numId w:val="14"/>
      </w:numPr>
      <w:spacing w:beforeLines="100"/>
      <w:jc w:val="center"/>
    </w:pPr>
    <w:rPr>
      <w:rFonts w:ascii="Songti SC" w:hAnsi="Songti SC" w:eastAsia="Songti SC"/>
      <w:szCs w:val="22"/>
    </w:rPr>
  </w:style>
  <w:style w:type="paragraph" w:customStyle="1" w:styleId="222">
    <w:name w:val="潍柴文档正文"/>
    <w:basedOn w:val="1"/>
    <w:qFormat/>
    <w:uiPriority w:val="0"/>
    <w:rPr>
      <w:rFonts w:ascii="Songti SC" w:hAnsi="Songti SC" w:eastAsia="Songti SC"/>
      <w:szCs w:val="22"/>
    </w:rPr>
  </w:style>
  <w:style w:type="paragraph" w:customStyle="1" w:styleId="223">
    <w:name w:val="缺省文本:1"/>
    <w:basedOn w:val="1"/>
    <w:qFormat/>
    <w:uiPriority w:val="0"/>
    <w:pPr>
      <w:autoSpaceDE w:val="0"/>
      <w:autoSpaceDN w:val="0"/>
      <w:adjustRightInd w:val="0"/>
      <w:jc w:val="left"/>
    </w:pPr>
    <w:rPr>
      <w:rFonts w:ascii="Songti SC" w:hAnsi="Songti SC" w:eastAsia="Songti SC"/>
      <w:kern w:val="0"/>
      <w:lang w:eastAsia="en-US"/>
    </w:rPr>
  </w:style>
  <w:style w:type="paragraph" w:customStyle="1" w:styleId="224">
    <w:name w:val="段"/>
    <w:link w:val="225"/>
    <w:qFormat/>
    <w:uiPriority w:val="0"/>
    <w:pPr>
      <w:tabs>
        <w:tab w:val="center" w:pos="4201"/>
        <w:tab w:val="right" w:leader="dot" w:pos="9298"/>
      </w:tabs>
      <w:autoSpaceDE w:val="0"/>
      <w:autoSpaceDN w:val="0"/>
      <w:ind w:firstLine="420" w:firstLineChars="200"/>
      <w:jc w:val="both"/>
    </w:pPr>
    <w:rPr>
      <w:rFonts w:ascii="Songti SC" w:hAnsi="Songti SC" w:eastAsia="Songti SC" w:cs="宋体"/>
      <w:sz w:val="21"/>
      <w:lang w:val="en-US" w:eastAsia="zh-CN" w:bidi="ar-SA"/>
    </w:rPr>
  </w:style>
  <w:style w:type="character" w:customStyle="1" w:styleId="225">
    <w:name w:val="段 Char"/>
    <w:link w:val="224"/>
    <w:qFormat/>
    <w:uiPriority w:val="0"/>
    <w:rPr>
      <w:rFonts w:ascii="Songti SC" w:hAnsi="Songti SC" w:eastAsia="Songti SC" w:cs="宋体"/>
      <w:kern w:val="0"/>
      <w:szCs w:val="20"/>
    </w:rPr>
  </w:style>
  <w:style w:type="paragraph" w:customStyle="1" w:styleId="226">
    <w:name w:val="一级条标题"/>
    <w:next w:val="224"/>
    <w:qFormat/>
    <w:uiPriority w:val="0"/>
    <w:pPr>
      <w:numPr>
        <w:ilvl w:val="1"/>
        <w:numId w:val="15"/>
      </w:numPr>
      <w:spacing w:beforeLines="50" w:afterLines="50"/>
      <w:outlineLvl w:val="2"/>
    </w:pPr>
    <w:rPr>
      <w:rFonts w:ascii="Songti SC" w:hAnsi="Songti SC" w:eastAsia="Songti SC" w:cs="宋体"/>
      <w:sz w:val="21"/>
      <w:szCs w:val="21"/>
      <w:lang w:val="en-US" w:eastAsia="zh-CN" w:bidi="ar-SA"/>
    </w:rPr>
  </w:style>
  <w:style w:type="paragraph" w:customStyle="1" w:styleId="227">
    <w:name w:val="章标题"/>
    <w:next w:val="224"/>
    <w:qFormat/>
    <w:uiPriority w:val="0"/>
    <w:pPr>
      <w:numPr>
        <w:ilvl w:val="0"/>
        <w:numId w:val="15"/>
      </w:numPr>
      <w:spacing w:beforeLines="100" w:afterLines="100"/>
      <w:jc w:val="both"/>
      <w:outlineLvl w:val="1"/>
    </w:pPr>
    <w:rPr>
      <w:rFonts w:ascii="Songti SC" w:hAnsi="Songti SC" w:eastAsia="Songti SC" w:cs="宋体"/>
      <w:sz w:val="21"/>
      <w:lang w:val="en-US" w:eastAsia="zh-CN" w:bidi="ar-SA"/>
    </w:rPr>
  </w:style>
  <w:style w:type="paragraph" w:customStyle="1" w:styleId="228">
    <w:name w:val="二级条标题"/>
    <w:basedOn w:val="226"/>
    <w:next w:val="224"/>
    <w:qFormat/>
    <w:uiPriority w:val="0"/>
    <w:pPr>
      <w:numPr>
        <w:ilvl w:val="2"/>
      </w:numPr>
      <w:spacing w:before="50" w:after="50"/>
      <w:outlineLvl w:val="3"/>
    </w:pPr>
    <w:rPr>
      <w:rFonts w:ascii="Songti SC" w:hAnsi="Songti SC" w:eastAsia="Songti SC"/>
    </w:rPr>
  </w:style>
  <w:style w:type="paragraph" w:customStyle="1" w:styleId="229">
    <w:name w:val="四级条标题"/>
    <w:basedOn w:val="1"/>
    <w:next w:val="224"/>
    <w:qFormat/>
    <w:uiPriority w:val="0"/>
    <w:pPr>
      <w:widowControl/>
      <w:numPr>
        <w:ilvl w:val="4"/>
        <w:numId w:val="15"/>
      </w:numPr>
      <w:spacing w:beforeLines="50" w:afterLines="50"/>
      <w:jc w:val="left"/>
      <w:outlineLvl w:val="5"/>
    </w:pPr>
    <w:rPr>
      <w:rFonts w:ascii="Songti SC" w:hAnsi="Songti SC" w:eastAsia="Songti SC"/>
      <w:kern w:val="0"/>
      <w:szCs w:val="21"/>
    </w:rPr>
  </w:style>
  <w:style w:type="paragraph" w:customStyle="1" w:styleId="230">
    <w:name w:val="五级条标题"/>
    <w:basedOn w:val="229"/>
    <w:next w:val="224"/>
    <w:qFormat/>
    <w:uiPriority w:val="0"/>
    <w:pPr>
      <w:numPr>
        <w:ilvl w:val="5"/>
      </w:numPr>
      <w:outlineLvl w:val="6"/>
    </w:pPr>
    <w:rPr>
      <w:rFonts w:ascii="Songti SC" w:hAnsi="Songti SC" w:eastAsia="Songti SC"/>
    </w:rPr>
  </w:style>
  <w:style w:type="paragraph" w:customStyle="1" w:styleId="231">
    <w:name w:val="注×："/>
    <w:qFormat/>
    <w:uiPriority w:val="0"/>
    <w:pPr>
      <w:widowControl w:val="0"/>
      <w:numPr>
        <w:ilvl w:val="0"/>
        <w:numId w:val="16"/>
      </w:numPr>
      <w:autoSpaceDE w:val="0"/>
      <w:autoSpaceDN w:val="0"/>
      <w:jc w:val="both"/>
    </w:pPr>
    <w:rPr>
      <w:rFonts w:ascii="Songti SC" w:hAnsi="Songti SC" w:eastAsia="Songti SC" w:cs="宋体"/>
      <w:sz w:val="18"/>
      <w:szCs w:val="18"/>
      <w:lang w:val="en-US" w:eastAsia="zh-CN" w:bidi="ar-SA"/>
    </w:rPr>
  </w:style>
  <w:style w:type="table" w:customStyle="1" w:styleId="232">
    <w:name w:val="网格型1"/>
    <w:basedOn w:val="60"/>
    <w:qFormat/>
    <w:uiPriority w:val="0"/>
    <w:pPr>
      <w:widowControl w:val="0"/>
      <w:autoSpaceDE w:val="0"/>
      <w:autoSpaceDN w:val="0"/>
      <w:adjustRightInd w:val="0"/>
      <w:spacing w:line="360" w:lineRule="auto"/>
      <w:ind w:firstLine="420" w:firstLineChars="200"/>
    </w:pPr>
    <w:rPr>
      <w:rFonts w:ascii="Songti SC" w:hAnsi="Songti SC" w:eastAsia="Songti SC"/>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233">
    <w:name w:val="biaoti 2"/>
    <w:basedOn w:val="1"/>
    <w:qFormat/>
    <w:uiPriority w:val="0"/>
    <w:pPr>
      <w:ind w:left="1472" w:leftChars="350" w:hanging="737" w:hangingChars="306"/>
    </w:pPr>
    <w:rPr>
      <w:rFonts w:ascii="Songti SC" w:hAnsi="Songti SC" w:eastAsia="Songti SC"/>
      <w:b/>
    </w:rPr>
  </w:style>
  <w:style w:type="paragraph" w:customStyle="1" w:styleId="234">
    <w:name w:val="表头文本"/>
    <w:qFormat/>
    <w:uiPriority w:val="0"/>
    <w:pPr>
      <w:jc w:val="center"/>
    </w:pPr>
    <w:rPr>
      <w:rFonts w:ascii="Songti SC" w:hAnsi="Songti SC" w:eastAsia="Songti SC" w:cs="宋体"/>
      <w:b/>
      <w:sz w:val="21"/>
      <w:szCs w:val="21"/>
      <w:lang w:val="en-US" w:eastAsia="zh-CN" w:bidi="ar-SA"/>
    </w:rPr>
  </w:style>
  <w:style w:type="character" w:customStyle="1" w:styleId="235">
    <w:name w:val="缺省文本 Char"/>
    <w:basedOn w:val="70"/>
    <w:link w:val="184"/>
    <w:qFormat/>
    <w:uiPriority w:val="0"/>
    <w:rPr>
      <w:rFonts w:ascii="Songti SC" w:hAnsi="Songti SC" w:eastAsia="Songti SC" w:cs="宋体"/>
      <w:kern w:val="0"/>
      <w:sz w:val="24"/>
      <w:szCs w:val="24"/>
      <w:lang w:bidi="en-US"/>
    </w:rPr>
  </w:style>
  <w:style w:type="paragraph" w:customStyle="1" w:styleId="236">
    <w:name w:val="Char Char1"/>
    <w:basedOn w:val="1"/>
    <w:qFormat/>
    <w:uiPriority w:val="0"/>
    <w:rPr>
      <w:rFonts w:ascii="Songti SC" w:hAnsi="Songti SC" w:eastAsia="Songti SC"/>
      <w:szCs w:val="20"/>
    </w:rPr>
  </w:style>
  <w:style w:type="character" w:customStyle="1" w:styleId="237">
    <w:name w:val="zly正文空两格 Char Char"/>
    <w:link w:val="238"/>
    <w:qFormat/>
    <w:uiPriority w:val="0"/>
    <w:rPr>
      <w:rFonts w:ascii="Songti SC" w:hAnsi="Songti SC" w:eastAsia="Songti SC" w:cs="宋体"/>
      <w:snapToGrid w:val="0"/>
    </w:rPr>
  </w:style>
  <w:style w:type="paragraph" w:customStyle="1" w:styleId="238">
    <w:name w:val="zly正文空两格"/>
    <w:basedOn w:val="1"/>
    <w:link w:val="237"/>
    <w:qFormat/>
    <w:uiPriority w:val="0"/>
    <w:pPr>
      <w:autoSpaceDE w:val="0"/>
      <w:autoSpaceDN w:val="0"/>
      <w:adjustRightInd w:val="0"/>
      <w:ind w:firstLine="420"/>
      <w:jc w:val="left"/>
    </w:pPr>
    <w:rPr>
      <w:rFonts w:ascii="Songti SC" w:hAnsi="Songti SC" w:eastAsia="Songti SC" w:cstheme="minorBidi"/>
      <w:snapToGrid w:val="0"/>
      <w:sz w:val="21"/>
      <w:szCs w:val="22"/>
    </w:rPr>
  </w:style>
  <w:style w:type="paragraph" w:customStyle="1" w:styleId="239">
    <w:name w:val="缩进项目"/>
    <w:basedOn w:val="240"/>
    <w:qFormat/>
    <w:uiPriority w:val="0"/>
    <w:pPr>
      <w:numPr>
        <w:ilvl w:val="0"/>
        <w:numId w:val="17"/>
      </w:numPr>
      <w:tabs>
        <w:tab w:val="left" w:pos="1924"/>
        <w:tab w:val="clear" w:pos="454"/>
      </w:tabs>
      <w:spacing w:after="0"/>
      <w:ind w:left="1924"/>
    </w:pPr>
    <w:rPr>
      <w:rFonts w:ascii="Songti SC" w:hAnsi="Songti SC" w:eastAsia="Songti SC"/>
    </w:rPr>
  </w:style>
  <w:style w:type="paragraph" w:customStyle="1" w:styleId="240">
    <w:name w:val="缩进正文"/>
    <w:basedOn w:val="1"/>
    <w:qFormat/>
    <w:uiPriority w:val="0"/>
    <w:pPr>
      <w:widowControl/>
      <w:spacing w:after="200" w:line="400" w:lineRule="exact"/>
      <w:ind w:left="1418" w:firstLine="425"/>
      <w:jc w:val="left"/>
      <w:outlineLvl w:val="0"/>
    </w:pPr>
    <w:rPr>
      <w:rFonts w:ascii="Songti SC" w:hAnsi="Songti SC" w:eastAsia="Songti SC"/>
      <w:color w:val="000000"/>
      <w:kern w:val="0"/>
      <w:lang w:eastAsia="en-US" w:bidi="en-US"/>
    </w:rPr>
  </w:style>
  <w:style w:type="paragraph" w:customStyle="1" w:styleId="241">
    <w:name w:val="缩进编号"/>
    <w:basedOn w:val="239"/>
    <w:qFormat/>
    <w:uiPriority w:val="0"/>
    <w:pPr>
      <w:numPr>
        <w:numId w:val="18"/>
      </w:numPr>
      <w:tabs>
        <w:tab w:val="left" w:pos="425"/>
      </w:tabs>
      <w:ind w:left="900" w:hanging="900"/>
    </w:pPr>
    <w:rPr>
      <w:rFonts w:ascii="Songti SC" w:hAnsi="Songti SC" w:eastAsia="Songti SC"/>
    </w:rPr>
  </w:style>
  <w:style w:type="character" w:customStyle="1" w:styleId="242">
    <w:name w:val="正文文本缩进 2 字符"/>
    <w:basedOn w:val="70"/>
    <w:link w:val="34"/>
    <w:qFormat/>
    <w:uiPriority w:val="0"/>
    <w:rPr>
      <w:rFonts w:ascii="Songti SC" w:hAnsi="Songti SC" w:eastAsia="Songti SC"/>
      <w:color w:val="000000"/>
      <w:sz w:val="24"/>
    </w:rPr>
  </w:style>
  <w:style w:type="character" w:customStyle="1" w:styleId="243">
    <w:name w:val="正文文本缩进 2 Char1"/>
    <w:basedOn w:val="70"/>
    <w:qFormat/>
    <w:uiPriority w:val="99"/>
    <w:rPr>
      <w:rFonts w:ascii="Songti SC" w:hAnsi="Songti SC" w:eastAsia="Songti SC" w:cs="宋体"/>
      <w:sz w:val="32"/>
      <w:szCs w:val="24"/>
    </w:rPr>
  </w:style>
  <w:style w:type="character" w:customStyle="1" w:styleId="244">
    <w:name w:val="正文文本缩进 2 字符1"/>
    <w:basedOn w:val="70"/>
    <w:semiHidden/>
    <w:qFormat/>
    <w:uiPriority w:val="99"/>
    <w:rPr>
      <w:rFonts w:ascii="Songti SC" w:hAnsi="Songti SC" w:eastAsia="Songti SC" w:cs="宋体"/>
      <w:sz w:val="32"/>
      <w:szCs w:val="24"/>
    </w:rPr>
  </w:style>
  <w:style w:type="character" w:customStyle="1" w:styleId="245">
    <w:name w:val="正文文本缩进 Char1"/>
    <w:basedOn w:val="70"/>
    <w:qFormat/>
    <w:uiPriority w:val="99"/>
    <w:rPr>
      <w:rFonts w:ascii="Songti SC" w:hAnsi="Songti SC" w:eastAsia="Songti SC"/>
      <w:kern w:val="2"/>
      <w:sz w:val="24"/>
    </w:rPr>
  </w:style>
  <w:style w:type="character" w:customStyle="1" w:styleId="246">
    <w:name w:val="正文文本首行缩进 字符"/>
    <w:basedOn w:val="114"/>
    <w:link w:val="58"/>
    <w:qFormat/>
    <w:uiPriority w:val="0"/>
    <w:rPr>
      <w:rFonts w:ascii="Songti SC" w:hAnsi="Songti SC" w:eastAsia="Songti SC" w:cs="宋体"/>
      <w:sz w:val="32"/>
      <w:szCs w:val="24"/>
      <w:lang w:eastAsia="en-US" w:bidi="en-US"/>
    </w:rPr>
  </w:style>
  <w:style w:type="paragraph" w:customStyle="1" w:styleId="247">
    <w:name w:val="Notes Heading"/>
    <w:next w:val="248"/>
    <w:link w:val="470"/>
    <w:qFormat/>
    <w:uiPriority w:val="0"/>
    <w:pPr>
      <w:keepNext/>
      <w:pBdr>
        <w:top w:val="single" w:color="auto" w:sz="8" w:space="5"/>
      </w:pBdr>
      <w:snapToGrid w:val="0"/>
      <w:spacing w:before="80" w:after="80" w:line="276" w:lineRule="auto"/>
    </w:pPr>
    <w:rPr>
      <w:rFonts w:ascii="Songti SC" w:hAnsi="Songti SC" w:eastAsia="Songti SC" w:cs="宋体"/>
      <w:sz w:val="22"/>
      <w:szCs w:val="22"/>
      <w:lang w:val="en-US" w:eastAsia="en-US" w:bidi="en-US"/>
    </w:rPr>
  </w:style>
  <w:style w:type="paragraph" w:customStyle="1" w:styleId="248">
    <w:name w:val="Notes Text"/>
    <w:link w:val="451"/>
    <w:qFormat/>
    <w:uiPriority w:val="0"/>
    <w:pPr>
      <w:pBdr>
        <w:bottom w:val="single" w:color="auto" w:sz="8" w:space="5"/>
      </w:pBdr>
      <w:spacing w:after="200" w:line="276" w:lineRule="auto"/>
    </w:pPr>
    <w:rPr>
      <w:rFonts w:ascii="Songti SC" w:hAnsi="Songti SC" w:eastAsia="Songti SC" w:cs="宋体"/>
      <w:color w:val="000000"/>
      <w:sz w:val="22"/>
      <w:szCs w:val="22"/>
      <w:lang w:val="en-US" w:eastAsia="en-US" w:bidi="en-US"/>
    </w:rPr>
  </w:style>
  <w:style w:type="character" w:customStyle="1" w:styleId="249">
    <w:name w:val="正文文本缩进 3 字符"/>
    <w:basedOn w:val="70"/>
    <w:link w:val="46"/>
    <w:qFormat/>
    <w:uiPriority w:val="0"/>
    <w:rPr>
      <w:rFonts w:ascii="Songti SC" w:hAnsi="Songti SC" w:eastAsia="Songti SC" w:cs="宋体"/>
      <w:spacing w:val="20"/>
      <w:kern w:val="0"/>
      <w:sz w:val="24"/>
      <w:szCs w:val="24"/>
      <w:lang w:eastAsia="en-US" w:bidi="en-US"/>
    </w:rPr>
  </w:style>
  <w:style w:type="character" w:customStyle="1" w:styleId="250">
    <w:name w:val="正文文本 3 字符"/>
    <w:basedOn w:val="70"/>
    <w:link w:val="21"/>
    <w:qFormat/>
    <w:uiPriority w:val="0"/>
    <w:rPr>
      <w:rFonts w:ascii="Songti SC" w:hAnsi="Songti SC" w:eastAsia="Songti SC" w:cs="宋体"/>
      <w:color w:val="000000"/>
      <w:spacing w:val="20"/>
      <w:sz w:val="24"/>
      <w:lang w:val="en-IE"/>
    </w:rPr>
  </w:style>
  <w:style w:type="character" w:customStyle="1" w:styleId="251">
    <w:name w:val="正文文本 3 Char1"/>
    <w:basedOn w:val="70"/>
    <w:qFormat/>
    <w:uiPriority w:val="99"/>
    <w:rPr>
      <w:rFonts w:ascii="Songti SC" w:hAnsi="Songti SC" w:eastAsia="Songti SC" w:cs="宋体"/>
      <w:sz w:val="16"/>
      <w:szCs w:val="16"/>
    </w:rPr>
  </w:style>
  <w:style w:type="character" w:customStyle="1" w:styleId="252">
    <w:name w:val="正文文本 3 字符1"/>
    <w:basedOn w:val="70"/>
    <w:semiHidden/>
    <w:qFormat/>
    <w:uiPriority w:val="99"/>
    <w:rPr>
      <w:rFonts w:ascii="Songti SC" w:hAnsi="Songti SC" w:eastAsia="Songti SC" w:cs="宋体"/>
      <w:sz w:val="16"/>
      <w:szCs w:val="16"/>
    </w:rPr>
  </w:style>
  <w:style w:type="character" w:customStyle="1" w:styleId="253">
    <w:name w:val="正文文本 2 字符"/>
    <w:basedOn w:val="70"/>
    <w:link w:val="52"/>
    <w:qFormat/>
    <w:uiPriority w:val="0"/>
    <w:rPr>
      <w:rFonts w:ascii="Songti SC" w:hAnsi="Songti SC" w:eastAsia="Songti SC" w:cs="宋体"/>
      <w:sz w:val="24"/>
    </w:rPr>
  </w:style>
  <w:style w:type="character" w:customStyle="1" w:styleId="254">
    <w:name w:val="正文文本 2 Char1"/>
    <w:basedOn w:val="70"/>
    <w:qFormat/>
    <w:uiPriority w:val="99"/>
    <w:rPr>
      <w:rFonts w:ascii="Songti SC" w:hAnsi="Songti SC" w:eastAsia="Songti SC" w:cs="宋体"/>
      <w:sz w:val="32"/>
      <w:szCs w:val="24"/>
    </w:rPr>
  </w:style>
  <w:style w:type="character" w:customStyle="1" w:styleId="255">
    <w:name w:val="正文文本 2 字符1"/>
    <w:basedOn w:val="70"/>
    <w:semiHidden/>
    <w:qFormat/>
    <w:uiPriority w:val="99"/>
    <w:rPr>
      <w:rFonts w:ascii="Songti SC" w:hAnsi="Songti SC" w:eastAsia="Songti SC" w:cs="宋体"/>
      <w:sz w:val="32"/>
      <w:szCs w:val="24"/>
    </w:rPr>
  </w:style>
  <w:style w:type="character" w:customStyle="1" w:styleId="256">
    <w:name w:val="日期 Char1"/>
    <w:basedOn w:val="70"/>
    <w:qFormat/>
    <w:uiPriority w:val="99"/>
    <w:rPr>
      <w:rFonts w:ascii="Songti SC" w:hAnsi="Songti SC" w:eastAsia="Songti SC"/>
      <w:kern w:val="2"/>
      <w:sz w:val="24"/>
    </w:rPr>
  </w:style>
  <w:style w:type="paragraph" w:customStyle="1" w:styleId="257">
    <w:name w:val="常用正文"/>
    <w:qFormat/>
    <w:uiPriority w:val="0"/>
    <w:pPr>
      <w:widowControl w:val="0"/>
      <w:spacing w:after="200" w:line="360" w:lineRule="auto"/>
      <w:ind w:firstLine="200"/>
      <w:textAlignment w:val="bottom"/>
    </w:pPr>
    <w:rPr>
      <w:rFonts w:ascii="Songti SC" w:hAnsi="Songti SC" w:eastAsia="Songti SC" w:cs="宋体"/>
      <w:sz w:val="28"/>
      <w:szCs w:val="22"/>
      <w:lang w:val="en-US" w:eastAsia="en-US" w:bidi="en-US"/>
    </w:rPr>
  </w:style>
  <w:style w:type="character" w:customStyle="1" w:styleId="258">
    <w:name w:val="批注框文本 Char1"/>
    <w:basedOn w:val="70"/>
    <w:qFormat/>
    <w:uiPriority w:val="99"/>
    <w:rPr>
      <w:rFonts w:ascii="Songti SC" w:hAnsi="Songti SC" w:eastAsia="Songti SC"/>
      <w:kern w:val="2"/>
      <w:sz w:val="18"/>
      <w:szCs w:val="18"/>
    </w:rPr>
  </w:style>
  <w:style w:type="paragraph" w:customStyle="1" w:styleId="259">
    <w:name w:val="文章标题 1"/>
    <w:basedOn w:val="2"/>
    <w:next w:val="1"/>
    <w:qFormat/>
    <w:uiPriority w:val="0"/>
    <w:rPr>
      <w:rFonts w:ascii="Songti SC" w:hAnsi="Songti SC" w:eastAsia="Songti SC"/>
      <w:b/>
      <w:sz w:val="32"/>
    </w:rPr>
  </w:style>
  <w:style w:type="paragraph" w:customStyle="1" w:styleId="260">
    <w:name w:val="文章标题 2"/>
    <w:basedOn w:val="3"/>
    <w:next w:val="1"/>
    <w:qFormat/>
    <w:uiPriority w:val="0"/>
    <w:pPr>
      <w:spacing w:before="260" w:after="260" w:line="416" w:lineRule="auto"/>
    </w:pPr>
    <w:rPr>
      <w:rFonts w:ascii="Songti SC" w:hAnsi="Songti SC" w:eastAsia="Songti SC"/>
      <w:i/>
      <w:iCs w:val="0"/>
    </w:rPr>
  </w:style>
  <w:style w:type="paragraph" w:customStyle="1" w:styleId="261">
    <w:name w:val="文章标题 3"/>
    <w:basedOn w:val="4"/>
    <w:next w:val="1"/>
    <w:link w:val="262"/>
    <w:qFormat/>
    <w:uiPriority w:val="0"/>
    <w:pPr>
      <w:spacing w:before="260" w:after="260" w:line="416" w:lineRule="auto"/>
      <w:ind w:left="3240"/>
    </w:pPr>
    <w:rPr>
      <w:rFonts w:ascii="Songti SC" w:hAnsi="Songti SC" w:eastAsia="Songti SC"/>
      <w:sz w:val="26"/>
    </w:rPr>
  </w:style>
  <w:style w:type="character" w:customStyle="1" w:styleId="262">
    <w:name w:val="文章标题 3 Char"/>
    <w:basedOn w:val="70"/>
    <w:link w:val="261"/>
    <w:qFormat/>
    <w:uiPriority w:val="0"/>
    <w:rPr>
      <w:rFonts w:ascii="Songti SC" w:hAnsi="Songti SC" w:eastAsia="Songti SC" w:cs="宋体"/>
      <w:iCs/>
      <w:kern w:val="2"/>
      <w:sz w:val="26"/>
      <w:szCs w:val="32"/>
      <w:lang w:eastAsia="en-US" w:bidi="en-US"/>
    </w:rPr>
  </w:style>
  <w:style w:type="paragraph" w:customStyle="1" w:styleId="263">
    <w:name w:val="文章标题 4"/>
    <w:basedOn w:val="5"/>
    <w:next w:val="1"/>
    <w:qFormat/>
    <w:uiPriority w:val="0"/>
    <w:pPr>
      <w:spacing w:before="240" w:after="60" w:line="376" w:lineRule="auto"/>
    </w:pPr>
    <w:rPr>
      <w:rFonts w:ascii="Songti SC" w:hAnsi="Songti SC" w:eastAsia="Songti SC"/>
      <w:b/>
      <w:lang w:eastAsia="en-US"/>
    </w:rPr>
  </w:style>
  <w:style w:type="character" w:customStyle="1" w:styleId="264">
    <w:name w:val="称呼 字符"/>
    <w:basedOn w:val="70"/>
    <w:link w:val="20"/>
    <w:qFormat/>
    <w:uiPriority w:val="0"/>
    <w:rPr>
      <w:rFonts w:ascii="Songti SC" w:hAnsi="Songti SC" w:eastAsia="Songti SC"/>
    </w:rPr>
  </w:style>
  <w:style w:type="character" w:customStyle="1" w:styleId="265">
    <w:name w:val="称呼 Char1"/>
    <w:basedOn w:val="70"/>
    <w:qFormat/>
    <w:uiPriority w:val="99"/>
    <w:rPr>
      <w:rFonts w:ascii="Songti SC" w:hAnsi="Songti SC" w:eastAsia="Songti SC" w:cs="宋体"/>
      <w:sz w:val="32"/>
      <w:szCs w:val="24"/>
    </w:rPr>
  </w:style>
  <w:style w:type="character" w:customStyle="1" w:styleId="266">
    <w:name w:val="称呼 字符1"/>
    <w:basedOn w:val="70"/>
    <w:semiHidden/>
    <w:qFormat/>
    <w:uiPriority w:val="99"/>
    <w:rPr>
      <w:rFonts w:ascii="Songti SC" w:hAnsi="Songti SC" w:eastAsia="Songti SC" w:cs="宋体"/>
      <w:sz w:val="32"/>
      <w:szCs w:val="24"/>
    </w:rPr>
  </w:style>
  <w:style w:type="paragraph" w:customStyle="1" w:styleId="267">
    <w:name w:val="Table Text Char Char Char Char Char"/>
    <w:link w:val="268"/>
    <w:qFormat/>
    <w:uiPriority w:val="0"/>
    <w:pPr>
      <w:snapToGrid w:val="0"/>
      <w:spacing w:before="80" w:after="80" w:line="276" w:lineRule="auto"/>
    </w:pPr>
    <w:rPr>
      <w:rFonts w:ascii="Songti SC" w:hAnsi="Songti SC" w:eastAsia="Songti SC" w:cs="宋体"/>
      <w:kern w:val="2"/>
      <w:sz w:val="18"/>
      <w:szCs w:val="24"/>
      <w:lang w:val="en-US" w:eastAsia="en-US" w:bidi="en-US"/>
    </w:rPr>
  </w:style>
  <w:style w:type="character" w:customStyle="1" w:styleId="268">
    <w:name w:val="Table Text Char Char Char Char Char Char"/>
    <w:basedOn w:val="70"/>
    <w:link w:val="267"/>
    <w:qFormat/>
    <w:uiPriority w:val="0"/>
    <w:rPr>
      <w:rFonts w:ascii="Songti SC" w:hAnsi="Songti SC" w:eastAsia="Songti SC" w:cs="宋体"/>
      <w:sz w:val="18"/>
      <w:szCs w:val="24"/>
      <w:lang w:eastAsia="en-US" w:bidi="en-US"/>
    </w:rPr>
  </w:style>
  <w:style w:type="paragraph" w:customStyle="1" w:styleId="269">
    <w:name w:val="Table Text Char"/>
    <w:link w:val="270"/>
    <w:qFormat/>
    <w:uiPriority w:val="0"/>
    <w:pPr>
      <w:snapToGrid w:val="0"/>
      <w:spacing w:before="80" w:after="80" w:line="276" w:lineRule="auto"/>
    </w:pPr>
    <w:rPr>
      <w:rFonts w:ascii="Songti SC" w:hAnsi="Songti SC" w:eastAsia="Songti SC" w:cs="宋体"/>
      <w:kern w:val="2"/>
      <w:sz w:val="18"/>
      <w:szCs w:val="22"/>
      <w:lang w:val="en-US" w:eastAsia="en-US" w:bidi="en-US"/>
    </w:rPr>
  </w:style>
  <w:style w:type="character" w:customStyle="1" w:styleId="270">
    <w:name w:val="Table Text Char Char1"/>
    <w:basedOn w:val="70"/>
    <w:link w:val="269"/>
    <w:qFormat/>
    <w:uiPriority w:val="0"/>
    <w:rPr>
      <w:rFonts w:ascii="Songti SC" w:hAnsi="Songti SC" w:eastAsia="Songti SC" w:cs="宋体"/>
      <w:sz w:val="18"/>
      <w:lang w:eastAsia="en-US" w:bidi="en-US"/>
    </w:rPr>
  </w:style>
  <w:style w:type="paragraph" w:customStyle="1" w:styleId="271">
    <w:name w:val="Table Text Char Char Char"/>
    <w:link w:val="272"/>
    <w:qFormat/>
    <w:uiPriority w:val="0"/>
    <w:pPr>
      <w:snapToGrid w:val="0"/>
      <w:spacing w:before="80" w:after="80" w:line="276" w:lineRule="auto"/>
    </w:pPr>
    <w:rPr>
      <w:rFonts w:ascii="Songti SC" w:hAnsi="Songti SC" w:eastAsia="Songti SC" w:cs="宋体"/>
      <w:kern w:val="2"/>
      <w:sz w:val="18"/>
      <w:szCs w:val="22"/>
      <w:lang w:val="en-US" w:eastAsia="en-US" w:bidi="en-US"/>
    </w:rPr>
  </w:style>
  <w:style w:type="character" w:customStyle="1" w:styleId="272">
    <w:name w:val="Table Text Char Char Char Char1"/>
    <w:basedOn w:val="70"/>
    <w:link w:val="271"/>
    <w:qFormat/>
    <w:uiPriority w:val="0"/>
    <w:rPr>
      <w:rFonts w:ascii="Songti SC" w:hAnsi="Songti SC" w:eastAsia="Songti SC" w:cs="宋体"/>
      <w:sz w:val="18"/>
      <w:lang w:eastAsia="en-US" w:bidi="en-US"/>
    </w:rPr>
  </w:style>
  <w:style w:type="character" w:customStyle="1" w:styleId="273">
    <w:name w:val="批注文字 Char1"/>
    <w:basedOn w:val="70"/>
    <w:qFormat/>
    <w:uiPriority w:val="99"/>
    <w:rPr>
      <w:rFonts w:ascii="Songti SC" w:hAnsi="Songti SC" w:eastAsia="Songti SC"/>
      <w:kern w:val="2"/>
      <w:sz w:val="24"/>
    </w:rPr>
  </w:style>
  <w:style w:type="paragraph" w:customStyle="1" w:styleId="274">
    <w:name w:val="编写建议"/>
    <w:basedOn w:val="1"/>
    <w:link w:val="275"/>
    <w:qFormat/>
    <w:uiPriority w:val="0"/>
    <w:pPr>
      <w:widowControl/>
      <w:autoSpaceDE w:val="0"/>
      <w:autoSpaceDN w:val="0"/>
      <w:adjustRightInd w:val="0"/>
      <w:ind w:firstLine="420"/>
      <w:jc w:val="left"/>
    </w:pPr>
    <w:rPr>
      <w:rFonts w:ascii="Songti SC" w:hAnsi="Songti SC" w:eastAsia="Songti SC"/>
      <w:i/>
      <w:color w:val="000000"/>
      <w:kern w:val="0"/>
      <w:szCs w:val="21"/>
      <w:lang w:eastAsia="en-US" w:bidi="en-US"/>
    </w:rPr>
  </w:style>
  <w:style w:type="character" w:customStyle="1" w:styleId="275">
    <w:name w:val="编写建议 Char"/>
    <w:basedOn w:val="70"/>
    <w:link w:val="274"/>
    <w:qFormat/>
    <w:uiPriority w:val="0"/>
    <w:rPr>
      <w:rFonts w:ascii="Songti SC" w:hAnsi="Songti SC" w:eastAsia="Songti SC" w:cs="宋体"/>
      <w:i/>
      <w:color w:val="000000"/>
      <w:kern w:val="0"/>
      <w:sz w:val="24"/>
      <w:szCs w:val="21"/>
      <w:lang w:eastAsia="en-US" w:bidi="en-US"/>
    </w:rPr>
  </w:style>
  <w:style w:type="paragraph" w:customStyle="1" w:styleId="276">
    <w:name w:val="IN Feature"/>
    <w:next w:val="277"/>
    <w:qFormat/>
    <w:uiPriority w:val="0"/>
    <w:pPr>
      <w:keepNext/>
      <w:keepLines/>
      <w:spacing w:before="240" w:after="240" w:line="276" w:lineRule="auto"/>
      <w:outlineLvl w:val="7"/>
    </w:pPr>
    <w:rPr>
      <w:rFonts w:ascii="Songti SC" w:hAnsi="Songti SC" w:eastAsia="Songti SC" w:cs="宋体"/>
      <w:sz w:val="21"/>
      <w:szCs w:val="21"/>
      <w:lang w:val="en-US" w:eastAsia="en-US" w:bidi="en-US"/>
    </w:rPr>
  </w:style>
  <w:style w:type="paragraph" w:customStyle="1" w:styleId="277">
    <w:name w:val="IN Step"/>
    <w:basedOn w:val="1"/>
    <w:qFormat/>
    <w:uiPriority w:val="0"/>
    <w:pPr>
      <w:keepLines/>
      <w:widowControl/>
      <w:tabs>
        <w:tab w:val="left" w:pos="1134"/>
      </w:tabs>
      <w:spacing w:before="80" w:after="80" w:line="300" w:lineRule="auto"/>
      <w:ind w:left="1134" w:hanging="907"/>
      <w:jc w:val="left"/>
      <w:outlineLvl w:val="8"/>
    </w:pPr>
    <w:rPr>
      <w:rFonts w:ascii="Songti SC" w:hAnsi="Songti SC" w:eastAsia="Songti SC"/>
      <w:kern w:val="0"/>
      <w:szCs w:val="21"/>
      <w:lang w:eastAsia="en-US" w:bidi="en-US"/>
    </w:rPr>
  </w:style>
  <w:style w:type="character" w:customStyle="1" w:styleId="278">
    <w:name w:val="Table Heading Char Char"/>
    <w:basedOn w:val="70"/>
    <w:qFormat/>
    <w:uiPriority w:val="0"/>
    <w:rPr>
      <w:rFonts w:ascii="Songti SC" w:hAnsi="Songti SC" w:eastAsia="Songti SC" w:cs="宋体"/>
      <w:sz w:val="18"/>
      <w:szCs w:val="18"/>
      <w:lang w:eastAsia="en-US" w:bidi="en-US"/>
    </w:rPr>
  </w:style>
  <w:style w:type="paragraph" w:customStyle="1" w:styleId="279">
    <w:name w:val="文章标题"/>
    <w:next w:val="1"/>
    <w:qFormat/>
    <w:uiPriority w:val="0"/>
    <w:pPr>
      <w:spacing w:beforeLines="200" w:after="200" w:line="276" w:lineRule="auto"/>
      <w:jc w:val="center"/>
    </w:pPr>
    <w:rPr>
      <w:rFonts w:ascii="Songti SC" w:hAnsi="Songti SC" w:eastAsia="Songti SC" w:cs="宋体"/>
      <w:bCs/>
      <w:kern w:val="2"/>
      <w:sz w:val="52"/>
      <w:szCs w:val="22"/>
      <w:lang w:val="en-US" w:eastAsia="en-US" w:bidi="en-US"/>
    </w:rPr>
  </w:style>
  <w:style w:type="paragraph" w:customStyle="1" w:styleId="280">
    <w:name w:val="Notes Text List"/>
    <w:link w:val="472"/>
    <w:qFormat/>
    <w:uiPriority w:val="0"/>
    <w:pPr>
      <w:keepNext/>
      <w:keepLines/>
      <w:numPr>
        <w:ilvl w:val="0"/>
        <w:numId w:val="19"/>
      </w:numPr>
      <w:pBdr>
        <w:bottom w:val="single" w:color="auto" w:sz="8" w:space="5"/>
      </w:pBdr>
      <w:spacing w:after="200" w:line="276" w:lineRule="auto"/>
      <w:ind w:left="484" w:leftChars="200"/>
      <w:jc w:val="both"/>
    </w:pPr>
    <w:rPr>
      <w:rFonts w:ascii="Songti SC" w:hAnsi="Songti SC" w:eastAsia="Songti SC" w:cs="宋体"/>
      <w:sz w:val="21"/>
      <w:szCs w:val="21"/>
      <w:lang w:val="en-US" w:eastAsia="en-US" w:bidi="en-US"/>
    </w:rPr>
  </w:style>
  <w:style w:type="paragraph" w:customStyle="1" w:styleId="281">
    <w:name w:val="表文字"/>
    <w:qFormat/>
    <w:uiPriority w:val="0"/>
    <w:pPr>
      <w:spacing w:after="200" w:line="276" w:lineRule="auto"/>
    </w:pPr>
    <w:rPr>
      <w:rFonts w:ascii="Songti SC" w:hAnsi="Songti SC" w:eastAsia="Songti SC" w:cs="宋体"/>
      <w:kern w:val="2"/>
      <w:sz w:val="22"/>
      <w:szCs w:val="22"/>
      <w:lang w:val="en-US" w:eastAsia="en-US" w:bidi="en-US"/>
    </w:rPr>
  </w:style>
  <w:style w:type="paragraph" w:customStyle="1" w:styleId="282">
    <w:name w:val="列表符号"/>
    <w:qFormat/>
    <w:uiPriority w:val="0"/>
    <w:pPr>
      <w:numPr>
        <w:ilvl w:val="0"/>
        <w:numId w:val="20"/>
      </w:numPr>
      <w:tabs>
        <w:tab w:val="clear" w:pos="839"/>
      </w:tabs>
      <w:spacing w:before="156" w:after="156" w:line="276" w:lineRule="auto"/>
      <w:ind w:left="420" w:hanging="420"/>
    </w:pPr>
    <w:rPr>
      <w:rFonts w:ascii="Songti SC" w:hAnsi="Songti SC" w:eastAsia="Songti SC" w:cs="宋体"/>
      <w:kern w:val="2"/>
      <w:sz w:val="22"/>
      <w:szCs w:val="22"/>
      <w:lang w:val="en-US" w:eastAsia="en-US" w:bidi="en-US"/>
    </w:rPr>
  </w:style>
  <w:style w:type="paragraph" w:customStyle="1" w:styleId="283">
    <w:name w:val="表头"/>
    <w:basedOn w:val="1"/>
    <w:qFormat/>
    <w:uiPriority w:val="0"/>
    <w:pPr>
      <w:widowControl/>
      <w:autoSpaceDE w:val="0"/>
      <w:autoSpaceDN w:val="0"/>
      <w:adjustRightInd w:val="0"/>
      <w:jc w:val="center"/>
    </w:pPr>
    <w:rPr>
      <w:rFonts w:ascii="Songti SC" w:hAnsi="Songti SC" w:eastAsia="Songti SC"/>
      <w:kern w:val="0"/>
      <w:sz w:val="18"/>
      <w:lang w:eastAsia="en-US" w:bidi="en-US"/>
    </w:rPr>
  </w:style>
  <w:style w:type="paragraph" w:customStyle="1" w:styleId="284">
    <w:name w:val="1.正文"/>
    <w:qFormat/>
    <w:uiPriority w:val="0"/>
    <w:pPr>
      <w:widowControl w:val="0"/>
      <w:adjustRightInd w:val="0"/>
      <w:spacing w:after="200" w:line="360" w:lineRule="auto"/>
      <w:ind w:firstLine="397"/>
      <w:jc w:val="both"/>
      <w:textAlignment w:val="baseline"/>
    </w:pPr>
    <w:rPr>
      <w:rFonts w:ascii="Songti SC" w:hAnsi="Songti SC" w:eastAsia="Songti SC" w:cs="宋体"/>
      <w:spacing w:val="20"/>
      <w:sz w:val="24"/>
      <w:szCs w:val="22"/>
      <w:lang w:val="en-US" w:eastAsia="en-US" w:bidi="en-US"/>
    </w:rPr>
  </w:style>
  <w:style w:type="paragraph" w:customStyle="1" w:styleId="285">
    <w:name w:val="表正文中"/>
    <w:qFormat/>
    <w:uiPriority w:val="0"/>
    <w:pPr>
      <w:spacing w:after="200" w:line="276" w:lineRule="auto"/>
      <w:jc w:val="center"/>
    </w:pPr>
    <w:rPr>
      <w:rFonts w:ascii="Songti SC" w:hAnsi="Songti SC" w:eastAsia="Songti SC" w:cs="宋体"/>
      <w:kern w:val="2"/>
      <w:sz w:val="18"/>
      <w:szCs w:val="22"/>
      <w:lang w:val="en-US" w:eastAsia="en-US" w:bidi="en-US"/>
    </w:rPr>
  </w:style>
  <w:style w:type="paragraph" w:customStyle="1" w:styleId="286">
    <w:name w:val="表正文左"/>
    <w:basedOn w:val="285"/>
    <w:qFormat/>
    <w:uiPriority w:val="0"/>
    <w:pPr>
      <w:widowControl w:val="0"/>
      <w:ind w:left="530" w:hanging="530" w:hangingChars="530"/>
      <w:jc w:val="left"/>
    </w:pPr>
    <w:rPr>
      <w:rFonts w:ascii="Songti SC" w:hAnsi="Songti SC" w:eastAsia="Songti SC"/>
    </w:rPr>
  </w:style>
  <w:style w:type="paragraph" w:customStyle="1" w:styleId="287">
    <w:name w:val="项目正文"/>
    <w:qFormat/>
    <w:uiPriority w:val="0"/>
    <w:pPr>
      <w:tabs>
        <w:tab w:val="left" w:pos="851"/>
      </w:tabs>
      <w:spacing w:after="200" w:line="276" w:lineRule="auto"/>
      <w:ind w:left="840" w:hanging="420"/>
      <w:jc w:val="both"/>
    </w:pPr>
    <w:rPr>
      <w:rFonts w:ascii="Songti SC" w:hAnsi="Songti SC" w:eastAsia="Songti SC" w:cs="宋体"/>
      <w:kern w:val="2"/>
      <w:sz w:val="18"/>
      <w:szCs w:val="22"/>
      <w:lang w:val="en-US" w:eastAsia="en-US" w:bidi="en-US"/>
    </w:rPr>
  </w:style>
  <w:style w:type="paragraph" w:customStyle="1" w:styleId="288">
    <w:name w:val="表格内文"/>
    <w:basedOn w:val="1"/>
    <w:qFormat/>
    <w:uiPriority w:val="0"/>
    <w:pPr>
      <w:widowControl/>
      <w:spacing w:line="400" w:lineRule="exact"/>
      <w:jc w:val="left"/>
    </w:pPr>
    <w:rPr>
      <w:rFonts w:ascii="Songti SC" w:hAnsi="Songti SC" w:eastAsia="Songti SC"/>
      <w:kern w:val="0"/>
      <w:lang w:eastAsia="en-US" w:bidi="en-US"/>
    </w:rPr>
  </w:style>
  <w:style w:type="character" w:customStyle="1" w:styleId="289">
    <w:name w:val="正文样式 Char"/>
    <w:basedOn w:val="70"/>
    <w:link w:val="107"/>
    <w:qFormat/>
    <w:uiPriority w:val="0"/>
    <w:rPr>
      <w:rFonts w:ascii="Songti SC" w:hAnsi="Songti SC" w:eastAsia="Songti SC" w:cs="宋体"/>
      <w:sz w:val="24"/>
      <w:szCs w:val="20"/>
    </w:rPr>
  </w:style>
  <w:style w:type="paragraph" w:customStyle="1" w:styleId="290">
    <w:name w:val="正文样式+标题"/>
    <w:basedOn w:val="1"/>
    <w:qFormat/>
    <w:uiPriority w:val="0"/>
    <w:pPr>
      <w:widowControl/>
      <w:ind w:firstLine="480"/>
      <w:jc w:val="left"/>
    </w:pPr>
    <w:rPr>
      <w:rFonts w:ascii="Songti SC" w:hAnsi="Songti SC" w:eastAsia="Songti SC"/>
      <w:kern w:val="0"/>
      <w:lang w:eastAsia="en-US" w:bidi="he-IL"/>
    </w:rPr>
  </w:style>
  <w:style w:type="paragraph" w:customStyle="1" w:styleId="291">
    <w:name w:val="样式 首行缩进:  2 字符 段前: 0.5 行 段后: 0.5 行"/>
    <w:basedOn w:val="1"/>
    <w:qFormat/>
    <w:uiPriority w:val="0"/>
    <w:pPr>
      <w:widowControl/>
      <w:spacing w:beforeLines="50" w:afterLines="50" w:line="300" w:lineRule="auto"/>
      <w:jc w:val="left"/>
    </w:pPr>
    <w:rPr>
      <w:rFonts w:ascii="Songti SC" w:hAnsi="Songti SC" w:eastAsia="Songti SC"/>
      <w:kern w:val="0"/>
      <w:lang w:eastAsia="en-US" w:bidi="en-US"/>
    </w:rPr>
  </w:style>
  <w:style w:type="paragraph" w:customStyle="1" w:styleId="292">
    <w:name w:val="默认段落字体 Para Char Char Char Char Char Char Char Char Char Char Char Char Char Char Char"/>
    <w:basedOn w:val="1"/>
    <w:qFormat/>
    <w:uiPriority w:val="0"/>
    <w:pPr>
      <w:widowControl/>
      <w:jc w:val="left"/>
    </w:pPr>
    <w:rPr>
      <w:rFonts w:ascii="Songti SC" w:hAnsi="Songti SC" w:eastAsia="Songti SC"/>
      <w:kern w:val="0"/>
      <w:lang w:eastAsia="en-US" w:bidi="en-US"/>
    </w:rPr>
  </w:style>
  <w:style w:type="paragraph" w:customStyle="1" w:styleId="293">
    <w:name w:val="Char Char"/>
    <w:basedOn w:val="1"/>
    <w:qFormat/>
    <w:uiPriority w:val="0"/>
    <w:pPr>
      <w:widowControl/>
      <w:jc w:val="left"/>
    </w:pPr>
    <w:rPr>
      <w:rFonts w:ascii="Songti SC" w:hAnsi="Songti SC" w:eastAsia="Songti SC"/>
      <w:kern w:val="0"/>
      <w:lang w:eastAsia="en-US" w:bidi="en-US"/>
    </w:rPr>
  </w:style>
  <w:style w:type="paragraph" w:customStyle="1" w:styleId="294">
    <w:name w:val="Char Char1 Char Char Char Char Char Char Char Char Char Char"/>
    <w:basedOn w:val="1"/>
    <w:qFormat/>
    <w:uiPriority w:val="0"/>
    <w:pPr>
      <w:widowControl/>
      <w:jc w:val="left"/>
    </w:pPr>
    <w:rPr>
      <w:rFonts w:ascii="Songti SC" w:hAnsi="Songti SC" w:eastAsia="Songti SC"/>
      <w:kern w:val="0"/>
      <w:szCs w:val="21"/>
      <w:lang w:eastAsia="en-US" w:bidi="en-US"/>
    </w:rPr>
  </w:style>
  <w:style w:type="paragraph" w:customStyle="1" w:styleId="295">
    <w:name w:val="terminaldisplay"/>
    <w:basedOn w:val="1"/>
    <w:qFormat/>
    <w:uiPriority w:val="0"/>
    <w:pPr>
      <w:widowControl/>
      <w:spacing w:before="100" w:beforeAutospacing="1" w:after="100" w:afterAutospacing="1"/>
      <w:jc w:val="left"/>
    </w:pPr>
    <w:rPr>
      <w:rFonts w:ascii="Songti SC" w:hAnsi="Songti SC" w:eastAsia="Songti SC"/>
      <w:kern w:val="0"/>
      <w:lang w:eastAsia="en-US" w:bidi="en-US"/>
    </w:rPr>
  </w:style>
  <w:style w:type="paragraph" w:customStyle="1" w:styleId="296">
    <w:name w:val="Char1 Char Char Char Char Char Char"/>
    <w:basedOn w:val="1"/>
    <w:qFormat/>
    <w:uiPriority w:val="0"/>
    <w:pPr>
      <w:widowControl/>
      <w:jc w:val="left"/>
    </w:pPr>
    <w:rPr>
      <w:rFonts w:ascii="Songti SC" w:hAnsi="Songti SC" w:eastAsia="Songti SC"/>
      <w:kern w:val="0"/>
      <w:lang w:eastAsia="en-US" w:bidi="en-US"/>
    </w:rPr>
  </w:style>
  <w:style w:type="paragraph" w:customStyle="1" w:styleId="297">
    <w:name w:val="Char"/>
    <w:basedOn w:val="1"/>
    <w:qFormat/>
    <w:uiPriority w:val="0"/>
    <w:pPr>
      <w:widowControl/>
      <w:jc w:val="left"/>
    </w:pPr>
    <w:rPr>
      <w:rFonts w:ascii="Songti SC" w:hAnsi="Songti SC" w:eastAsia="Songti SC"/>
      <w:kern w:val="0"/>
      <w:lang w:eastAsia="en-US" w:bidi="en-US"/>
    </w:rPr>
  </w:style>
  <w:style w:type="paragraph" w:customStyle="1" w:styleId="298">
    <w:name w:val="Char Char1 Char Char Char Char1 Char Char Char Char Char Char Char Char"/>
    <w:basedOn w:val="1"/>
    <w:qFormat/>
    <w:uiPriority w:val="0"/>
    <w:pPr>
      <w:widowControl/>
      <w:jc w:val="left"/>
    </w:pPr>
    <w:rPr>
      <w:rFonts w:ascii="Songti SC" w:hAnsi="Songti SC" w:eastAsia="Songti SC"/>
      <w:kern w:val="0"/>
      <w:lang w:eastAsia="en-US" w:bidi="en-US"/>
    </w:rPr>
  </w:style>
  <w:style w:type="paragraph" w:customStyle="1" w:styleId="299">
    <w:name w:val="样式5"/>
    <w:basedOn w:val="1"/>
    <w:qFormat/>
    <w:uiPriority w:val="0"/>
    <w:pPr>
      <w:keepNext/>
      <w:keepLines/>
      <w:widowControl/>
      <w:numPr>
        <w:ilvl w:val="2"/>
        <w:numId w:val="21"/>
      </w:numPr>
      <w:tabs>
        <w:tab w:val="left" w:pos="2160"/>
        <w:tab w:val="clear" w:pos="720"/>
      </w:tabs>
      <w:ind w:left="2160" w:hanging="360"/>
      <w:jc w:val="left"/>
      <w:outlineLvl w:val="2"/>
    </w:pPr>
    <w:rPr>
      <w:rFonts w:ascii="Songti SC" w:hAnsi="Songti SC" w:eastAsia="Songti SC"/>
      <w:b/>
      <w:bCs/>
      <w:kern w:val="0"/>
      <w:szCs w:val="32"/>
      <w:lang w:eastAsia="en-US" w:bidi="en-US"/>
    </w:rPr>
  </w:style>
  <w:style w:type="paragraph" w:customStyle="1" w:styleId="300">
    <w:name w:val="默认段落字体 Para Char"/>
    <w:basedOn w:val="1"/>
    <w:qFormat/>
    <w:uiPriority w:val="0"/>
    <w:pPr>
      <w:widowControl/>
      <w:jc w:val="left"/>
    </w:pPr>
    <w:rPr>
      <w:rFonts w:ascii="Songti SC" w:hAnsi="Songti SC" w:eastAsia="Songti SC"/>
      <w:kern w:val="0"/>
      <w:lang w:eastAsia="en-US" w:bidi="en-US"/>
    </w:rPr>
  </w:style>
  <w:style w:type="paragraph" w:customStyle="1" w:styleId="301">
    <w:name w:val="表格文本"/>
    <w:qFormat/>
    <w:uiPriority w:val="0"/>
    <w:pPr>
      <w:tabs>
        <w:tab w:val="decimal" w:pos="0"/>
      </w:tabs>
      <w:spacing w:after="200" w:line="276" w:lineRule="auto"/>
    </w:pPr>
    <w:rPr>
      <w:rFonts w:ascii="Songti SC" w:hAnsi="Songti SC" w:eastAsia="Songti SC" w:cs="宋体"/>
      <w:sz w:val="21"/>
      <w:szCs w:val="21"/>
      <w:lang w:val="en-US" w:eastAsia="en-US" w:bidi="en-US"/>
    </w:rPr>
  </w:style>
  <w:style w:type="table" w:customStyle="1" w:styleId="302">
    <w:name w:val="表样式"/>
    <w:basedOn w:val="60"/>
    <w:qFormat/>
    <w:uiPriority w:val="0"/>
    <w:pPr>
      <w:spacing w:after="200" w:line="276" w:lineRule="auto"/>
      <w:jc w:val="both"/>
    </w:pPr>
    <w:rPr>
      <w:rFonts w:ascii="Songti SC" w:hAnsi="Songti SC" w:eastAsia="Songti SC"/>
      <w:sz w:val="18"/>
      <w:szCs w:val="18"/>
      <w:lang w:eastAsia="en-US" w:bidi="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cPr>
      <w:shd w:val="clear" w:color="auto" w:fill="auto"/>
      <w:vAlign w:val="center"/>
    </w:tcPr>
  </w:style>
  <w:style w:type="paragraph" w:customStyle="1" w:styleId="303">
    <w:name w:val="图样式"/>
    <w:basedOn w:val="1"/>
    <w:qFormat/>
    <w:uiPriority w:val="0"/>
    <w:pPr>
      <w:keepNext/>
      <w:widowControl/>
      <w:spacing w:before="80" w:after="80"/>
      <w:jc w:val="center"/>
    </w:pPr>
    <w:rPr>
      <w:rFonts w:ascii="Songti SC" w:hAnsi="Songti SC" w:eastAsia="Songti SC"/>
      <w:kern w:val="0"/>
      <w:lang w:eastAsia="en-US" w:bidi="en-US"/>
    </w:rPr>
  </w:style>
  <w:style w:type="paragraph" w:customStyle="1" w:styleId="304">
    <w:name w:val="文档标题"/>
    <w:basedOn w:val="1"/>
    <w:qFormat/>
    <w:uiPriority w:val="0"/>
    <w:pPr>
      <w:widowControl/>
      <w:tabs>
        <w:tab w:val="left" w:pos="0"/>
      </w:tabs>
      <w:spacing w:before="300" w:after="300"/>
      <w:jc w:val="center"/>
    </w:pPr>
    <w:rPr>
      <w:rFonts w:ascii="Songti SC" w:hAnsi="Songti SC" w:eastAsia="Songti SC"/>
      <w:kern w:val="0"/>
      <w:sz w:val="36"/>
      <w:szCs w:val="36"/>
      <w:lang w:eastAsia="en-US" w:bidi="en-US"/>
    </w:rPr>
  </w:style>
  <w:style w:type="paragraph" w:customStyle="1" w:styleId="305">
    <w:name w:val="注示头"/>
    <w:basedOn w:val="1"/>
    <w:qFormat/>
    <w:uiPriority w:val="0"/>
    <w:pPr>
      <w:widowControl/>
      <w:pBdr>
        <w:top w:val="single" w:color="000000" w:sz="4" w:space="1"/>
      </w:pBdr>
      <w:jc w:val="left"/>
    </w:pPr>
    <w:rPr>
      <w:rFonts w:ascii="Songti SC" w:hAnsi="Songti SC" w:eastAsia="Songti SC"/>
      <w:kern w:val="0"/>
      <w:sz w:val="18"/>
      <w:szCs w:val="21"/>
      <w:lang w:eastAsia="en-US" w:bidi="en-US"/>
    </w:rPr>
  </w:style>
  <w:style w:type="paragraph" w:customStyle="1" w:styleId="306">
    <w:name w:val="注示文本"/>
    <w:basedOn w:val="1"/>
    <w:qFormat/>
    <w:uiPriority w:val="0"/>
    <w:pPr>
      <w:widowControl/>
      <w:pBdr>
        <w:bottom w:val="single" w:color="000000" w:sz="4" w:space="1"/>
      </w:pBdr>
      <w:ind w:firstLine="360"/>
      <w:jc w:val="left"/>
    </w:pPr>
    <w:rPr>
      <w:rFonts w:ascii="Songti SC" w:hAnsi="Songti SC" w:eastAsia="Songti SC"/>
      <w:kern w:val="0"/>
      <w:sz w:val="18"/>
      <w:szCs w:val="18"/>
      <w:lang w:eastAsia="en-US" w:bidi="en-US"/>
    </w:rPr>
  </w:style>
  <w:style w:type="paragraph" w:customStyle="1" w:styleId="307">
    <w:name w:val="Table Text Char Char Char Char"/>
    <w:qFormat/>
    <w:uiPriority w:val="0"/>
    <w:pPr>
      <w:snapToGrid w:val="0"/>
      <w:spacing w:before="80" w:after="80" w:line="276" w:lineRule="auto"/>
    </w:pPr>
    <w:rPr>
      <w:rFonts w:ascii="Songti SC" w:hAnsi="Songti SC" w:eastAsia="Songti SC" w:cs="宋体"/>
      <w:kern w:val="2"/>
      <w:sz w:val="18"/>
      <w:szCs w:val="24"/>
      <w:lang w:val="en-US" w:eastAsia="en-US" w:bidi="en-US"/>
    </w:rPr>
  </w:style>
  <w:style w:type="paragraph" w:customStyle="1" w:styleId="308">
    <w:name w:val="No-Indent"/>
    <w:qFormat/>
    <w:uiPriority w:val="0"/>
    <w:pPr>
      <w:spacing w:after="200" w:line="276" w:lineRule="auto"/>
    </w:pPr>
    <w:rPr>
      <w:rFonts w:ascii="Songti SC" w:hAnsi="Songti SC" w:eastAsia="Songti SC" w:cs="宋体"/>
      <w:sz w:val="22"/>
      <w:szCs w:val="22"/>
      <w:lang w:val="en-GB" w:eastAsia="en-US" w:bidi="en-US"/>
    </w:rPr>
  </w:style>
  <w:style w:type="paragraph" w:customStyle="1" w:styleId="309">
    <w:name w:val="图名"/>
    <w:basedOn w:val="1"/>
    <w:next w:val="13"/>
    <w:qFormat/>
    <w:uiPriority w:val="0"/>
    <w:pPr>
      <w:widowControl/>
      <w:jc w:val="center"/>
    </w:pPr>
    <w:rPr>
      <w:rFonts w:ascii="Songti SC" w:hAnsi="Songti SC" w:eastAsia="Songti SC"/>
      <w:b/>
      <w:kern w:val="0"/>
      <w:lang w:eastAsia="en-US" w:bidi="en-US"/>
    </w:rPr>
  </w:style>
  <w:style w:type="paragraph" w:customStyle="1" w:styleId="310">
    <w:name w:val="Char Char1 Char Char Char Char1"/>
    <w:basedOn w:val="1"/>
    <w:qFormat/>
    <w:uiPriority w:val="0"/>
    <w:pPr>
      <w:widowControl/>
      <w:jc w:val="left"/>
    </w:pPr>
    <w:rPr>
      <w:rFonts w:ascii="Songti SC" w:hAnsi="Songti SC" w:eastAsia="Songti SC"/>
      <w:kern w:val="0"/>
      <w:lang w:eastAsia="en-US" w:bidi="en-US"/>
    </w:rPr>
  </w:style>
  <w:style w:type="paragraph" w:customStyle="1" w:styleId="311">
    <w:name w:val="Table Description Char"/>
    <w:next w:val="1"/>
    <w:qFormat/>
    <w:uiPriority w:val="0"/>
    <w:pPr>
      <w:keepNext/>
      <w:snapToGrid w:val="0"/>
      <w:spacing w:before="160" w:after="80" w:line="276" w:lineRule="auto"/>
      <w:ind w:left="1701"/>
      <w:jc w:val="center"/>
    </w:pPr>
    <w:rPr>
      <w:rFonts w:ascii="Songti SC" w:hAnsi="Songti SC" w:eastAsia="Songti SC" w:cs="宋体"/>
      <w:sz w:val="18"/>
      <w:szCs w:val="22"/>
      <w:lang w:val="en-US" w:eastAsia="en-US" w:bidi="en-US"/>
    </w:rPr>
  </w:style>
  <w:style w:type="paragraph" w:customStyle="1" w:styleId="312">
    <w:name w:val="图号"/>
    <w:basedOn w:val="1"/>
    <w:next w:val="1"/>
    <w:autoRedefine/>
    <w:qFormat/>
    <w:uiPriority w:val="0"/>
    <w:pPr>
      <w:keepLines/>
      <w:widowControl/>
      <w:autoSpaceDE w:val="0"/>
      <w:autoSpaceDN w:val="0"/>
      <w:adjustRightInd w:val="0"/>
      <w:snapToGrid w:val="0"/>
      <w:spacing w:after="240"/>
      <w:jc w:val="center"/>
    </w:pPr>
    <w:rPr>
      <w:rFonts w:ascii="Songti SC" w:hAnsi="Songti SC" w:eastAsia="Songti SC"/>
      <w:kern w:val="0"/>
      <w:lang w:eastAsia="en-US" w:bidi="en-US"/>
    </w:rPr>
  </w:style>
  <w:style w:type="paragraph" w:customStyle="1" w:styleId="313">
    <w:name w:val="Char1 Char Char Char Char Char"/>
    <w:basedOn w:val="1"/>
    <w:qFormat/>
    <w:uiPriority w:val="0"/>
    <w:pPr>
      <w:widowControl/>
      <w:jc w:val="left"/>
    </w:pPr>
    <w:rPr>
      <w:rFonts w:ascii="Songti SC" w:hAnsi="Songti SC" w:eastAsia="Songti SC"/>
      <w:kern w:val="0"/>
      <w:lang w:eastAsia="en-US" w:bidi="en-US"/>
    </w:rPr>
  </w:style>
  <w:style w:type="character" w:customStyle="1" w:styleId="314">
    <w:name w:val="H4 Char Char"/>
    <w:basedOn w:val="70"/>
    <w:qFormat/>
    <w:uiPriority w:val="0"/>
    <w:rPr>
      <w:rFonts w:ascii="Songti SC" w:hAnsi="Songti SC" w:eastAsia="Songti SC" w:cs="宋体"/>
      <w:b/>
      <w:bCs/>
      <w:kern w:val="2"/>
      <w:sz w:val="24"/>
      <w:szCs w:val="28"/>
      <w:lang w:val="en-US" w:eastAsia="zh-CN" w:bidi="ar-SA"/>
    </w:rPr>
  </w:style>
  <w:style w:type="paragraph" w:customStyle="1" w:styleId="315">
    <w:name w:val="Char1 Char Char Char Char Char Char Char Char"/>
    <w:basedOn w:val="1"/>
    <w:qFormat/>
    <w:uiPriority w:val="0"/>
    <w:pPr>
      <w:widowControl/>
      <w:jc w:val="left"/>
    </w:pPr>
    <w:rPr>
      <w:rFonts w:ascii="Songti SC" w:hAnsi="Songti SC" w:eastAsia="Songti SC"/>
      <w:kern w:val="0"/>
      <w:lang w:eastAsia="en-US" w:bidi="en-US"/>
    </w:rPr>
  </w:style>
  <w:style w:type="table" w:customStyle="1" w:styleId="316">
    <w:name w:val="Table1"/>
    <w:basedOn w:val="61"/>
    <w:qFormat/>
    <w:uiPriority w:val="0"/>
    <w:pPr>
      <w:widowControl w:val="0"/>
      <w:snapToGrid w:val="0"/>
      <w:spacing w:after="200" w:line="276" w:lineRule="auto"/>
    </w:pPr>
    <w:rPr>
      <w:rFonts w:ascii="Songti SC" w:hAnsi="Songti SC" w:eastAsia="Songti SC"/>
      <w:sz w:val="22"/>
      <w:szCs w:val="22"/>
      <w:lang w:eastAsia="en-US" w:bidi="en-US"/>
    </w:rPr>
    <w:tblPr/>
    <w:trPr>
      <w:cantSplit/>
    </w:trPr>
    <w:tcPr>
      <w:vAlign w:val="center"/>
    </w:tcPr>
    <w:tblStylePr w:type="firstRow">
      <w:pPr>
        <w:wordWrap/>
        <w:ind w:left="0" w:leftChars="0"/>
      </w:pPr>
      <w:tcPr>
        <w:tcBorders>
          <w:top w:val="single" w:color="auto" w:sz="4" w:space="0"/>
          <w:left w:val="single" w:color="auto" w:sz="4" w:space="0"/>
          <w:bottom w:val="single" w:color="auto" w:sz="4" w:space="0"/>
          <w:right w:val="single" w:color="auto" w:sz="4" w:space="0"/>
          <w:insideH w:val="single" w:sz="4" w:space="0"/>
          <w:insideV w:val="single" w:sz="4" w:space="0"/>
          <w:tl2br w:val="nil"/>
          <w:tr2bl w:val="nil"/>
        </w:tcBorders>
        <w:shd w:val="clear" w:color="auto" w:fill="D9D9D9"/>
      </w:tcPr>
    </w:tblStylePr>
  </w:style>
  <w:style w:type="paragraph" w:customStyle="1" w:styleId="317">
    <w:name w:val="默认段落字体 Para Char Char Char Char Char Char Char Char Char"/>
    <w:basedOn w:val="1"/>
    <w:qFormat/>
    <w:uiPriority w:val="0"/>
    <w:pPr>
      <w:widowControl/>
      <w:tabs>
        <w:tab w:val="right" w:pos="-2120"/>
      </w:tabs>
      <w:snapToGrid w:val="0"/>
      <w:jc w:val="left"/>
    </w:pPr>
    <w:rPr>
      <w:rFonts w:ascii="Songti SC" w:hAnsi="Songti SC" w:eastAsia="Songti SC"/>
      <w:spacing w:val="6"/>
      <w:kern w:val="0"/>
      <w:lang w:eastAsia="en-US" w:bidi="en-US"/>
    </w:rPr>
  </w:style>
  <w:style w:type="paragraph" w:customStyle="1" w:styleId="318">
    <w:name w:val="表格"/>
    <w:basedOn w:val="1"/>
    <w:link w:val="602"/>
    <w:qFormat/>
    <w:uiPriority w:val="0"/>
    <w:pPr>
      <w:widowControl/>
      <w:jc w:val="left"/>
    </w:pPr>
    <w:rPr>
      <w:rFonts w:ascii="Songti SC" w:hAnsi="Songti SC" w:eastAsia="Songti SC"/>
      <w:bCs/>
      <w:color w:val="000000"/>
      <w:kern w:val="0"/>
      <w:szCs w:val="21"/>
      <w:lang w:eastAsia="en-US" w:bidi="en-US"/>
    </w:rPr>
  </w:style>
  <w:style w:type="paragraph" w:customStyle="1" w:styleId="319">
    <w:name w:val="样式 标题 2 + 首行缩进:  2 字符"/>
    <w:basedOn w:val="3"/>
    <w:qFormat/>
    <w:uiPriority w:val="0"/>
    <w:pPr>
      <w:numPr>
        <w:ilvl w:val="0"/>
        <w:numId w:val="0"/>
      </w:numPr>
      <w:spacing w:before="260" w:after="260" w:line="415" w:lineRule="auto"/>
      <w:ind w:left="1440" w:hanging="1440"/>
    </w:pPr>
    <w:rPr>
      <w:rFonts w:ascii="Songti SC" w:hAnsi="Songti SC" w:eastAsia="Songti SC"/>
      <w:i/>
      <w:iCs w:val="0"/>
      <w:szCs w:val="28"/>
    </w:rPr>
  </w:style>
  <w:style w:type="table" w:customStyle="1" w:styleId="320">
    <w:name w:val="表格样式"/>
    <w:basedOn w:val="60"/>
    <w:qFormat/>
    <w:uiPriority w:val="0"/>
    <w:pPr>
      <w:spacing w:beforeLines="10" w:afterLines="10" w:line="276" w:lineRule="auto"/>
      <w:jc w:val="both"/>
    </w:pPr>
    <w:rPr>
      <w:rFonts w:ascii="Songti SC" w:hAnsi="Songti SC" w:eastAsia="Songti SC" w:cs="宋体"/>
      <w:sz w:val="18"/>
      <w:szCs w:val="18"/>
      <w:lang w:eastAsia="en-US" w:bidi="en-US"/>
    </w:rPr>
    <w:tblPr>
      <w:tblBorders>
        <w:top w:val="double" w:color="auto" w:sz="2" w:space="0"/>
        <w:left w:val="double" w:color="auto" w:sz="2" w:space="0"/>
        <w:bottom w:val="double" w:color="auto" w:sz="2" w:space="0"/>
        <w:right w:val="double" w:color="auto" w:sz="2" w:space="0"/>
        <w:insideH w:val="single" w:color="auto" w:sz="4" w:space="0"/>
        <w:insideV w:val="single" w:color="auto" w:sz="4" w:space="0"/>
      </w:tblBorders>
    </w:tblPr>
    <w:tcPr>
      <w:vAlign w:val="center"/>
    </w:tcPr>
    <w:tblStylePr w:type="firstRow">
      <w:pPr>
        <w:jc w:val="center"/>
      </w:pPr>
      <w:rPr>
        <w:b/>
      </w:rPr>
      <w:tcPr>
        <w:tcBorders>
          <w:top w:val="double" w:color="auto" w:sz="2" w:space="0"/>
          <w:left w:val="double" w:color="auto" w:sz="2" w:space="0"/>
          <w:bottom w:val="nil"/>
          <w:right w:val="double" w:color="auto" w:sz="2" w:space="0"/>
          <w:insideH w:val="single" w:sz="4" w:space="0"/>
          <w:insideV w:val="single" w:sz="4" w:space="0"/>
          <w:tl2br w:val="nil"/>
          <w:tr2bl w:val="nil"/>
        </w:tcBorders>
        <w:shd w:val="clear" w:color="auto" w:fill="D9D9D9"/>
      </w:tcPr>
    </w:tblStylePr>
  </w:style>
  <w:style w:type="paragraph" w:customStyle="1" w:styleId="321">
    <w:name w:val="±í¸ñ1"/>
    <w:basedOn w:val="1"/>
    <w:qFormat/>
    <w:uiPriority w:val="0"/>
    <w:pPr>
      <w:widowControl/>
      <w:overflowPunct w:val="0"/>
      <w:autoSpaceDE w:val="0"/>
      <w:autoSpaceDN w:val="0"/>
      <w:adjustRightInd w:val="0"/>
      <w:jc w:val="center"/>
      <w:textAlignment w:val="baseline"/>
    </w:pPr>
    <w:rPr>
      <w:rFonts w:ascii="Songti SC" w:hAnsi="Songti SC" w:eastAsia="Songti SC"/>
      <w:b/>
      <w:kern w:val="0"/>
      <w:sz w:val="18"/>
      <w:lang w:eastAsia="en-US" w:bidi="en-US"/>
    </w:rPr>
  </w:style>
  <w:style w:type="paragraph" w:customStyle="1" w:styleId="322">
    <w:name w:val="SideBar"/>
    <w:basedOn w:val="1"/>
    <w:qFormat/>
    <w:uiPriority w:val="0"/>
    <w:pPr>
      <w:widowControl/>
      <w:spacing w:before="120"/>
      <w:jc w:val="left"/>
    </w:pPr>
    <w:rPr>
      <w:rFonts w:ascii="Songti SC" w:hAnsi="Songti SC" w:eastAsia="Songti SC"/>
      <w:kern w:val="0"/>
      <w:sz w:val="22"/>
      <w:lang w:eastAsia="en-US" w:bidi="en-US"/>
    </w:rPr>
  </w:style>
  <w:style w:type="paragraph" w:customStyle="1" w:styleId="323">
    <w:name w:val="Style C"/>
    <w:basedOn w:val="1"/>
    <w:next w:val="1"/>
    <w:qFormat/>
    <w:uiPriority w:val="0"/>
    <w:pPr>
      <w:widowControl/>
      <w:tabs>
        <w:tab w:val="left" w:pos="227"/>
      </w:tabs>
      <w:spacing w:after="60" w:line="260" w:lineRule="exact"/>
      <w:jc w:val="left"/>
    </w:pPr>
    <w:rPr>
      <w:rFonts w:ascii="Songti SC" w:hAnsi="Songti SC" w:eastAsia="Songti SC"/>
      <w:spacing w:val="5"/>
      <w:kern w:val="0"/>
      <w:sz w:val="18"/>
      <w:lang w:eastAsia="en-US" w:bidi="en-US"/>
    </w:rPr>
  </w:style>
  <w:style w:type="paragraph" w:customStyle="1" w:styleId="324">
    <w:name w:val="样式1"/>
    <w:basedOn w:val="1"/>
    <w:link w:val="359"/>
    <w:qFormat/>
    <w:uiPriority w:val="0"/>
    <w:pPr>
      <w:widowControl/>
      <w:autoSpaceDE w:val="0"/>
      <w:autoSpaceDN w:val="0"/>
      <w:adjustRightInd w:val="0"/>
      <w:spacing w:line="400" w:lineRule="exact"/>
      <w:jc w:val="left"/>
    </w:pPr>
    <w:rPr>
      <w:rFonts w:ascii="Songti SC" w:hAnsi="Songti SC" w:eastAsia="Songti SC"/>
      <w:kern w:val="0"/>
      <w:lang w:eastAsia="en-US" w:bidi="en-US"/>
    </w:rPr>
  </w:style>
  <w:style w:type="character" w:customStyle="1" w:styleId="325">
    <w:name w:val="标题 2 Char Char"/>
    <w:basedOn w:val="70"/>
    <w:qFormat/>
    <w:uiPriority w:val="0"/>
    <w:rPr>
      <w:rFonts w:ascii="Songti SC" w:hAnsi="Songti SC" w:eastAsia="Songti SC" w:cs="宋体"/>
      <w:sz w:val="24"/>
      <w:szCs w:val="24"/>
      <w:lang w:val="en-US" w:eastAsia="zh-CN" w:bidi="ar-SA"/>
    </w:rPr>
  </w:style>
  <w:style w:type="paragraph" w:customStyle="1" w:styleId="326">
    <w:name w:val="正文(缩进2个字符)"/>
    <w:basedOn w:val="182"/>
    <w:next w:val="1"/>
    <w:autoRedefine/>
    <w:qFormat/>
    <w:uiPriority w:val="0"/>
    <w:pPr>
      <w:jc w:val="center"/>
    </w:pPr>
    <w:rPr>
      <w:rFonts w:ascii="Songti SC" w:hAnsi="Songti SC" w:eastAsia="Songti SC"/>
      <w:b/>
      <w:bCs/>
    </w:rPr>
  </w:style>
  <w:style w:type="paragraph" w:customStyle="1" w:styleId="327">
    <w:name w:val="Default Text"/>
    <w:basedOn w:val="1"/>
    <w:qFormat/>
    <w:uiPriority w:val="0"/>
    <w:pPr>
      <w:widowControl/>
      <w:autoSpaceDE w:val="0"/>
      <w:autoSpaceDN w:val="0"/>
      <w:adjustRightInd w:val="0"/>
      <w:spacing w:before="40" w:after="120"/>
      <w:ind w:left="720"/>
      <w:jc w:val="left"/>
    </w:pPr>
    <w:rPr>
      <w:rFonts w:ascii="Songti SC" w:hAnsi="Songti SC" w:eastAsia="Songti SC"/>
      <w:kern w:val="0"/>
      <w:lang w:eastAsia="en-US" w:bidi="en-US"/>
    </w:rPr>
  </w:style>
  <w:style w:type="paragraph" w:customStyle="1" w:styleId="328">
    <w:name w:val="正文－首行缩进"/>
    <w:basedOn w:val="1"/>
    <w:qFormat/>
    <w:uiPriority w:val="0"/>
    <w:pPr>
      <w:widowControl/>
      <w:snapToGrid w:val="0"/>
      <w:spacing w:before="80" w:after="80"/>
      <w:ind w:left="1701" w:firstLine="493"/>
      <w:jc w:val="left"/>
    </w:pPr>
    <w:rPr>
      <w:rFonts w:ascii="Songti SC" w:hAnsi="Songti SC" w:eastAsia="Songti SC"/>
      <w:kern w:val="0"/>
      <w:lang w:eastAsia="en-US" w:bidi="en-US"/>
    </w:rPr>
  </w:style>
  <w:style w:type="paragraph" w:customStyle="1" w:styleId="329">
    <w:name w:val="?y??¡ê-¨º¡ÁDD????"/>
    <w:basedOn w:val="1"/>
    <w:qFormat/>
    <w:uiPriority w:val="0"/>
    <w:pPr>
      <w:widowControl/>
      <w:overflowPunct w:val="0"/>
      <w:autoSpaceDE w:val="0"/>
      <w:autoSpaceDN w:val="0"/>
      <w:adjustRightInd w:val="0"/>
      <w:ind w:firstLine="493"/>
      <w:jc w:val="left"/>
      <w:textAlignment w:val="baseline"/>
    </w:pPr>
    <w:rPr>
      <w:rFonts w:ascii="Songti SC" w:hAnsi="Songti SC" w:eastAsia="Songti SC"/>
      <w:kern w:val="0"/>
      <w:lang w:eastAsia="en-US" w:bidi="en-US"/>
    </w:rPr>
  </w:style>
  <w:style w:type="table" w:customStyle="1" w:styleId="330">
    <w:name w:val="课表模板"/>
    <w:basedOn w:val="60"/>
    <w:qFormat/>
    <w:uiPriority w:val="0"/>
    <w:pPr>
      <w:widowControl w:val="0"/>
      <w:spacing w:after="200" w:line="276" w:lineRule="auto"/>
      <w:jc w:val="center"/>
    </w:pPr>
    <w:rPr>
      <w:rFonts w:ascii="Songti SC" w:hAnsi="Songti SC" w:eastAsia="Songti SC" w:cs="宋体"/>
      <w:sz w:val="18"/>
      <w:lang w:eastAsia="en-US" w:bidi="en-US"/>
    </w:rPr>
    <w:tblPr>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left w:w="57" w:type="dxa"/>
        <w:right w:w="57" w:type="dxa"/>
      </w:tblCellMar>
    </w:tblPr>
    <w:trPr>
      <w:jc w:val="center"/>
    </w:trPr>
    <w:tcPr>
      <w:vAlign w:val="center"/>
    </w:tcPr>
    <w:tblStylePr w:type="firstRow">
      <w:pPr>
        <w:wordWrap/>
        <w:spacing w:beforeLines="0" w:beforeAutospacing="1" w:afterLines="0" w:afterAutospacing="1" w:line="240" w:lineRule="auto"/>
        <w:ind w:left="0" w:leftChars="0" w:right="0" w:rightChars="0"/>
        <w:contextualSpacing w:val="0"/>
        <w:jc w:val="center"/>
      </w:pPr>
      <w:rPr>
        <w:rFonts w:ascii="宋体" w:hAnsi="宋体" w:eastAsia="宋体" w:cs="宋体"/>
        <w:b/>
        <w:i w:val="0"/>
        <w:color w:val="000000"/>
        <w:sz w:val="36"/>
        <w:szCs w:val="36"/>
        <w:u w:val="none"/>
      </w:rPr>
      <w:tcPr>
        <w:tcBorders>
          <w:top w:val="double" w:color="auto" w:sz="4" w:space="0"/>
          <w:left w:val="double" w:color="auto" w:sz="4" w:space="0"/>
          <w:bottom w:val="nil"/>
          <w:right w:val="double" w:color="auto" w:sz="4" w:space="0"/>
          <w:insideH w:val="nil"/>
          <w:insideV w:val="nil"/>
          <w:tl2br w:val="nil"/>
          <w:tr2bl w:val="nil"/>
        </w:tcBorders>
        <w:shd w:val="clear" w:color="auto" w:fill="E0E0E0"/>
      </w:tcPr>
    </w:tblStylePr>
  </w:style>
  <w:style w:type="table" w:customStyle="1" w:styleId="331">
    <w:name w:val="课表模板1"/>
    <w:basedOn w:val="60"/>
    <w:qFormat/>
    <w:uiPriority w:val="0"/>
    <w:pPr>
      <w:widowControl w:val="0"/>
      <w:spacing w:after="200" w:line="276" w:lineRule="auto"/>
      <w:jc w:val="center"/>
    </w:pPr>
    <w:rPr>
      <w:rFonts w:ascii="Songti SC" w:hAnsi="Songti SC" w:eastAsia="Songti SC" w:cs="宋体"/>
      <w:sz w:val="18"/>
      <w:lang w:eastAsia="en-US" w:bidi="en-US"/>
    </w:rPr>
    <w:tblPr>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left w:w="57" w:type="dxa"/>
        <w:right w:w="57" w:type="dxa"/>
      </w:tblCellMar>
    </w:tblPr>
    <w:trPr>
      <w:jc w:val="center"/>
    </w:trPr>
    <w:tcPr>
      <w:vAlign w:val="center"/>
    </w:tcPr>
    <w:tblStylePr w:type="firstRow">
      <w:pPr>
        <w:wordWrap/>
        <w:spacing w:beforeLines="0" w:beforeAutospacing="1" w:afterLines="0" w:afterAutospacing="1" w:line="240" w:lineRule="auto"/>
        <w:ind w:left="0" w:leftChars="0" w:right="0" w:rightChars="0"/>
        <w:contextualSpacing w:val="0"/>
        <w:jc w:val="center"/>
      </w:pPr>
      <w:rPr>
        <w:rFonts w:ascii="宋体" w:hAnsi="宋体" w:eastAsia="宋体" w:cs="宋体"/>
        <w:b/>
        <w:i w:val="0"/>
        <w:color w:val="000000"/>
        <w:sz w:val="36"/>
        <w:szCs w:val="36"/>
        <w:u w:val="none"/>
      </w:rPr>
      <w:tcPr>
        <w:tcBorders>
          <w:top w:val="double" w:color="auto" w:sz="4" w:space="0"/>
          <w:left w:val="double" w:color="auto" w:sz="4" w:space="0"/>
          <w:bottom w:val="nil"/>
          <w:right w:val="double" w:color="auto" w:sz="4" w:space="0"/>
          <w:insideH w:val="nil"/>
          <w:insideV w:val="nil"/>
          <w:tl2br w:val="nil"/>
          <w:tr2bl w:val="nil"/>
        </w:tcBorders>
        <w:shd w:val="clear" w:color="auto" w:fill="E0E0E0"/>
      </w:tcPr>
    </w:tblStylePr>
  </w:style>
  <w:style w:type="paragraph" w:customStyle="1" w:styleId="332">
    <w:name w:val="表正文缩"/>
    <w:basedOn w:val="286"/>
    <w:qFormat/>
    <w:uiPriority w:val="0"/>
    <w:rPr>
      <w:rFonts w:ascii="Songti SC" w:hAnsi="Songti SC" w:eastAsia="Songti SC"/>
    </w:rPr>
  </w:style>
  <w:style w:type="paragraph" w:customStyle="1" w:styleId="333">
    <w:name w:val="项目 1"/>
    <w:basedOn w:val="1"/>
    <w:qFormat/>
    <w:uiPriority w:val="0"/>
    <w:pPr>
      <w:widowControl/>
      <w:tabs>
        <w:tab w:val="left" w:pos="425"/>
      </w:tabs>
      <w:adjustRightInd w:val="0"/>
      <w:snapToGrid w:val="0"/>
      <w:spacing w:afterLines="50"/>
      <w:ind w:left="425" w:hanging="425"/>
      <w:jc w:val="left"/>
    </w:pPr>
    <w:rPr>
      <w:rFonts w:ascii="Songti SC" w:hAnsi="Songti SC" w:eastAsia="Songti SC"/>
      <w:kern w:val="0"/>
      <w:lang w:eastAsia="en-US" w:bidi="en-US"/>
    </w:rPr>
  </w:style>
  <w:style w:type="paragraph" w:customStyle="1" w:styleId="334">
    <w:name w:val="流程正文"/>
    <w:basedOn w:val="1"/>
    <w:qFormat/>
    <w:uiPriority w:val="0"/>
    <w:pPr>
      <w:widowControl/>
      <w:autoSpaceDE w:val="0"/>
      <w:autoSpaceDN w:val="0"/>
      <w:adjustRightInd w:val="0"/>
      <w:ind w:firstLine="262" w:firstLineChars="262"/>
      <w:jc w:val="left"/>
    </w:pPr>
    <w:rPr>
      <w:rFonts w:ascii="Songti SC" w:hAnsi="Songti SC" w:eastAsia="Songti SC"/>
      <w:kern w:val="0"/>
      <w:lang w:eastAsia="en-US" w:bidi="en-US"/>
    </w:rPr>
  </w:style>
  <w:style w:type="paragraph" w:customStyle="1" w:styleId="335">
    <w:name w:val="测试过程"/>
    <w:basedOn w:val="1"/>
    <w:qFormat/>
    <w:uiPriority w:val="0"/>
    <w:pPr>
      <w:widowControl/>
      <w:autoSpaceDE w:val="0"/>
      <w:autoSpaceDN w:val="0"/>
      <w:adjustRightInd w:val="0"/>
      <w:ind w:left="643" w:hanging="360"/>
      <w:jc w:val="left"/>
    </w:pPr>
    <w:rPr>
      <w:rFonts w:ascii="Songti SC" w:hAnsi="Songti SC" w:eastAsia="Songti SC"/>
      <w:kern w:val="0"/>
      <w:lang w:eastAsia="en-US" w:bidi="en-US"/>
    </w:rPr>
  </w:style>
  <w:style w:type="paragraph" w:customStyle="1" w:styleId="336">
    <w:name w:val="Text"/>
    <w:basedOn w:val="1"/>
    <w:qFormat/>
    <w:uiPriority w:val="0"/>
    <w:pPr>
      <w:widowControl/>
      <w:snapToGrid w:val="0"/>
      <w:spacing w:before="80" w:after="80"/>
      <w:jc w:val="left"/>
    </w:pPr>
    <w:rPr>
      <w:rFonts w:ascii="Songti SC" w:hAnsi="Songti SC" w:eastAsia="Songti SC"/>
      <w:kern w:val="0"/>
      <w:szCs w:val="21"/>
      <w:lang w:eastAsia="en-US" w:bidi="en-US"/>
    </w:rPr>
  </w:style>
  <w:style w:type="table" w:customStyle="1" w:styleId="337">
    <w:name w:val="表格样式1"/>
    <w:basedOn w:val="60"/>
    <w:qFormat/>
    <w:uiPriority w:val="0"/>
    <w:pPr>
      <w:spacing w:beforeLines="10" w:afterLines="10" w:line="276" w:lineRule="auto"/>
      <w:jc w:val="both"/>
    </w:pPr>
    <w:rPr>
      <w:rFonts w:ascii="Songti SC" w:hAnsi="Songti SC" w:eastAsia="Songti SC" w:cs="宋体"/>
      <w:sz w:val="18"/>
      <w:szCs w:val="18"/>
      <w:lang w:eastAsia="en-US" w:bidi="en-US"/>
    </w:rPr>
    <w:tblPr>
      <w:tblBorders>
        <w:top w:val="double" w:color="auto" w:sz="2" w:space="0"/>
        <w:left w:val="double" w:color="auto" w:sz="2" w:space="0"/>
        <w:bottom w:val="double" w:color="auto" w:sz="2" w:space="0"/>
        <w:right w:val="double" w:color="auto" w:sz="2" w:space="0"/>
        <w:insideH w:val="single" w:color="auto" w:sz="4" w:space="0"/>
        <w:insideV w:val="single" w:color="auto" w:sz="4" w:space="0"/>
      </w:tblBorders>
    </w:tblPr>
    <w:tcPr>
      <w:vAlign w:val="center"/>
    </w:tcPr>
    <w:tblStylePr w:type="firstRow">
      <w:pPr>
        <w:jc w:val="center"/>
      </w:pPr>
      <w:rPr>
        <w:b/>
      </w:rPr>
      <w:tcPr>
        <w:tcBorders>
          <w:top w:val="double" w:color="auto" w:sz="2" w:space="0"/>
          <w:left w:val="double" w:color="auto" w:sz="2" w:space="0"/>
          <w:bottom w:val="nil"/>
          <w:right w:val="double" w:color="auto" w:sz="2" w:space="0"/>
          <w:insideH w:val="single" w:sz="4" w:space="0"/>
          <w:insideV w:val="single" w:sz="4" w:space="0"/>
          <w:tl2br w:val="nil"/>
          <w:tr2bl w:val="nil"/>
        </w:tcBorders>
        <w:shd w:val="clear" w:color="auto" w:fill="D9D9D9"/>
      </w:tcPr>
    </w:tblStylePr>
  </w:style>
  <w:style w:type="table" w:customStyle="1" w:styleId="338">
    <w:name w:val="表格样式2"/>
    <w:basedOn w:val="60"/>
    <w:qFormat/>
    <w:uiPriority w:val="0"/>
    <w:pPr>
      <w:spacing w:beforeLines="10" w:afterLines="10" w:line="276" w:lineRule="auto"/>
      <w:jc w:val="both"/>
    </w:pPr>
    <w:rPr>
      <w:rFonts w:ascii="Songti SC" w:hAnsi="Songti SC" w:eastAsia="Songti SC" w:cs="宋体"/>
      <w:sz w:val="18"/>
      <w:szCs w:val="18"/>
      <w:lang w:eastAsia="en-US" w:bidi="en-US"/>
    </w:rPr>
    <w:tblPr>
      <w:tblBorders>
        <w:top w:val="double" w:color="auto" w:sz="2" w:space="0"/>
        <w:left w:val="double" w:color="auto" w:sz="2" w:space="0"/>
        <w:bottom w:val="double" w:color="auto" w:sz="2" w:space="0"/>
        <w:right w:val="double" w:color="auto" w:sz="2" w:space="0"/>
        <w:insideH w:val="single" w:color="auto" w:sz="4" w:space="0"/>
        <w:insideV w:val="single" w:color="auto" w:sz="4" w:space="0"/>
      </w:tblBorders>
    </w:tblPr>
    <w:tcPr>
      <w:vAlign w:val="center"/>
    </w:tcPr>
    <w:tblStylePr w:type="firstRow">
      <w:pPr>
        <w:jc w:val="center"/>
      </w:pPr>
      <w:rPr>
        <w:b/>
      </w:rPr>
      <w:tcPr>
        <w:tcBorders>
          <w:top w:val="double" w:color="auto" w:sz="2" w:space="0"/>
          <w:left w:val="double" w:color="auto" w:sz="2" w:space="0"/>
          <w:bottom w:val="nil"/>
          <w:right w:val="double" w:color="auto" w:sz="2" w:space="0"/>
          <w:insideH w:val="single" w:sz="4" w:space="0"/>
          <w:insideV w:val="single" w:sz="4" w:space="0"/>
          <w:tl2br w:val="nil"/>
          <w:tr2bl w:val="nil"/>
        </w:tcBorders>
        <w:shd w:val="clear" w:color="auto" w:fill="D9D9D9"/>
      </w:tcPr>
    </w:tblStylePr>
  </w:style>
  <w:style w:type="paragraph" w:customStyle="1" w:styleId="339">
    <w:name w:val="Char Char Char Char Char Char Char Char"/>
    <w:basedOn w:val="1"/>
    <w:qFormat/>
    <w:uiPriority w:val="0"/>
    <w:pPr>
      <w:widowControl/>
      <w:jc w:val="left"/>
    </w:pPr>
    <w:rPr>
      <w:rFonts w:ascii="Songti SC" w:hAnsi="Songti SC" w:eastAsia="Songti SC"/>
      <w:kern w:val="0"/>
      <w:lang w:eastAsia="en-US" w:bidi="en-US"/>
    </w:rPr>
  </w:style>
  <w:style w:type="paragraph" w:customStyle="1" w:styleId="340">
    <w:name w:val="正文题目"/>
    <w:basedOn w:val="1"/>
    <w:autoRedefine/>
    <w:qFormat/>
    <w:uiPriority w:val="0"/>
    <w:pPr>
      <w:widowControl/>
      <w:numPr>
        <w:ilvl w:val="0"/>
        <w:numId w:val="22"/>
      </w:numPr>
      <w:tabs>
        <w:tab w:val="clear" w:pos="1410"/>
      </w:tabs>
      <w:overflowPunct w:val="0"/>
      <w:autoSpaceDE w:val="0"/>
      <w:autoSpaceDN w:val="0"/>
      <w:adjustRightInd w:val="0"/>
      <w:spacing w:before="600" w:after="600" w:line="400" w:lineRule="exact"/>
      <w:ind w:left="432" w:hanging="432"/>
      <w:jc w:val="center"/>
      <w:outlineLvl w:val="0"/>
    </w:pPr>
    <w:rPr>
      <w:rFonts w:ascii="Songti SC" w:hAnsi="Songti SC" w:eastAsia="Songti SC"/>
      <w:b/>
      <w:kern w:val="0"/>
      <w:sz w:val="36"/>
      <w:lang w:eastAsia="en-US" w:bidi="en-US"/>
    </w:rPr>
  </w:style>
  <w:style w:type="paragraph" w:customStyle="1" w:styleId="341">
    <w:name w:val="默认段落字体 Para Char Char Char Char Char Char Char Char Char Char Char Char"/>
    <w:basedOn w:val="1"/>
    <w:qFormat/>
    <w:uiPriority w:val="0"/>
    <w:pPr>
      <w:widowControl/>
      <w:jc w:val="left"/>
    </w:pPr>
    <w:rPr>
      <w:rFonts w:ascii="Songti SC" w:hAnsi="Songti SC" w:eastAsia="Songti SC"/>
      <w:kern w:val="0"/>
      <w:lang w:eastAsia="en-US" w:bidi="en-US"/>
    </w:rPr>
  </w:style>
  <w:style w:type="paragraph" w:customStyle="1" w:styleId="342">
    <w:name w:val="herd"/>
    <w:basedOn w:val="1"/>
    <w:qFormat/>
    <w:uiPriority w:val="0"/>
    <w:pPr>
      <w:widowControl/>
      <w:autoSpaceDE w:val="0"/>
      <w:autoSpaceDN w:val="0"/>
      <w:adjustRightInd w:val="0"/>
      <w:ind w:firstLine="562"/>
      <w:jc w:val="left"/>
    </w:pPr>
    <w:rPr>
      <w:rFonts w:ascii="Songti SC" w:hAnsi="Songti SC" w:eastAsia="Songti SC"/>
      <w:kern w:val="0"/>
      <w:lang w:eastAsia="en-US" w:bidi="en-US"/>
    </w:rPr>
  </w:style>
  <w:style w:type="paragraph" w:customStyle="1" w:styleId="343">
    <w:name w:val="a列表编号"/>
    <w:basedOn w:val="1"/>
    <w:qFormat/>
    <w:uiPriority w:val="0"/>
    <w:pPr>
      <w:widowControl/>
      <w:numPr>
        <w:ilvl w:val="0"/>
        <w:numId w:val="23"/>
      </w:numPr>
      <w:tabs>
        <w:tab w:val="clear" w:pos="780"/>
      </w:tabs>
      <w:ind w:left="0" w:hanging="420"/>
      <w:jc w:val="left"/>
    </w:pPr>
    <w:rPr>
      <w:rFonts w:ascii="Songti SC" w:hAnsi="Songti SC" w:eastAsia="Songti SC"/>
      <w:kern w:val="0"/>
      <w:lang w:eastAsia="en-US" w:bidi="en-US"/>
    </w:rPr>
  </w:style>
  <w:style w:type="paragraph" w:customStyle="1" w:styleId="344">
    <w:name w:val="二级列表编号"/>
    <w:basedOn w:val="1"/>
    <w:qFormat/>
    <w:uiPriority w:val="0"/>
    <w:pPr>
      <w:widowControl/>
      <w:numPr>
        <w:ilvl w:val="3"/>
        <w:numId w:val="24"/>
      </w:numPr>
      <w:tabs>
        <w:tab w:val="clear" w:pos="1680"/>
      </w:tabs>
      <w:ind w:left="2100"/>
      <w:jc w:val="left"/>
    </w:pPr>
    <w:rPr>
      <w:rFonts w:ascii="Songti SC" w:hAnsi="Songti SC" w:eastAsia="Songti SC"/>
      <w:kern w:val="0"/>
      <w:lang w:eastAsia="en-US" w:bidi="en-US"/>
    </w:rPr>
  </w:style>
  <w:style w:type="paragraph" w:customStyle="1" w:styleId="345">
    <w:name w:val="封面标题"/>
    <w:qFormat/>
    <w:uiPriority w:val="0"/>
    <w:pPr>
      <w:spacing w:after="200" w:line="276" w:lineRule="auto"/>
      <w:jc w:val="center"/>
    </w:pPr>
    <w:rPr>
      <w:rFonts w:ascii="Songti SC" w:hAnsi="Songti SC" w:eastAsia="Songti SC" w:cs="宋体"/>
      <w:kern w:val="2"/>
      <w:sz w:val="64"/>
      <w:szCs w:val="72"/>
      <w:lang w:val="en-US" w:eastAsia="en-US" w:bidi="en-US"/>
    </w:rPr>
  </w:style>
  <w:style w:type="paragraph" w:customStyle="1" w:styleId="346">
    <w:name w:val="封面日期"/>
    <w:next w:val="1"/>
    <w:qFormat/>
    <w:uiPriority w:val="0"/>
    <w:pPr>
      <w:spacing w:after="200" w:line="276" w:lineRule="auto"/>
      <w:jc w:val="center"/>
    </w:pPr>
    <w:rPr>
      <w:rFonts w:ascii="Songti SC" w:hAnsi="Songti SC" w:eastAsia="Songti SC" w:cs="宋体"/>
      <w:kern w:val="2"/>
      <w:sz w:val="32"/>
      <w:szCs w:val="24"/>
      <w:lang w:val="en-US" w:eastAsia="en-US" w:bidi="en-US"/>
    </w:rPr>
  </w:style>
  <w:style w:type="paragraph" w:customStyle="1" w:styleId="347">
    <w:name w:val="正文3"/>
    <w:basedOn w:val="1"/>
    <w:qFormat/>
    <w:uiPriority w:val="0"/>
    <w:pPr>
      <w:widowControl/>
      <w:overflowPunct w:val="0"/>
      <w:autoSpaceDE w:val="0"/>
      <w:autoSpaceDN w:val="0"/>
      <w:adjustRightInd w:val="0"/>
      <w:spacing w:line="339" w:lineRule="exact"/>
      <w:jc w:val="left"/>
      <w:textAlignment w:val="baseline"/>
    </w:pPr>
    <w:rPr>
      <w:rFonts w:ascii="Songti SC" w:hAnsi="Songti SC" w:eastAsia="Songti SC"/>
      <w:kern w:val="0"/>
      <w:lang w:eastAsia="en-US" w:bidi="en-US"/>
    </w:rPr>
  </w:style>
  <w:style w:type="paragraph" w:customStyle="1" w:styleId="348">
    <w:name w:val="封面表格文本"/>
    <w:basedOn w:val="1"/>
    <w:link w:val="349"/>
    <w:qFormat/>
    <w:uiPriority w:val="0"/>
    <w:pPr>
      <w:widowControl/>
      <w:autoSpaceDE w:val="0"/>
      <w:autoSpaceDN w:val="0"/>
      <w:adjustRightInd w:val="0"/>
      <w:jc w:val="center"/>
    </w:pPr>
    <w:rPr>
      <w:rFonts w:ascii="Songti SC" w:hAnsi="Songti SC" w:eastAsia="Songti SC"/>
      <w:bCs/>
      <w:kern w:val="0"/>
      <w:lang w:eastAsia="en-US" w:bidi="en-US"/>
    </w:rPr>
  </w:style>
  <w:style w:type="character" w:customStyle="1" w:styleId="349">
    <w:name w:val="封面表格文本 Char"/>
    <w:basedOn w:val="70"/>
    <w:link w:val="348"/>
    <w:qFormat/>
    <w:uiPriority w:val="0"/>
    <w:rPr>
      <w:rFonts w:ascii="Songti SC" w:hAnsi="Songti SC" w:eastAsia="Songti SC" w:cs="宋体"/>
      <w:bCs/>
      <w:kern w:val="0"/>
      <w:sz w:val="24"/>
      <w:szCs w:val="24"/>
      <w:lang w:eastAsia="en-US" w:bidi="en-US"/>
    </w:rPr>
  </w:style>
  <w:style w:type="paragraph" w:customStyle="1" w:styleId="350">
    <w:name w:val="TitlePage_TopBorder"/>
    <w:basedOn w:val="1"/>
    <w:next w:val="1"/>
    <w:qFormat/>
    <w:uiPriority w:val="0"/>
    <w:pPr>
      <w:widowControl/>
      <w:pBdr>
        <w:top w:val="single" w:color="auto" w:sz="18" w:space="1"/>
      </w:pBdr>
      <w:spacing w:before="240" w:after="240"/>
      <w:ind w:left="3240"/>
      <w:jc w:val="left"/>
    </w:pPr>
    <w:rPr>
      <w:rFonts w:ascii="Songti SC" w:hAnsi="Songti SC" w:eastAsia="Songti SC"/>
      <w:b/>
      <w:kern w:val="0"/>
      <w:lang w:eastAsia="en-US" w:bidi="en-US"/>
    </w:rPr>
  </w:style>
  <w:style w:type="character" w:customStyle="1" w:styleId="351">
    <w:name w:val="Character UserEntry"/>
    <w:basedOn w:val="70"/>
    <w:qFormat/>
    <w:uiPriority w:val="0"/>
    <w:rPr>
      <w:rFonts w:ascii="Songti SC" w:hAnsi="Songti SC" w:eastAsia="Songti SC"/>
      <w:color w:val="000000"/>
    </w:rPr>
  </w:style>
  <w:style w:type="paragraph" w:customStyle="1" w:styleId="352">
    <w:name w:val="Table_Small"/>
    <w:qFormat/>
    <w:uiPriority w:val="0"/>
    <w:pPr>
      <w:spacing w:before="40" w:after="40" w:line="276" w:lineRule="auto"/>
    </w:pPr>
    <w:rPr>
      <w:rFonts w:ascii="Songti SC" w:hAnsi="Songti SC" w:eastAsia="Songti SC" w:cs="宋体"/>
      <w:sz w:val="16"/>
      <w:szCs w:val="22"/>
      <w:lang w:val="en-US" w:eastAsia="en-US" w:bidi="en-US"/>
    </w:rPr>
  </w:style>
  <w:style w:type="paragraph" w:customStyle="1" w:styleId="353">
    <w:name w:val="默认段落字体 Para Char Char Char Char Char Char Char Char Char Char Char Char Char Char Char Char"/>
    <w:basedOn w:val="1"/>
    <w:qFormat/>
    <w:uiPriority w:val="0"/>
    <w:pPr>
      <w:widowControl/>
      <w:jc w:val="left"/>
    </w:pPr>
    <w:rPr>
      <w:rFonts w:ascii="Songti SC" w:hAnsi="Songti SC" w:eastAsia="Songti SC"/>
      <w:kern w:val="0"/>
      <w:lang w:eastAsia="en-US" w:bidi="en-US"/>
    </w:rPr>
  </w:style>
  <w:style w:type="paragraph" w:customStyle="1" w:styleId="354">
    <w:name w:val="head"/>
    <w:basedOn w:val="1"/>
    <w:qFormat/>
    <w:uiPriority w:val="0"/>
    <w:pPr>
      <w:widowControl/>
      <w:autoSpaceDE w:val="0"/>
      <w:autoSpaceDN w:val="0"/>
      <w:adjustRightInd w:val="0"/>
      <w:ind w:firstLine="562"/>
      <w:jc w:val="left"/>
    </w:pPr>
    <w:rPr>
      <w:rFonts w:ascii="Songti SC" w:hAnsi="Songti SC" w:eastAsia="Songti SC"/>
      <w:kern w:val="0"/>
      <w:lang w:eastAsia="en-US" w:bidi="en-US"/>
      <w14:shadow w14:blurRad="50800" w14:dist="38100" w14:dir="2700000" w14:sx="100000" w14:sy="100000" w14:kx="0" w14:ky="0" w14:algn="tl">
        <w14:srgbClr w14:val="000000">
          <w14:alpha w14:val="60000"/>
        </w14:srgbClr>
      </w14:shadow>
    </w:rPr>
  </w:style>
  <w:style w:type="paragraph" w:customStyle="1" w:styleId="355">
    <w:name w:val="2目录"/>
    <w:basedOn w:val="2"/>
    <w:qFormat/>
    <w:uiPriority w:val="0"/>
    <w:pPr>
      <w:widowControl/>
      <w:spacing w:after="240"/>
      <w:jc w:val="both"/>
    </w:pPr>
    <w:rPr>
      <w:rFonts w:ascii="Songti SC" w:hAnsi="Songti SC" w:eastAsia="Songti SC"/>
      <w:color w:val="000000"/>
      <w:kern w:val="0"/>
      <w:szCs w:val="28"/>
    </w:rPr>
  </w:style>
  <w:style w:type="paragraph" w:customStyle="1" w:styleId="356">
    <w:name w:val="3目录"/>
    <w:basedOn w:val="3"/>
    <w:qFormat/>
    <w:uiPriority w:val="0"/>
    <w:pPr>
      <w:widowControl/>
      <w:numPr>
        <w:ilvl w:val="0"/>
        <w:numId w:val="0"/>
      </w:numPr>
      <w:spacing w:before="240" w:after="240" w:line="240" w:lineRule="auto"/>
      <w:ind w:left="1440" w:hanging="1440"/>
    </w:pPr>
    <w:rPr>
      <w:rFonts w:ascii="Songti SC" w:hAnsi="Songti SC" w:eastAsia="Songti SC"/>
      <w:i/>
      <w:iCs w:val="0"/>
      <w:color w:val="000000"/>
      <w:kern w:val="0"/>
      <w:sz w:val="24"/>
      <w:szCs w:val="24"/>
    </w:rPr>
  </w:style>
  <w:style w:type="paragraph" w:customStyle="1" w:styleId="357">
    <w:name w:val="TOC 标题11"/>
    <w:next w:val="39"/>
    <w:qFormat/>
    <w:uiPriority w:val="0"/>
    <w:pPr>
      <w:keepNext/>
      <w:snapToGrid w:val="0"/>
      <w:spacing w:before="480" w:after="360" w:line="360" w:lineRule="auto"/>
      <w:jc w:val="center"/>
    </w:pPr>
    <w:rPr>
      <w:rFonts w:ascii="Songti SC" w:hAnsi="Songti SC" w:eastAsia="Songti SC" w:cs="宋体"/>
      <w:sz w:val="36"/>
      <w:szCs w:val="22"/>
      <w:lang w:val="en-US" w:eastAsia="en-US" w:bidi="en-US"/>
    </w:rPr>
  </w:style>
  <w:style w:type="paragraph" w:customStyle="1" w:styleId="358">
    <w:name w:val="1目录"/>
    <w:basedOn w:val="1"/>
    <w:qFormat/>
    <w:uiPriority w:val="0"/>
    <w:pPr>
      <w:widowControl/>
      <w:jc w:val="left"/>
    </w:pPr>
    <w:rPr>
      <w:rFonts w:ascii="Songti SC" w:hAnsi="Songti SC" w:eastAsia="Songti SC"/>
      <w:b/>
      <w:color w:val="000000"/>
      <w:kern w:val="0"/>
      <w:sz w:val="36"/>
      <w:szCs w:val="32"/>
      <w:lang w:eastAsia="en-US" w:bidi="en-US"/>
    </w:rPr>
  </w:style>
  <w:style w:type="character" w:customStyle="1" w:styleId="359">
    <w:name w:val="样式1 Char"/>
    <w:basedOn w:val="70"/>
    <w:link w:val="324"/>
    <w:qFormat/>
    <w:uiPriority w:val="0"/>
    <w:rPr>
      <w:rFonts w:ascii="Songti SC" w:hAnsi="Songti SC" w:eastAsia="Songti SC" w:cs="宋体"/>
      <w:kern w:val="0"/>
      <w:sz w:val="24"/>
      <w:szCs w:val="24"/>
      <w:lang w:eastAsia="en-US" w:bidi="en-US"/>
    </w:rPr>
  </w:style>
  <w:style w:type="paragraph" w:customStyle="1" w:styleId="360">
    <w:name w:val="4目录"/>
    <w:basedOn w:val="356"/>
    <w:qFormat/>
    <w:uiPriority w:val="0"/>
    <w:rPr>
      <w:rFonts w:ascii="Songti SC" w:hAnsi="Songti SC" w:eastAsia="Songti SC"/>
      <w:sz w:val="21"/>
    </w:rPr>
  </w:style>
  <w:style w:type="character" w:customStyle="1" w:styleId="361">
    <w:name w:val="缺省文本 Char Char"/>
    <w:basedOn w:val="70"/>
    <w:qFormat/>
    <w:uiPriority w:val="0"/>
    <w:rPr>
      <w:rFonts w:ascii="Songti SC" w:hAnsi="Songti SC" w:eastAsia="Songti SC"/>
      <w:kern w:val="2"/>
      <w:sz w:val="24"/>
      <w:szCs w:val="24"/>
    </w:rPr>
  </w:style>
  <w:style w:type="paragraph" w:customStyle="1" w:styleId="362">
    <w:name w:val="正文4"/>
    <w:basedOn w:val="1"/>
    <w:qFormat/>
    <w:uiPriority w:val="0"/>
    <w:pPr>
      <w:widowControl/>
      <w:overflowPunct w:val="0"/>
      <w:autoSpaceDE w:val="0"/>
      <w:autoSpaceDN w:val="0"/>
      <w:adjustRightInd w:val="0"/>
      <w:spacing w:line="339" w:lineRule="exact"/>
      <w:jc w:val="left"/>
      <w:textAlignment w:val="baseline"/>
    </w:pPr>
    <w:rPr>
      <w:rFonts w:ascii="Songti SC" w:hAnsi="Songti SC" w:eastAsia="Songti SC"/>
      <w:kern w:val="0"/>
      <w:lang w:eastAsia="en-US" w:bidi="en-US"/>
    </w:rPr>
  </w:style>
  <w:style w:type="paragraph" w:customStyle="1" w:styleId="363">
    <w:name w:val="目录标题"/>
    <w:qFormat/>
    <w:uiPriority w:val="0"/>
    <w:pPr>
      <w:spacing w:afterLines="100" w:line="360" w:lineRule="auto"/>
      <w:jc w:val="center"/>
    </w:pPr>
    <w:rPr>
      <w:rFonts w:ascii="Songti SC" w:hAnsi="Songti SC" w:eastAsia="Songti SC" w:cs="宋体"/>
      <w:kern w:val="2"/>
      <w:sz w:val="36"/>
      <w:szCs w:val="24"/>
      <w:lang w:val="en-US" w:eastAsia="en-US" w:bidi="en-US"/>
    </w:rPr>
  </w:style>
  <w:style w:type="paragraph" w:customStyle="1" w:styleId="364">
    <w:name w:val="课程名"/>
    <w:next w:val="5"/>
    <w:qFormat/>
    <w:uiPriority w:val="0"/>
    <w:pPr>
      <w:keepNext/>
      <w:pageBreakBefore/>
      <w:shd w:val="clear" w:color="auto" w:fill="E6E6E6"/>
      <w:spacing w:beforeLines="50" w:after="200" w:line="360" w:lineRule="auto"/>
      <w:jc w:val="both"/>
      <w:outlineLvl w:val="2"/>
    </w:pPr>
    <w:rPr>
      <w:rFonts w:ascii="Songti SC" w:hAnsi="Songti SC" w:eastAsia="Songti SC" w:cs="宋体"/>
      <w:b/>
      <w:kern w:val="2"/>
      <w:sz w:val="18"/>
      <w:szCs w:val="21"/>
      <w:lang w:val="en-US" w:eastAsia="en-US" w:bidi="en-US"/>
    </w:rPr>
  </w:style>
  <w:style w:type="table" w:customStyle="1" w:styleId="365">
    <w:name w:val="页眉表"/>
    <w:basedOn w:val="61"/>
    <w:qFormat/>
    <w:uiPriority w:val="0"/>
    <w:pPr>
      <w:widowControl w:val="0"/>
      <w:spacing w:beforeLines="50" w:afterLines="50" w:line="360" w:lineRule="auto"/>
      <w:ind w:left="700" w:leftChars="700"/>
      <w:jc w:val="both"/>
    </w:pPr>
    <w:rPr>
      <w:rFonts w:ascii="Songti SC" w:hAnsi="Songti SC" w:eastAsia="Songti SC"/>
      <w:sz w:val="22"/>
      <w:szCs w:val="22"/>
      <w:lang w:eastAsia="en-US" w:bidi="en-US"/>
    </w:rPr>
    <w:tblPr>
      <w:tblBorders>
        <w:bottom w:val="single" w:color="auto" w:sz="6" w:space="0"/>
      </w:tblBorders>
    </w:tblPr>
    <w:tcPr>
      <w:vAlign w:val="center"/>
    </w:tcPr>
  </w:style>
  <w:style w:type="paragraph" w:customStyle="1" w:styleId="366">
    <w:name w:val="默认文本"/>
    <w:autoRedefine/>
    <w:qFormat/>
    <w:uiPriority w:val="0"/>
    <w:pPr>
      <w:widowControl w:val="0"/>
      <w:numPr>
        <w:ilvl w:val="0"/>
        <w:numId w:val="25"/>
      </w:numPr>
      <w:tabs>
        <w:tab w:val="clear" w:pos="340"/>
      </w:tabs>
      <w:spacing w:after="200" w:line="360" w:lineRule="auto"/>
      <w:ind w:left="900" w:hanging="420"/>
      <w:jc w:val="both"/>
    </w:pPr>
    <w:rPr>
      <w:rFonts w:ascii="Songti SC" w:hAnsi="Songti SC" w:eastAsia="Songti SC" w:cs="宋体"/>
      <w:color w:val="000000"/>
      <w:kern w:val="2"/>
      <w:sz w:val="21"/>
      <w:szCs w:val="22"/>
      <w:lang w:val="en-US" w:eastAsia="en-US" w:bidi="en-US"/>
    </w:rPr>
  </w:style>
  <w:style w:type="paragraph" w:customStyle="1" w:styleId="367">
    <w:name w:val="ÕýÎÄ11"/>
    <w:basedOn w:val="1"/>
    <w:qFormat/>
    <w:uiPriority w:val="0"/>
    <w:pPr>
      <w:widowControl/>
      <w:snapToGrid w:val="0"/>
      <w:spacing w:before="80" w:after="80" w:line="264" w:lineRule="exact"/>
      <w:ind w:left="1060"/>
      <w:jc w:val="left"/>
    </w:pPr>
    <w:rPr>
      <w:rFonts w:ascii="Songti SC" w:hAnsi="Songti SC" w:eastAsia="Songti SC"/>
      <w:kern w:val="0"/>
      <w:sz w:val="18"/>
      <w:lang w:eastAsia="en-US" w:bidi="en-US"/>
    </w:rPr>
  </w:style>
  <w:style w:type="paragraph" w:customStyle="1" w:styleId="368">
    <w:name w:val="è±ê???±?"/>
    <w:basedOn w:val="1"/>
    <w:qFormat/>
    <w:uiPriority w:val="0"/>
    <w:pPr>
      <w:widowControl/>
      <w:snapToGrid w:val="0"/>
      <w:spacing w:before="80" w:after="80"/>
      <w:ind w:left="1701"/>
      <w:jc w:val="left"/>
    </w:pPr>
    <w:rPr>
      <w:rFonts w:ascii="Songti SC" w:hAnsi="Songti SC" w:eastAsia="Songti SC"/>
      <w:kern w:val="0"/>
      <w:sz w:val="20"/>
      <w:lang w:eastAsia="en-US" w:bidi="en-US"/>
    </w:rPr>
  </w:style>
  <w:style w:type="paragraph" w:customStyle="1" w:styleId="369">
    <w:name w:val="±êÌâ2"/>
    <w:basedOn w:val="1"/>
    <w:qFormat/>
    <w:uiPriority w:val="0"/>
    <w:pPr>
      <w:widowControl/>
      <w:snapToGrid w:val="0"/>
      <w:spacing w:before="120" w:after="120"/>
      <w:jc w:val="left"/>
    </w:pPr>
    <w:rPr>
      <w:rFonts w:ascii="Songti SC" w:hAnsi="Songti SC" w:eastAsia="Songti SC"/>
      <w:b/>
      <w:kern w:val="0"/>
      <w:sz w:val="28"/>
      <w:lang w:eastAsia="en-US" w:bidi="en-US"/>
    </w:rPr>
  </w:style>
  <w:style w:type="paragraph" w:customStyle="1" w:styleId="370">
    <w:name w:val="标题111"/>
    <w:basedOn w:val="1"/>
    <w:semiHidden/>
    <w:qFormat/>
    <w:uiPriority w:val="0"/>
    <w:pPr>
      <w:widowControl/>
      <w:autoSpaceDE w:val="0"/>
      <w:autoSpaceDN w:val="0"/>
      <w:adjustRightInd w:val="0"/>
      <w:snapToGrid w:val="0"/>
      <w:spacing w:beforeLines="20" w:afterLines="20"/>
      <w:ind w:left="400" w:leftChars="400"/>
      <w:jc w:val="left"/>
    </w:pPr>
    <w:rPr>
      <w:rFonts w:ascii="Songti SC" w:hAnsi="Songti SC" w:eastAsia="Songti SC"/>
      <w:b/>
      <w:kern w:val="0"/>
      <w:sz w:val="31"/>
      <w:lang w:eastAsia="en-US" w:bidi="en-US"/>
    </w:rPr>
  </w:style>
  <w:style w:type="paragraph" w:customStyle="1" w:styleId="371">
    <w:name w:val="标题2"/>
    <w:basedOn w:val="1"/>
    <w:semiHidden/>
    <w:qFormat/>
    <w:uiPriority w:val="0"/>
    <w:pPr>
      <w:widowControl/>
      <w:autoSpaceDE w:val="0"/>
      <w:autoSpaceDN w:val="0"/>
      <w:adjustRightInd w:val="0"/>
      <w:snapToGrid w:val="0"/>
      <w:spacing w:beforeLines="20" w:afterLines="20"/>
      <w:ind w:left="400" w:leftChars="400"/>
      <w:jc w:val="left"/>
    </w:pPr>
    <w:rPr>
      <w:rFonts w:ascii="Songti SC" w:hAnsi="Songti SC" w:eastAsia="Songti SC"/>
      <w:b/>
      <w:kern w:val="0"/>
      <w:sz w:val="28"/>
      <w:lang w:eastAsia="en-US" w:bidi="en-US"/>
    </w:rPr>
  </w:style>
  <w:style w:type="paragraph" w:customStyle="1" w:styleId="372">
    <w:name w:val="目录"/>
    <w:basedOn w:val="39"/>
    <w:autoRedefine/>
    <w:qFormat/>
    <w:uiPriority w:val="0"/>
    <w:pPr>
      <w:widowControl/>
      <w:tabs>
        <w:tab w:val="left" w:pos="315"/>
        <w:tab w:val="left" w:pos="360"/>
        <w:tab w:val="left" w:pos="420"/>
        <w:tab w:val="right" w:leader="dot" w:pos="8720"/>
        <w:tab w:val="right" w:leader="dot" w:pos="9736"/>
      </w:tabs>
      <w:ind w:firstLine="353"/>
      <w:jc w:val="center"/>
    </w:pPr>
    <w:rPr>
      <w:rFonts w:ascii="Songti SC" w:hAnsi="Songti SC" w:eastAsia="Songti SC" w:cs="宋体"/>
      <w:b w:val="0"/>
      <w:bCs w:val="0"/>
      <w:caps w:val="0"/>
      <w:kern w:val="0"/>
      <w:sz w:val="32"/>
      <w:szCs w:val="21"/>
      <w:lang w:eastAsia="en-US" w:bidi="en-US"/>
    </w:rPr>
  </w:style>
  <w:style w:type="paragraph" w:customStyle="1" w:styleId="373">
    <w:name w:val="样式 课程名 + 段前: 1 行"/>
    <w:basedOn w:val="364"/>
    <w:qFormat/>
    <w:uiPriority w:val="0"/>
    <w:rPr>
      <w:rFonts w:ascii="Songti SC" w:hAnsi="Songti SC" w:eastAsia="Songti SC"/>
      <w:bCs/>
      <w:szCs w:val="20"/>
    </w:rPr>
  </w:style>
  <w:style w:type="paragraph" w:customStyle="1" w:styleId="374">
    <w:name w:val="text2"/>
    <w:basedOn w:val="1"/>
    <w:qFormat/>
    <w:uiPriority w:val="0"/>
    <w:pPr>
      <w:widowControl/>
      <w:spacing w:beforeLines="10" w:afterLines="10"/>
      <w:jc w:val="left"/>
    </w:pPr>
    <w:rPr>
      <w:rFonts w:ascii="Songti SC" w:hAnsi="Songti SC" w:eastAsia="Songti SC"/>
      <w:kern w:val="0"/>
      <w:sz w:val="20"/>
      <w:lang w:eastAsia="en-US" w:bidi="en-US"/>
    </w:rPr>
  </w:style>
  <w:style w:type="paragraph" w:customStyle="1" w:styleId="375">
    <w:name w:val="Item text Char Char"/>
    <w:link w:val="376"/>
    <w:qFormat/>
    <w:uiPriority w:val="0"/>
    <w:pPr>
      <w:tabs>
        <w:tab w:val="left" w:pos="425"/>
      </w:tabs>
      <w:spacing w:after="200" w:line="360" w:lineRule="auto"/>
      <w:ind w:left="426" w:hanging="284"/>
      <w:jc w:val="both"/>
    </w:pPr>
    <w:rPr>
      <w:rFonts w:ascii="Songti SC" w:hAnsi="Songti SC" w:eastAsia="Songti SC" w:cs="宋体"/>
      <w:kern w:val="2"/>
      <w:sz w:val="18"/>
      <w:szCs w:val="24"/>
      <w:lang w:val="en-US" w:eastAsia="en-US" w:bidi="en-US"/>
    </w:rPr>
  </w:style>
  <w:style w:type="character" w:customStyle="1" w:styleId="376">
    <w:name w:val="Item text Char Char Char"/>
    <w:basedOn w:val="70"/>
    <w:link w:val="375"/>
    <w:qFormat/>
    <w:uiPriority w:val="0"/>
    <w:rPr>
      <w:rFonts w:ascii="Songti SC" w:hAnsi="Songti SC" w:eastAsia="Songti SC" w:cs="宋体"/>
      <w:sz w:val="18"/>
      <w:szCs w:val="24"/>
      <w:lang w:eastAsia="en-US" w:bidi="en-US"/>
    </w:rPr>
  </w:style>
  <w:style w:type="paragraph" w:customStyle="1" w:styleId="377">
    <w:name w:val="Item text"/>
    <w:qFormat/>
    <w:uiPriority w:val="0"/>
    <w:pPr>
      <w:tabs>
        <w:tab w:val="left" w:pos="425"/>
      </w:tabs>
      <w:spacing w:after="200" w:line="360" w:lineRule="auto"/>
      <w:ind w:left="426" w:hanging="284"/>
      <w:jc w:val="both"/>
    </w:pPr>
    <w:rPr>
      <w:rFonts w:ascii="Songti SC" w:hAnsi="Songti SC" w:eastAsia="Songti SC" w:cs="宋体"/>
      <w:kern w:val="2"/>
      <w:sz w:val="22"/>
      <w:szCs w:val="24"/>
      <w:lang w:val="en-US" w:eastAsia="en-US" w:bidi="en-US"/>
    </w:rPr>
  </w:style>
  <w:style w:type="paragraph" w:customStyle="1" w:styleId="378">
    <w:name w:val="Courses"/>
    <w:qFormat/>
    <w:uiPriority w:val="0"/>
    <w:pPr>
      <w:pageBreakBefore/>
      <w:shd w:val="clear" w:color="auto" w:fill="E0E0E0"/>
      <w:spacing w:before="240" w:after="200" w:line="360" w:lineRule="auto"/>
      <w:jc w:val="both"/>
      <w:outlineLvl w:val="2"/>
    </w:pPr>
    <w:rPr>
      <w:rFonts w:ascii="Songti SC" w:hAnsi="Songti SC" w:eastAsia="Songti SC" w:cs="宋体"/>
      <w:b/>
      <w:kern w:val="2"/>
      <w:sz w:val="22"/>
      <w:szCs w:val="24"/>
      <w:lang w:val="en-US" w:eastAsia="en-US" w:bidi="en-US"/>
    </w:rPr>
  </w:style>
  <w:style w:type="paragraph" w:customStyle="1" w:styleId="379">
    <w:name w:val="Char Char1 Char Char Char Char"/>
    <w:basedOn w:val="1"/>
    <w:qFormat/>
    <w:uiPriority w:val="0"/>
    <w:pPr>
      <w:widowControl/>
      <w:jc w:val="left"/>
    </w:pPr>
    <w:rPr>
      <w:rFonts w:ascii="Songti SC" w:hAnsi="Songti SC" w:eastAsia="Songti SC"/>
      <w:kern w:val="0"/>
      <w:lang w:eastAsia="en-US" w:bidi="en-US"/>
    </w:rPr>
  </w:style>
  <w:style w:type="paragraph" w:customStyle="1" w:styleId="380">
    <w:name w:val="Char Char11"/>
    <w:basedOn w:val="1"/>
    <w:qFormat/>
    <w:uiPriority w:val="0"/>
    <w:pPr>
      <w:widowControl/>
      <w:jc w:val="left"/>
    </w:pPr>
    <w:rPr>
      <w:rFonts w:ascii="Songti SC" w:hAnsi="Songti SC" w:eastAsia="Songti SC"/>
      <w:kern w:val="0"/>
      <w:lang w:eastAsia="en-US" w:bidi="en-US"/>
    </w:rPr>
  </w:style>
  <w:style w:type="paragraph" w:customStyle="1" w:styleId="381">
    <w:name w:val="Char Char1 Char"/>
    <w:basedOn w:val="1"/>
    <w:qFormat/>
    <w:uiPriority w:val="0"/>
    <w:pPr>
      <w:widowControl/>
      <w:jc w:val="left"/>
    </w:pPr>
    <w:rPr>
      <w:rFonts w:ascii="Songti SC" w:hAnsi="Songti SC" w:eastAsia="Songti SC"/>
      <w:kern w:val="0"/>
      <w:lang w:eastAsia="en-US" w:bidi="en-US"/>
    </w:rPr>
  </w:style>
  <w:style w:type="paragraph" w:customStyle="1" w:styleId="382">
    <w:name w:val="X"/>
    <w:basedOn w:val="4"/>
    <w:qFormat/>
    <w:uiPriority w:val="0"/>
    <w:pPr>
      <w:widowControl/>
      <w:tabs>
        <w:tab w:val="left" w:pos="851"/>
      </w:tabs>
      <w:spacing w:before="156" w:after="156"/>
      <w:ind w:left="851" w:hanging="851"/>
    </w:pPr>
    <w:rPr>
      <w:rFonts w:ascii="Songti SC" w:hAnsi="Songti SC" w:eastAsia="Songti SC"/>
      <w:b/>
      <w:color w:val="000000"/>
      <w:kern w:val="0"/>
      <w:sz w:val="24"/>
      <w:szCs w:val="24"/>
    </w:rPr>
  </w:style>
  <w:style w:type="paragraph" w:customStyle="1" w:styleId="383">
    <w:name w:val="D"/>
    <w:basedOn w:val="5"/>
    <w:link w:val="386"/>
    <w:qFormat/>
    <w:uiPriority w:val="0"/>
    <w:pPr>
      <w:tabs>
        <w:tab w:val="left" w:pos="864"/>
      </w:tabs>
      <w:spacing w:before="240" w:after="290" w:afterLines="50" w:line="376" w:lineRule="auto"/>
      <w:ind w:left="864" w:hanging="864"/>
    </w:pPr>
    <w:rPr>
      <w:rFonts w:ascii="Songti SC" w:hAnsi="Songti SC" w:eastAsia="Songti SC"/>
      <w:color w:val="000000"/>
      <w:kern w:val="0"/>
      <w:szCs w:val="21"/>
      <w:lang w:eastAsia="en-US"/>
    </w:rPr>
  </w:style>
  <w:style w:type="paragraph" w:customStyle="1" w:styleId="384">
    <w:name w:val="J"/>
    <w:basedOn w:val="287"/>
    <w:qFormat/>
    <w:uiPriority w:val="0"/>
    <w:pPr>
      <w:numPr>
        <w:ilvl w:val="0"/>
        <w:numId w:val="26"/>
      </w:numPr>
      <w:tabs>
        <w:tab w:val="clear" w:pos="420"/>
        <w:tab w:val="clear" w:pos="851"/>
      </w:tabs>
      <w:spacing w:line="360" w:lineRule="auto"/>
      <w:ind w:left="1170" w:hanging="1170"/>
    </w:pPr>
    <w:rPr>
      <w:rFonts w:ascii="Songti SC" w:hAnsi="Songti SC" w:eastAsia="Songti SC"/>
      <w:color w:val="000000"/>
      <w:szCs w:val="24"/>
    </w:rPr>
  </w:style>
  <w:style w:type="paragraph" w:customStyle="1" w:styleId="385">
    <w:name w:val="样式2"/>
    <w:basedOn w:val="5"/>
    <w:link w:val="571"/>
    <w:qFormat/>
    <w:uiPriority w:val="0"/>
    <w:pPr>
      <w:numPr>
        <w:ilvl w:val="0"/>
        <w:numId w:val="27"/>
      </w:numPr>
      <w:tabs>
        <w:tab w:val="left" w:pos="567"/>
      </w:tabs>
      <w:spacing w:before="156" w:after="290" w:afterLines="50"/>
      <w:ind w:left="2100" w:hanging="420"/>
    </w:pPr>
    <w:rPr>
      <w:rFonts w:ascii="Songti SC" w:hAnsi="Songti SC" w:eastAsia="Songti SC"/>
      <w:sz w:val="21"/>
      <w:lang w:eastAsia="en-US"/>
    </w:rPr>
  </w:style>
  <w:style w:type="character" w:customStyle="1" w:styleId="386">
    <w:name w:val="D Char"/>
    <w:basedOn w:val="70"/>
    <w:link w:val="383"/>
    <w:qFormat/>
    <w:uiPriority w:val="0"/>
    <w:rPr>
      <w:rFonts w:ascii="Songti SC" w:hAnsi="Songti SC" w:eastAsia="Songti SC" w:cs="宋体"/>
      <w:bCs/>
      <w:color w:val="000000"/>
      <w:sz w:val="28"/>
      <w:szCs w:val="21"/>
      <w:lang w:eastAsia="en-US" w:bidi="en-US"/>
    </w:rPr>
  </w:style>
  <w:style w:type="character" w:customStyle="1" w:styleId="387">
    <w:name w:val="Item List + 左 Char"/>
    <w:basedOn w:val="70"/>
    <w:link w:val="388"/>
    <w:qFormat/>
    <w:uiPriority w:val="0"/>
    <w:rPr>
      <w:rFonts w:ascii="Songti SC" w:hAnsi="Songti SC" w:eastAsia="Songti SC" w:cstheme="minorBidi"/>
      <w:b/>
      <w:bCs/>
      <w:kern w:val="2"/>
      <w:sz w:val="24"/>
      <w:szCs w:val="24"/>
    </w:rPr>
  </w:style>
  <w:style w:type="paragraph" w:customStyle="1" w:styleId="388">
    <w:name w:val="Item List + 左"/>
    <w:basedOn w:val="22"/>
    <w:link w:val="387"/>
    <w:qFormat/>
    <w:uiPriority w:val="0"/>
    <w:pPr>
      <w:widowControl/>
      <w:numPr>
        <w:ilvl w:val="0"/>
        <w:numId w:val="28"/>
      </w:numPr>
      <w:tabs>
        <w:tab w:val="left" w:pos="420"/>
      </w:tabs>
      <w:autoSpaceDE w:val="0"/>
      <w:autoSpaceDN w:val="0"/>
      <w:adjustRightInd w:val="0"/>
      <w:spacing w:before="80"/>
      <w:jc w:val="left"/>
    </w:pPr>
    <w:rPr>
      <w:rFonts w:ascii="Songti SC" w:hAnsi="Songti SC" w:eastAsia="Songti SC" w:cstheme="minorBidi"/>
      <w:b/>
      <w:bCs/>
    </w:rPr>
  </w:style>
  <w:style w:type="paragraph" w:customStyle="1" w:styleId="389">
    <w:name w:val="tabledescription"/>
    <w:basedOn w:val="1"/>
    <w:qFormat/>
    <w:uiPriority w:val="0"/>
    <w:pPr>
      <w:widowControl/>
      <w:spacing w:before="100" w:beforeAutospacing="1" w:after="100" w:afterAutospacing="1"/>
      <w:jc w:val="left"/>
    </w:pPr>
    <w:rPr>
      <w:rFonts w:ascii="Songti SC" w:hAnsi="Songti SC" w:eastAsia="Songti SC"/>
      <w:kern w:val="0"/>
      <w:lang w:eastAsia="en-US" w:bidi="en-US"/>
    </w:rPr>
  </w:style>
  <w:style w:type="paragraph" w:customStyle="1" w:styleId="390">
    <w:name w:val="Terminal Display"/>
    <w:link w:val="391"/>
    <w:qFormat/>
    <w:uiPriority w:val="0"/>
    <w:pPr>
      <w:widowControl w:val="0"/>
      <w:spacing w:before="40" w:after="40" w:line="240" w:lineRule="exact"/>
      <w:ind w:left="624"/>
      <w:jc w:val="both"/>
    </w:pPr>
    <w:rPr>
      <w:rFonts w:ascii="Songti SC" w:hAnsi="Songti SC" w:eastAsia="Songti SC" w:cs="宋体"/>
      <w:sz w:val="17"/>
      <w:szCs w:val="17"/>
      <w:lang w:val="en-US" w:eastAsia="en-US" w:bidi="en-US"/>
    </w:rPr>
  </w:style>
  <w:style w:type="character" w:customStyle="1" w:styleId="391">
    <w:name w:val="Terminal Display Char"/>
    <w:basedOn w:val="70"/>
    <w:link w:val="390"/>
    <w:qFormat/>
    <w:uiPriority w:val="0"/>
    <w:rPr>
      <w:rFonts w:ascii="Songti SC" w:hAnsi="Songti SC" w:eastAsia="Songti SC" w:cs="宋体"/>
      <w:kern w:val="0"/>
      <w:sz w:val="17"/>
      <w:szCs w:val="17"/>
      <w:lang w:eastAsia="en-US" w:bidi="en-US"/>
    </w:rPr>
  </w:style>
  <w:style w:type="paragraph" w:customStyle="1" w:styleId="392">
    <w:name w:val="tabletext"/>
    <w:basedOn w:val="1"/>
    <w:qFormat/>
    <w:uiPriority w:val="0"/>
    <w:pPr>
      <w:widowControl/>
      <w:spacing w:before="100" w:beforeAutospacing="1" w:after="100" w:afterAutospacing="1"/>
      <w:jc w:val="left"/>
    </w:pPr>
    <w:rPr>
      <w:rFonts w:ascii="Songti SC" w:hAnsi="Songti SC" w:eastAsia="Songti SC"/>
      <w:kern w:val="0"/>
      <w:lang w:eastAsia="en-US" w:bidi="en-US"/>
    </w:rPr>
  </w:style>
  <w:style w:type="paragraph" w:customStyle="1" w:styleId="393">
    <w:name w:val="notestextlist"/>
    <w:basedOn w:val="1"/>
    <w:qFormat/>
    <w:uiPriority w:val="0"/>
    <w:pPr>
      <w:widowControl/>
      <w:spacing w:before="100" w:beforeAutospacing="1" w:after="100" w:afterAutospacing="1"/>
      <w:jc w:val="left"/>
    </w:pPr>
    <w:rPr>
      <w:rFonts w:ascii="Songti SC" w:hAnsi="Songti SC" w:eastAsia="Songti SC"/>
      <w:kern w:val="0"/>
      <w:lang w:eastAsia="en-US" w:bidi="en-US"/>
    </w:rPr>
  </w:style>
  <w:style w:type="paragraph" w:customStyle="1" w:styleId="394">
    <w:name w:val="notestext"/>
    <w:basedOn w:val="1"/>
    <w:qFormat/>
    <w:uiPriority w:val="0"/>
    <w:pPr>
      <w:widowControl/>
      <w:spacing w:before="100" w:beforeAutospacing="1" w:after="100" w:afterAutospacing="1"/>
      <w:jc w:val="left"/>
    </w:pPr>
    <w:rPr>
      <w:rFonts w:ascii="Songti SC" w:hAnsi="Songti SC" w:eastAsia="Songti SC"/>
      <w:kern w:val="0"/>
      <w:lang w:eastAsia="en-US" w:bidi="en-US"/>
    </w:rPr>
  </w:style>
  <w:style w:type="character" w:customStyle="1" w:styleId="395">
    <w:name w:val="show_lync_status"/>
    <w:basedOn w:val="70"/>
    <w:qFormat/>
    <w:uiPriority w:val="0"/>
    <w:rPr>
      <w:rFonts w:ascii="Songti SC" w:hAnsi="Songti SC" w:eastAsia="Songti SC"/>
    </w:rPr>
  </w:style>
  <w:style w:type="paragraph" w:customStyle="1" w:styleId="396">
    <w:name w:val="Instructional Text"/>
    <w:basedOn w:val="22"/>
    <w:qFormat/>
    <w:uiPriority w:val="0"/>
    <w:pPr>
      <w:widowControl/>
      <w:spacing w:after="0"/>
      <w:ind w:left="360" w:firstLine="425"/>
      <w:jc w:val="left"/>
    </w:pPr>
    <w:rPr>
      <w:rFonts w:ascii="Songti SC" w:hAnsi="Songti SC" w:eastAsia="Songti SC"/>
      <w:i/>
      <w:color w:val="000000"/>
      <w:kern w:val="0"/>
      <w:sz w:val="18"/>
      <w:szCs w:val="18"/>
      <w:lang w:eastAsia="en-US" w:bidi="en-US"/>
    </w:rPr>
  </w:style>
  <w:style w:type="paragraph" w:customStyle="1" w:styleId="397">
    <w:name w:val="封面公司名"/>
    <w:qFormat/>
    <w:uiPriority w:val="0"/>
    <w:pPr>
      <w:spacing w:after="200" w:line="276" w:lineRule="auto"/>
      <w:jc w:val="center"/>
    </w:pPr>
    <w:rPr>
      <w:rFonts w:ascii="Songti SC" w:hAnsi="Songti SC" w:eastAsia="Songti SC" w:cs="宋体"/>
      <w:bCs/>
      <w:kern w:val="2"/>
      <w:sz w:val="28"/>
      <w:szCs w:val="22"/>
      <w:lang w:val="en-US" w:eastAsia="en-US" w:bidi="en-US"/>
    </w:rPr>
  </w:style>
  <w:style w:type="paragraph" w:customStyle="1" w:styleId="398">
    <w:name w:val="有符号正文"/>
    <w:basedOn w:val="1"/>
    <w:qFormat/>
    <w:uiPriority w:val="0"/>
    <w:pPr>
      <w:widowControl/>
      <w:spacing w:line="400" w:lineRule="exact"/>
      <w:jc w:val="left"/>
    </w:pPr>
    <w:rPr>
      <w:rFonts w:ascii="Songti SC" w:hAnsi="Songti SC" w:eastAsia="Songti SC"/>
      <w:kern w:val="0"/>
      <w:lang w:eastAsia="en-US" w:bidi="en-US"/>
    </w:rPr>
  </w:style>
  <w:style w:type="paragraph" w:customStyle="1" w:styleId="399">
    <w:name w:val="表格标题2"/>
    <w:basedOn w:val="288"/>
    <w:qFormat/>
    <w:uiPriority w:val="0"/>
    <w:rPr>
      <w:rFonts w:ascii="Songti SC" w:hAnsi="Songti SC" w:eastAsia="Songti SC"/>
      <w:b/>
    </w:rPr>
  </w:style>
  <w:style w:type="paragraph" w:customStyle="1" w:styleId="400">
    <w:name w:val="表格标题1"/>
    <w:basedOn w:val="1"/>
    <w:qFormat/>
    <w:uiPriority w:val="0"/>
    <w:pPr>
      <w:widowControl/>
      <w:spacing w:line="400" w:lineRule="exact"/>
      <w:jc w:val="center"/>
    </w:pPr>
    <w:rPr>
      <w:rFonts w:ascii="Songti SC" w:hAnsi="Songti SC" w:eastAsia="Songti SC"/>
      <w:b/>
      <w:bCs/>
      <w:kern w:val="0"/>
      <w:szCs w:val="21"/>
      <w:lang w:eastAsia="en-US" w:bidi="en-US"/>
    </w:rPr>
  </w:style>
  <w:style w:type="paragraph" w:customStyle="1" w:styleId="401">
    <w:name w:val="图片"/>
    <w:basedOn w:val="1"/>
    <w:next w:val="309"/>
    <w:autoRedefine/>
    <w:qFormat/>
    <w:uiPriority w:val="0"/>
    <w:pPr>
      <w:widowControl/>
      <w:spacing w:beforeLines="50" w:afterLines="50"/>
      <w:jc w:val="center"/>
    </w:pPr>
    <w:rPr>
      <w:rFonts w:ascii="Songti SC" w:hAnsi="Songti SC" w:eastAsia="Songti SC"/>
      <w:kern w:val="0"/>
      <w:lang w:eastAsia="en-US" w:bidi="en-US"/>
    </w:rPr>
  </w:style>
  <w:style w:type="paragraph" w:customStyle="1" w:styleId="402">
    <w:name w:val="附录 Heading 2"/>
    <w:basedOn w:val="3"/>
    <w:autoRedefine/>
    <w:qFormat/>
    <w:uiPriority w:val="0"/>
    <w:pPr>
      <w:widowControl/>
      <w:numPr>
        <w:ilvl w:val="0"/>
        <w:numId w:val="0"/>
      </w:numPr>
      <w:tabs>
        <w:tab w:val="left" w:pos="0"/>
        <w:tab w:val="left" w:pos="4500"/>
      </w:tabs>
      <w:spacing w:before="260" w:beforeLines="50" w:after="260" w:afterLines="50" w:line="288" w:lineRule="auto"/>
      <w:ind w:left="1440" w:hanging="425"/>
    </w:pPr>
    <w:rPr>
      <w:rFonts w:ascii="Songti SC" w:hAnsi="Songti SC" w:eastAsia="Songti SC"/>
      <w:i/>
      <w:iCs w:val="0"/>
      <w:kern w:val="0"/>
      <w:szCs w:val="28"/>
    </w:rPr>
  </w:style>
  <w:style w:type="paragraph" w:customStyle="1" w:styleId="403">
    <w:name w:val="Heading A"/>
    <w:basedOn w:val="2"/>
    <w:next w:val="22"/>
    <w:qFormat/>
    <w:uiPriority w:val="0"/>
    <w:pPr>
      <w:widowControl/>
      <w:tabs>
        <w:tab w:val="left" w:pos="1644"/>
      </w:tabs>
      <w:overflowPunct w:val="0"/>
      <w:autoSpaceDE w:val="0"/>
      <w:autoSpaceDN w:val="0"/>
      <w:adjustRightInd w:val="0"/>
      <w:spacing w:before="340" w:after="330"/>
      <w:textAlignment w:val="baseline"/>
      <w:outlineLvl w:val="9"/>
    </w:pPr>
    <w:rPr>
      <w:rFonts w:ascii="Songti SC" w:hAnsi="Songti SC" w:eastAsia="Songti SC"/>
      <w:kern w:val="28"/>
      <w:szCs w:val="32"/>
    </w:rPr>
  </w:style>
  <w:style w:type="paragraph" w:customStyle="1" w:styleId="404">
    <w:name w:val="Heading B"/>
    <w:basedOn w:val="3"/>
    <w:next w:val="22"/>
    <w:qFormat/>
    <w:uiPriority w:val="0"/>
    <w:pPr>
      <w:widowControl/>
      <w:pBdr>
        <w:top w:val="single" w:color="auto" w:sz="6" w:space="1"/>
      </w:pBdr>
      <w:tabs>
        <w:tab w:val="left" w:pos="1644"/>
        <w:tab w:val="left" w:pos="4500"/>
      </w:tabs>
      <w:overflowPunct w:val="0"/>
      <w:autoSpaceDE w:val="0"/>
      <w:autoSpaceDN w:val="0"/>
      <w:adjustRightInd w:val="0"/>
      <w:spacing w:before="260" w:beforeLines="50" w:after="260" w:afterLines="50" w:line="240" w:lineRule="auto"/>
      <w:ind w:left="1440" w:hanging="1440"/>
      <w:textAlignment w:val="baseline"/>
      <w:outlineLvl w:val="9"/>
    </w:pPr>
    <w:rPr>
      <w:rFonts w:ascii="Songti SC" w:hAnsi="Songti SC" w:eastAsia="Songti SC"/>
      <w:i/>
      <w:iCs w:val="0"/>
      <w:kern w:val="0"/>
      <w:sz w:val="24"/>
      <w:szCs w:val="28"/>
    </w:rPr>
  </w:style>
  <w:style w:type="paragraph" w:customStyle="1" w:styleId="405">
    <w:name w:val="Comment"/>
    <w:basedOn w:val="1"/>
    <w:qFormat/>
    <w:uiPriority w:val="0"/>
    <w:pPr>
      <w:widowControl/>
      <w:overflowPunct w:val="0"/>
      <w:autoSpaceDE w:val="0"/>
      <w:autoSpaceDN w:val="0"/>
      <w:adjustRightInd w:val="0"/>
      <w:spacing w:after="100"/>
      <w:jc w:val="left"/>
      <w:textAlignment w:val="baseline"/>
    </w:pPr>
    <w:rPr>
      <w:rFonts w:ascii="Songti SC" w:hAnsi="Songti SC" w:eastAsia="Songti SC"/>
      <w:color w:val="000000"/>
      <w:kern w:val="0"/>
      <w:sz w:val="20"/>
      <w:lang w:eastAsia="en-US" w:bidi="en-US"/>
    </w:rPr>
  </w:style>
  <w:style w:type="character" w:customStyle="1" w:styleId="406">
    <w:name w:val="Style Heading A + (Latin) 楷体_GB2312 (Asian) 楷体_GB2312 Char"/>
    <w:qFormat/>
    <w:uiPriority w:val="0"/>
    <w:rPr>
      <w:rFonts w:ascii="Songti SC" w:hAnsi="Songti SC" w:eastAsia="Songti SC" w:cs="宋体"/>
      <w:b/>
      <w:kern w:val="28"/>
      <w:sz w:val="36"/>
      <w:lang w:val="en-US" w:eastAsia="zh-CN" w:bidi="ar-SA"/>
    </w:rPr>
  </w:style>
  <w:style w:type="character" w:customStyle="1" w:styleId="407">
    <w:name w:val="Style Heading A + (Latin) Times New Roman (Asian) 楷体_GB2312 Char"/>
    <w:qFormat/>
    <w:uiPriority w:val="0"/>
    <w:rPr>
      <w:rFonts w:ascii="Songti SC" w:hAnsi="Songti SC" w:eastAsia="Songti SC" w:cs="宋体"/>
      <w:b/>
      <w:kern w:val="28"/>
      <w:sz w:val="36"/>
      <w:lang w:val="en-US" w:eastAsia="zh-CN" w:bidi="ar-SA"/>
    </w:rPr>
  </w:style>
  <w:style w:type="paragraph" w:customStyle="1" w:styleId="408">
    <w:name w:val="序2"/>
    <w:basedOn w:val="1"/>
    <w:qFormat/>
    <w:uiPriority w:val="0"/>
    <w:pPr>
      <w:widowControl/>
      <w:tabs>
        <w:tab w:val="left" w:pos="360"/>
      </w:tabs>
      <w:ind w:left="360" w:hanging="360"/>
      <w:jc w:val="left"/>
    </w:pPr>
    <w:rPr>
      <w:rFonts w:ascii="Songti SC" w:hAnsi="Songti SC" w:eastAsia="Songti SC"/>
      <w:b/>
      <w:bCs/>
      <w:kern w:val="0"/>
      <w:sz w:val="44"/>
      <w:lang w:eastAsia="en-US" w:bidi="en-US"/>
    </w:rPr>
  </w:style>
  <w:style w:type="paragraph" w:customStyle="1" w:styleId="409">
    <w:name w:val="序3"/>
    <w:basedOn w:val="1"/>
    <w:qFormat/>
    <w:uiPriority w:val="0"/>
    <w:pPr>
      <w:widowControl/>
      <w:tabs>
        <w:tab w:val="left" w:pos="643"/>
      </w:tabs>
      <w:ind w:left="643" w:hanging="360"/>
      <w:jc w:val="left"/>
    </w:pPr>
    <w:rPr>
      <w:rFonts w:ascii="Songti SC" w:hAnsi="Songti SC" w:eastAsia="Songti SC"/>
      <w:b/>
      <w:bCs/>
      <w:kern w:val="0"/>
      <w:lang w:eastAsia="en-US" w:bidi="en-US"/>
    </w:rPr>
  </w:style>
  <w:style w:type="paragraph" w:customStyle="1" w:styleId="410">
    <w:name w:val="Bullet 1"/>
    <w:basedOn w:val="1"/>
    <w:qFormat/>
    <w:uiPriority w:val="0"/>
    <w:pPr>
      <w:widowControl/>
      <w:numPr>
        <w:ilvl w:val="0"/>
        <w:numId w:val="29"/>
      </w:numPr>
      <w:autoSpaceDE w:val="0"/>
      <w:autoSpaceDN w:val="0"/>
      <w:spacing w:after="72"/>
      <w:ind w:left="810" w:hanging="810"/>
      <w:jc w:val="left"/>
    </w:pPr>
    <w:rPr>
      <w:rFonts w:ascii="Songti SC" w:hAnsi="Songti SC" w:eastAsia="Songti SC"/>
      <w:kern w:val="0"/>
      <w:lang w:eastAsia="en-US" w:bidi="en-US"/>
    </w:rPr>
  </w:style>
  <w:style w:type="paragraph" w:customStyle="1" w:styleId="411">
    <w:name w:val="section list2"/>
    <w:basedOn w:val="1"/>
    <w:autoRedefine/>
    <w:qFormat/>
    <w:uiPriority w:val="0"/>
    <w:pPr>
      <w:widowControl/>
      <w:tabs>
        <w:tab w:val="left" w:pos="780"/>
      </w:tabs>
      <w:autoSpaceDE w:val="0"/>
      <w:autoSpaceDN w:val="0"/>
      <w:ind w:left="780" w:hanging="360"/>
      <w:jc w:val="left"/>
    </w:pPr>
    <w:rPr>
      <w:rFonts w:ascii="Songti SC" w:hAnsi="Songti SC" w:eastAsia="Songti SC"/>
      <w:spacing w:val="20"/>
      <w:kern w:val="0"/>
      <w:lang w:eastAsia="en-US" w:bidi="en-US"/>
    </w:rPr>
  </w:style>
  <w:style w:type="paragraph" w:customStyle="1" w:styleId="412">
    <w:name w:val="标题下列示"/>
    <w:basedOn w:val="413"/>
    <w:next w:val="414"/>
    <w:qFormat/>
    <w:uiPriority w:val="0"/>
    <w:pPr>
      <w:numPr>
        <w:numId w:val="30"/>
      </w:numPr>
      <w:ind w:left="720" w:hanging="720"/>
    </w:pPr>
    <w:rPr>
      <w:rFonts w:ascii="Songti SC" w:hAnsi="Songti SC" w:eastAsia="Songti SC"/>
    </w:rPr>
  </w:style>
  <w:style w:type="paragraph" w:customStyle="1" w:styleId="413">
    <w:name w:val="标题下顺序"/>
    <w:basedOn w:val="1"/>
    <w:qFormat/>
    <w:uiPriority w:val="0"/>
    <w:pPr>
      <w:widowControl/>
      <w:numPr>
        <w:ilvl w:val="0"/>
        <w:numId w:val="31"/>
      </w:numPr>
      <w:tabs>
        <w:tab w:val="clear" w:pos="360"/>
      </w:tabs>
      <w:spacing w:beforeLines="50" w:line="0" w:lineRule="atLeast"/>
      <w:ind w:left="1020" w:hanging="1020"/>
      <w:jc w:val="left"/>
    </w:pPr>
    <w:rPr>
      <w:rFonts w:ascii="Songti SC" w:hAnsi="Songti SC" w:eastAsia="Songti SC"/>
      <w:kern w:val="0"/>
      <w:sz w:val="28"/>
      <w:lang w:eastAsia="en-US" w:bidi="en-US"/>
    </w:rPr>
  </w:style>
  <w:style w:type="paragraph" w:customStyle="1" w:styleId="414">
    <w:name w:val="标题下顺序正文"/>
    <w:basedOn w:val="1"/>
    <w:qFormat/>
    <w:uiPriority w:val="0"/>
    <w:pPr>
      <w:widowControl/>
      <w:spacing w:beforeLines="50" w:line="0" w:lineRule="atLeast"/>
      <w:ind w:left="1049" w:leftChars="437" w:firstLine="1"/>
      <w:jc w:val="left"/>
    </w:pPr>
    <w:rPr>
      <w:rFonts w:ascii="Songti SC" w:hAnsi="Songti SC" w:eastAsia="Songti SC"/>
      <w:kern w:val="0"/>
      <w:lang w:eastAsia="en-US" w:bidi="en-US"/>
    </w:rPr>
  </w:style>
  <w:style w:type="paragraph" w:customStyle="1" w:styleId="415">
    <w:name w:val="标题下列示顺序"/>
    <w:basedOn w:val="414"/>
    <w:qFormat/>
    <w:uiPriority w:val="0"/>
    <w:pPr>
      <w:tabs>
        <w:tab w:val="left" w:pos="425"/>
      </w:tabs>
      <w:ind w:left="0" w:leftChars="0" w:hanging="425"/>
    </w:pPr>
    <w:rPr>
      <w:rFonts w:ascii="Songti SC" w:hAnsi="Songti SC" w:eastAsia="Songti SC"/>
    </w:rPr>
  </w:style>
  <w:style w:type="paragraph" w:customStyle="1" w:styleId="416">
    <w:name w:val="Reader's comments"/>
    <w:basedOn w:val="1"/>
    <w:qFormat/>
    <w:uiPriority w:val="0"/>
    <w:pPr>
      <w:widowControl/>
      <w:overflowPunct w:val="0"/>
      <w:autoSpaceDE w:val="0"/>
      <w:autoSpaceDN w:val="0"/>
      <w:adjustRightInd w:val="0"/>
      <w:spacing w:after="120"/>
      <w:jc w:val="left"/>
      <w:textAlignment w:val="baseline"/>
    </w:pPr>
    <w:rPr>
      <w:rFonts w:ascii="Songti SC" w:hAnsi="Songti SC" w:eastAsia="Songti SC"/>
      <w:i/>
      <w:iCs/>
      <w:color w:val="000000"/>
      <w:kern w:val="0"/>
      <w:sz w:val="20"/>
      <w:lang w:eastAsia="en-US" w:bidi="en-US"/>
    </w:rPr>
  </w:style>
  <w:style w:type="paragraph" w:customStyle="1" w:styleId="417">
    <w:name w:val="font0"/>
    <w:basedOn w:val="1"/>
    <w:qFormat/>
    <w:uiPriority w:val="0"/>
    <w:pPr>
      <w:widowControl/>
      <w:spacing w:before="100" w:beforeAutospacing="1" w:after="100" w:afterAutospacing="1"/>
      <w:jc w:val="left"/>
    </w:pPr>
    <w:rPr>
      <w:rFonts w:ascii="Songti SC" w:hAnsi="Songti SC" w:eastAsia="Songti SC"/>
      <w:kern w:val="0"/>
      <w:sz w:val="20"/>
      <w:lang w:eastAsia="en-US" w:bidi="en-US"/>
    </w:rPr>
  </w:style>
  <w:style w:type="paragraph" w:customStyle="1" w:styleId="418">
    <w:name w:val="font5"/>
    <w:basedOn w:val="1"/>
    <w:qFormat/>
    <w:uiPriority w:val="0"/>
    <w:pPr>
      <w:widowControl/>
      <w:spacing w:before="100" w:beforeAutospacing="1" w:after="100" w:afterAutospacing="1"/>
      <w:jc w:val="left"/>
    </w:pPr>
    <w:rPr>
      <w:rFonts w:ascii="Songti SC" w:hAnsi="Songti SC" w:eastAsia="Songti SC"/>
      <w:b/>
      <w:bCs/>
      <w:kern w:val="0"/>
      <w:u w:val="single"/>
      <w:lang w:eastAsia="en-US" w:bidi="en-US"/>
    </w:rPr>
  </w:style>
  <w:style w:type="paragraph" w:customStyle="1" w:styleId="419">
    <w:name w:val="font6"/>
    <w:basedOn w:val="1"/>
    <w:qFormat/>
    <w:uiPriority w:val="0"/>
    <w:pPr>
      <w:widowControl/>
      <w:spacing w:before="100" w:beforeAutospacing="1" w:after="100" w:afterAutospacing="1"/>
      <w:jc w:val="left"/>
    </w:pPr>
    <w:rPr>
      <w:rFonts w:ascii="Songti SC" w:hAnsi="Songti SC" w:eastAsia="Songti SC"/>
      <w:kern w:val="0"/>
      <w:lang w:eastAsia="en-US" w:bidi="en-US"/>
    </w:rPr>
  </w:style>
  <w:style w:type="paragraph" w:customStyle="1" w:styleId="420">
    <w:name w:val="font7"/>
    <w:basedOn w:val="1"/>
    <w:qFormat/>
    <w:uiPriority w:val="0"/>
    <w:pPr>
      <w:widowControl/>
      <w:spacing w:before="100" w:beforeAutospacing="1" w:after="100" w:afterAutospacing="1"/>
      <w:jc w:val="left"/>
    </w:pPr>
    <w:rPr>
      <w:rFonts w:hint="eastAsia" w:ascii="Songti SC" w:hAnsi="Songti SC" w:eastAsia="Songti SC"/>
      <w:kern w:val="0"/>
      <w:lang w:eastAsia="en-US" w:bidi="en-US"/>
    </w:rPr>
  </w:style>
  <w:style w:type="paragraph" w:customStyle="1" w:styleId="421">
    <w:name w:val="font8"/>
    <w:basedOn w:val="1"/>
    <w:qFormat/>
    <w:uiPriority w:val="0"/>
    <w:pPr>
      <w:widowControl/>
      <w:spacing w:before="100" w:beforeAutospacing="1" w:after="100" w:afterAutospacing="1"/>
      <w:jc w:val="left"/>
    </w:pPr>
    <w:rPr>
      <w:rFonts w:ascii="Songti SC" w:hAnsi="Songti SC" w:eastAsia="Songti SC"/>
      <w:kern w:val="0"/>
      <w:lang w:eastAsia="en-US" w:bidi="en-US"/>
    </w:rPr>
  </w:style>
  <w:style w:type="paragraph" w:customStyle="1" w:styleId="422">
    <w:name w:val="font9"/>
    <w:basedOn w:val="1"/>
    <w:qFormat/>
    <w:uiPriority w:val="0"/>
    <w:pPr>
      <w:widowControl/>
      <w:spacing w:before="100" w:beforeAutospacing="1" w:after="100" w:afterAutospacing="1"/>
      <w:jc w:val="left"/>
    </w:pPr>
    <w:rPr>
      <w:rFonts w:hint="eastAsia" w:ascii="Songti SC" w:hAnsi="Songti SC" w:eastAsia="Songti SC"/>
      <w:kern w:val="0"/>
      <w:lang w:eastAsia="en-US" w:bidi="en-US"/>
    </w:rPr>
  </w:style>
  <w:style w:type="paragraph" w:customStyle="1" w:styleId="423">
    <w:name w:val="font10"/>
    <w:basedOn w:val="1"/>
    <w:qFormat/>
    <w:uiPriority w:val="0"/>
    <w:pPr>
      <w:widowControl/>
      <w:spacing w:before="100" w:beforeAutospacing="1" w:after="100" w:afterAutospacing="1"/>
      <w:jc w:val="left"/>
    </w:pPr>
    <w:rPr>
      <w:rFonts w:hint="eastAsia" w:ascii="Songti SC" w:hAnsi="Songti SC" w:eastAsia="Songti SC"/>
      <w:b/>
      <w:bCs/>
      <w:kern w:val="0"/>
      <w:u w:val="single"/>
      <w:lang w:eastAsia="en-US" w:bidi="en-US"/>
    </w:rPr>
  </w:style>
  <w:style w:type="paragraph" w:customStyle="1" w:styleId="424">
    <w:name w:val="font11"/>
    <w:basedOn w:val="1"/>
    <w:qFormat/>
    <w:uiPriority w:val="0"/>
    <w:pPr>
      <w:widowControl/>
      <w:spacing w:before="100" w:beforeAutospacing="1" w:after="100" w:afterAutospacing="1"/>
      <w:jc w:val="left"/>
    </w:pPr>
    <w:rPr>
      <w:rFonts w:hint="eastAsia" w:ascii="Songti SC" w:hAnsi="Songti SC" w:eastAsia="Songti SC"/>
      <w:color w:val="000000"/>
      <w:kern w:val="0"/>
      <w:lang w:eastAsia="en-US" w:bidi="en-US"/>
    </w:rPr>
  </w:style>
  <w:style w:type="paragraph" w:customStyle="1" w:styleId="425">
    <w:name w:val="xl24"/>
    <w:basedOn w:val="1"/>
    <w:qFormat/>
    <w:uiPriority w:val="0"/>
    <w:pPr>
      <w:widowControl/>
      <w:spacing w:before="100" w:beforeAutospacing="1" w:after="100" w:afterAutospacing="1"/>
      <w:jc w:val="left"/>
    </w:pPr>
    <w:rPr>
      <w:rFonts w:hint="eastAsia" w:ascii="Songti SC" w:hAnsi="Songti SC" w:eastAsia="Songti SC"/>
      <w:kern w:val="0"/>
      <w:lang w:eastAsia="en-US" w:bidi="en-US"/>
    </w:rPr>
  </w:style>
  <w:style w:type="paragraph" w:customStyle="1" w:styleId="426">
    <w:name w:val="xl2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Songti SC" w:hAnsi="Songti SC" w:eastAsia="Songti SC"/>
      <w:kern w:val="0"/>
      <w:lang w:eastAsia="en-US" w:bidi="en-US"/>
    </w:rPr>
  </w:style>
  <w:style w:type="paragraph" w:customStyle="1" w:styleId="427">
    <w:name w:val="xl2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Songti SC" w:hAnsi="Songti SC" w:eastAsia="Songti SC"/>
      <w:kern w:val="0"/>
      <w:lang w:eastAsia="en-US" w:bidi="en-US"/>
    </w:rPr>
  </w:style>
  <w:style w:type="paragraph" w:customStyle="1" w:styleId="428">
    <w:name w:val="xl27"/>
    <w:basedOn w:val="1"/>
    <w:qFormat/>
    <w:uiPriority w:val="0"/>
    <w:pPr>
      <w:widowControl/>
      <w:pBdr>
        <w:top w:val="single" w:color="auto" w:sz="4" w:space="0"/>
        <w:bottom w:val="single" w:color="auto" w:sz="4" w:space="0"/>
        <w:right w:val="single" w:color="auto" w:sz="4" w:space="0"/>
      </w:pBdr>
      <w:spacing w:before="100" w:beforeAutospacing="1" w:after="100" w:afterAutospacing="1"/>
      <w:jc w:val="left"/>
    </w:pPr>
    <w:rPr>
      <w:rFonts w:ascii="Songti SC" w:hAnsi="Songti SC" w:eastAsia="Songti SC"/>
      <w:kern w:val="0"/>
      <w:lang w:eastAsia="en-US" w:bidi="en-US"/>
    </w:rPr>
  </w:style>
  <w:style w:type="paragraph" w:customStyle="1" w:styleId="429">
    <w:name w:val="xl2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hint="eastAsia" w:ascii="Songti SC" w:hAnsi="Songti SC" w:eastAsia="Songti SC"/>
      <w:kern w:val="0"/>
      <w:lang w:eastAsia="en-US" w:bidi="en-US"/>
    </w:rPr>
  </w:style>
  <w:style w:type="paragraph" w:customStyle="1" w:styleId="430">
    <w:name w:val="xl29"/>
    <w:basedOn w:val="1"/>
    <w:qFormat/>
    <w:uiPriority w:val="0"/>
    <w:pPr>
      <w:widowControl/>
      <w:pBdr>
        <w:top w:val="single" w:color="auto" w:sz="4" w:space="0"/>
        <w:bottom w:val="single" w:color="auto" w:sz="4" w:space="0"/>
      </w:pBdr>
      <w:spacing w:before="100" w:beforeAutospacing="1" w:after="100" w:afterAutospacing="1"/>
      <w:jc w:val="left"/>
    </w:pPr>
    <w:rPr>
      <w:rFonts w:hint="eastAsia" w:ascii="Songti SC" w:hAnsi="Songti SC" w:eastAsia="Songti SC"/>
      <w:kern w:val="0"/>
      <w:lang w:eastAsia="en-US" w:bidi="en-US"/>
    </w:rPr>
  </w:style>
  <w:style w:type="paragraph" w:customStyle="1" w:styleId="431">
    <w:name w:val="xl3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Songti SC" w:hAnsi="Songti SC" w:eastAsia="Songti SC"/>
      <w:kern w:val="0"/>
      <w:lang w:eastAsia="en-US" w:bidi="en-US"/>
    </w:rPr>
  </w:style>
  <w:style w:type="paragraph" w:customStyle="1" w:styleId="432">
    <w:name w:val="xl3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hint="eastAsia" w:ascii="Songti SC" w:hAnsi="Songti SC" w:eastAsia="Songti SC"/>
      <w:kern w:val="0"/>
      <w:lang w:eastAsia="en-US" w:bidi="en-US"/>
    </w:rPr>
  </w:style>
  <w:style w:type="paragraph" w:customStyle="1" w:styleId="433">
    <w:name w:val="xl3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hint="eastAsia" w:ascii="Songti SC" w:hAnsi="Songti SC" w:eastAsia="Songti SC"/>
      <w:kern w:val="0"/>
      <w:lang w:eastAsia="en-US" w:bidi="en-US"/>
    </w:rPr>
  </w:style>
  <w:style w:type="paragraph" w:customStyle="1" w:styleId="434">
    <w:name w:val="xl3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hint="eastAsia" w:ascii="Songti SC" w:hAnsi="Songti SC" w:eastAsia="Songti SC"/>
      <w:kern w:val="0"/>
      <w:lang w:eastAsia="en-US" w:bidi="en-US"/>
    </w:rPr>
  </w:style>
  <w:style w:type="paragraph" w:customStyle="1" w:styleId="435">
    <w:name w:val="xl34"/>
    <w:basedOn w:val="1"/>
    <w:qFormat/>
    <w:uiPriority w:val="0"/>
    <w:pPr>
      <w:widowControl/>
      <w:pBdr>
        <w:top w:val="single" w:color="auto" w:sz="4" w:space="0"/>
        <w:bottom w:val="single" w:color="auto" w:sz="4" w:space="0"/>
        <w:right w:val="single" w:color="auto" w:sz="4" w:space="0"/>
      </w:pBdr>
      <w:spacing w:before="100" w:beforeAutospacing="1" w:after="100" w:afterAutospacing="1"/>
      <w:jc w:val="left"/>
    </w:pPr>
    <w:rPr>
      <w:rFonts w:ascii="Songti SC" w:hAnsi="Songti SC" w:eastAsia="Songti SC"/>
      <w:kern w:val="0"/>
      <w:lang w:eastAsia="en-US" w:bidi="en-US"/>
    </w:rPr>
  </w:style>
  <w:style w:type="paragraph" w:customStyle="1" w:styleId="436">
    <w:name w:val="项目 1 Char Char"/>
    <w:basedOn w:val="1"/>
    <w:qFormat/>
    <w:uiPriority w:val="0"/>
    <w:pPr>
      <w:widowControl/>
      <w:numPr>
        <w:ilvl w:val="0"/>
        <w:numId w:val="32"/>
      </w:numPr>
      <w:tabs>
        <w:tab w:val="clear" w:pos="907"/>
      </w:tabs>
      <w:adjustRightInd w:val="0"/>
      <w:snapToGrid w:val="0"/>
      <w:spacing w:afterLines="50"/>
      <w:ind w:left="902" w:hanging="720"/>
      <w:jc w:val="left"/>
    </w:pPr>
    <w:rPr>
      <w:rFonts w:ascii="Songti SC" w:hAnsi="Songti SC" w:eastAsia="Songti SC"/>
      <w:kern w:val="0"/>
      <w:lang w:eastAsia="en-US" w:bidi="en-US"/>
    </w:rPr>
  </w:style>
  <w:style w:type="character" w:customStyle="1" w:styleId="437">
    <w:name w:val="项目 1 Char Char Char"/>
    <w:qFormat/>
    <w:uiPriority w:val="0"/>
    <w:rPr>
      <w:rFonts w:ascii="Songti SC" w:hAnsi="Songti SC" w:eastAsia="Songti SC" w:cs="宋体"/>
      <w:kern w:val="2"/>
      <w:sz w:val="24"/>
      <w:szCs w:val="24"/>
      <w:lang w:val="en-US" w:eastAsia="zh-CN" w:bidi="ar-SA"/>
    </w:rPr>
  </w:style>
  <w:style w:type="paragraph" w:customStyle="1" w:styleId="438">
    <w:name w:val="Normal + Tahoma"/>
    <w:basedOn w:val="1"/>
    <w:qFormat/>
    <w:uiPriority w:val="0"/>
    <w:pPr>
      <w:widowControl/>
      <w:jc w:val="left"/>
    </w:pPr>
    <w:rPr>
      <w:rFonts w:ascii="Songti SC" w:hAnsi="Songti SC" w:eastAsia="Songti SC"/>
      <w:kern w:val="0"/>
      <w:lang w:eastAsia="en-US" w:bidi="en-US"/>
    </w:rPr>
  </w:style>
  <w:style w:type="paragraph" w:customStyle="1" w:styleId="439">
    <w:name w:val="bull"/>
    <w:basedOn w:val="1"/>
    <w:qFormat/>
    <w:uiPriority w:val="0"/>
    <w:pPr>
      <w:widowControl/>
      <w:numPr>
        <w:ilvl w:val="1"/>
        <w:numId w:val="33"/>
      </w:numPr>
      <w:tabs>
        <w:tab w:val="clear" w:pos="1850"/>
      </w:tabs>
      <w:ind w:left="1260" w:hanging="840"/>
      <w:jc w:val="left"/>
    </w:pPr>
    <w:rPr>
      <w:rFonts w:ascii="Songti SC" w:hAnsi="Songti SC" w:eastAsia="Songti SC"/>
      <w:kern w:val="0"/>
      <w:lang w:eastAsia="en-US" w:bidi="en-US"/>
    </w:rPr>
  </w:style>
  <w:style w:type="character" w:customStyle="1" w:styleId="440">
    <w:name w:val="标题 4 Char2"/>
    <w:qFormat/>
    <w:uiPriority w:val="0"/>
    <w:rPr>
      <w:rFonts w:ascii="Songti SC" w:hAnsi="Songti SC" w:eastAsia="Songti SC"/>
      <w:b/>
      <w:bCs/>
      <w:kern w:val="2"/>
      <w:sz w:val="24"/>
      <w:szCs w:val="28"/>
    </w:rPr>
  </w:style>
  <w:style w:type="paragraph" w:customStyle="1" w:styleId="441">
    <w:name w:val="注释"/>
    <w:basedOn w:val="1"/>
    <w:qFormat/>
    <w:uiPriority w:val="0"/>
    <w:pPr>
      <w:widowControl/>
      <w:shd w:val="clear" w:color="auto" w:fill="E0E0E0"/>
      <w:spacing w:beforeLines="50" w:afterLines="50"/>
      <w:jc w:val="left"/>
    </w:pPr>
    <w:rPr>
      <w:rFonts w:ascii="Songti SC" w:hAnsi="Songti SC" w:eastAsia="Songti SC"/>
      <w:kern w:val="0"/>
      <w:lang w:eastAsia="en-US" w:bidi="en-US"/>
    </w:rPr>
  </w:style>
  <w:style w:type="character" w:customStyle="1" w:styleId="442">
    <w:name w:val="标题 4 Char1 Char"/>
    <w:qFormat/>
    <w:uiPriority w:val="0"/>
    <w:rPr>
      <w:rFonts w:ascii="Songti SC" w:hAnsi="Songti SC" w:eastAsia="Songti SC" w:cs="宋体"/>
      <w:b/>
      <w:bCs/>
      <w:kern w:val="2"/>
      <w:sz w:val="24"/>
      <w:szCs w:val="28"/>
      <w:lang w:val="en-US" w:eastAsia="zh-CN" w:bidi="ar-SA"/>
    </w:rPr>
  </w:style>
  <w:style w:type="paragraph" w:customStyle="1" w:styleId="443">
    <w:name w:val="Char1 Char Char Char Char Char Char Char Char2 Char Char Char Char Char Char Char"/>
    <w:basedOn w:val="1"/>
    <w:autoRedefine/>
    <w:qFormat/>
    <w:uiPriority w:val="0"/>
    <w:pPr>
      <w:widowControl/>
      <w:adjustRightInd w:val="0"/>
      <w:jc w:val="left"/>
    </w:pPr>
    <w:rPr>
      <w:rFonts w:ascii="Songti SC" w:hAnsi="Songti SC" w:eastAsia="Songti SC"/>
      <w:kern w:val="0"/>
      <w:lang w:eastAsia="en-US" w:bidi="en-US"/>
    </w:rPr>
  </w:style>
  <w:style w:type="paragraph" w:customStyle="1" w:styleId="444">
    <w:name w:val="Sub Sub Heading 1"/>
    <w:basedOn w:val="1"/>
    <w:qFormat/>
    <w:uiPriority w:val="0"/>
    <w:pPr>
      <w:keepNext/>
      <w:widowControl/>
      <w:spacing w:after="240"/>
      <w:jc w:val="left"/>
    </w:pPr>
    <w:rPr>
      <w:rFonts w:ascii="Songti SC" w:hAnsi="Songti SC" w:eastAsia="Songti SC"/>
      <w:b/>
      <w:kern w:val="0"/>
      <w:lang w:eastAsia="en-US" w:bidi="en-US"/>
    </w:rPr>
  </w:style>
  <w:style w:type="paragraph" w:customStyle="1" w:styleId="445">
    <w:name w:val="正文缩进4"/>
    <w:basedOn w:val="1"/>
    <w:qFormat/>
    <w:uiPriority w:val="0"/>
    <w:pPr>
      <w:widowControl/>
      <w:spacing w:beforeLines="50" w:afterLines="50"/>
      <w:jc w:val="left"/>
    </w:pPr>
    <w:rPr>
      <w:rFonts w:ascii="Songti SC" w:hAnsi="Songti SC" w:eastAsia="Songti SC"/>
      <w:kern w:val="0"/>
      <w:lang w:eastAsia="en-US" w:bidi="en-US"/>
    </w:rPr>
  </w:style>
  <w:style w:type="paragraph" w:customStyle="1" w:styleId="446">
    <w:name w:val="itemstep"/>
    <w:basedOn w:val="1"/>
    <w:qFormat/>
    <w:uiPriority w:val="0"/>
    <w:pPr>
      <w:widowControl/>
      <w:spacing w:before="100" w:beforeAutospacing="1" w:after="100" w:afterAutospacing="1"/>
      <w:jc w:val="left"/>
    </w:pPr>
    <w:rPr>
      <w:rFonts w:ascii="Songti SC" w:hAnsi="Songti SC" w:eastAsia="Songti SC"/>
      <w:kern w:val="0"/>
      <w:lang w:eastAsia="en-US" w:bidi="en-US"/>
    </w:rPr>
  </w:style>
  <w:style w:type="paragraph" w:customStyle="1" w:styleId="447">
    <w:name w:val="figure"/>
    <w:basedOn w:val="1"/>
    <w:qFormat/>
    <w:uiPriority w:val="0"/>
    <w:pPr>
      <w:widowControl/>
      <w:spacing w:before="100" w:beforeAutospacing="1" w:after="100" w:afterAutospacing="1"/>
      <w:jc w:val="left"/>
    </w:pPr>
    <w:rPr>
      <w:rFonts w:ascii="Songti SC" w:hAnsi="Songti SC" w:eastAsia="Songti SC"/>
      <w:kern w:val="0"/>
      <w:lang w:eastAsia="en-US" w:bidi="en-US"/>
    </w:rPr>
  </w:style>
  <w:style w:type="paragraph" w:customStyle="1" w:styleId="448">
    <w:name w:val="figuredescription"/>
    <w:basedOn w:val="1"/>
    <w:qFormat/>
    <w:uiPriority w:val="0"/>
    <w:pPr>
      <w:widowControl/>
      <w:spacing w:before="100" w:beforeAutospacing="1" w:after="100" w:afterAutospacing="1"/>
      <w:jc w:val="left"/>
    </w:pPr>
    <w:rPr>
      <w:rFonts w:ascii="Songti SC" w:hAnsi="Songti SC" w:eastAsia="Songti SC"/>
      <w:kern w:val="0"/>
      <w:lang w:eastAsia="en-US" w:bidi="en-US"/>
    </w:rPr>
  </w:style>
  <w:style w:type="paragraph" w:customStyle="1" w:styleId="449">
    <w:name w:val="Figure Text"/>
    <w:link w:val="469"/>
    <w:qFormat/>
    <w:uiPriority w:val="0"/>
    <w:pPr>
      <w:snapToGrid w:val="0"/>
      <w:spacing w:after="200" w:line="276" w:lineRule="auto"/>
    </w:pPr>
    <w:rPr>
      <w:rFonts w:ascii="Songti SC" w:hAnsi="Songti SC" w:eastAsia="Songti SC" w:cs="宋体"/>
      <w:sz w:val="18"/>
      <w:szCs w:val="18"/>
      <w:lang w:val="en-US" w:eastAsia="en-US" w:bidi="en-US"/>
    </w:rPr>
  </w:style>
  <w:style w:type="paragraph" w:customStyle="1" w:styleId="450">
    <w:name w:val="TOC 标题2"/>
    <w:next w:val="39"/>
    <w:qFormat/>
    <w:uiPriority w:val="0"/>
    <w:pPr>
      <w:keepNext/>
      <w:snapToGrid w:val="0"/>
      <w:spacing w:before="480" w:after="360" w:line="276" w:lineRule="auto"/>
      <w:jc w:val="center"/>
    </w:pPr>
    <w:rPr>
      <w:rFonts w:ascii="Songti SC" w:hAnsi="Songti SC" w:eastAsia="Songti SC" w:cs="宋体"/>
      <w:color w:val="000000"/>
      <w:sz w:val="30"/>
      <w:szCs w:val="36"/>
      <w:lang w:val="en-US" w:eastAsia="en-US" w:bidi="en-US"/>
    </w:rPr>
  </w:style>
  <w:style w:type="character" w:customStyle="1" w:styleId="451">
    <w:name w:val="Notes Text Char"/>
    <w:link w:val="248"/>
    <w:qFormat/>
    <w:locked/>
    <w:uiPriority w:val="0"/>
    <w:rPr>
      <w:rFonts w:ascii="Songti SC" w:hAnsi="Songti SC" w:eastAsia="Songti SC" w:cs="宋体"/>
      <w:color w:val="000000"/>
      <w:kern w:val="0"/>
      <w:sz w:val="22"/>
      <w:lang w:eastAsia="en-US" w:bidi="en-US"/>
    </w:rPr>
  </w:style>
  <w:style w:type="paragraph" w:customStyle="1" w:styleId="452">
    <w:name w:val="Command"/>
    <w:qFormat/>
    <w:uiPriority w:val="0"/>
    <w:pPr>
      <w:spacing w:before="160" w:after="160" w:line="276" w:lineRule="auto"/>
    </w:pPr>
    <w:rPr>
      <w:rFonts w:ascii="Songti SC" w:hAnsi="Songti SC" w:eastAsia="Songti SC" w:cs="宋体"/>
      <w:color w:val="000000"/>
      <w:sz w:val="22"/>
      <w:szCs w:val="22"/>
      <w:lang w:val="en-US" w:eastAsia="en-US" w:bidi="en-US"/>
    </w:rPr>
  </w:style>
  <w:style w:type="character" w:customStyle="1" w:styleId="453">
    <w:name w:val="command keywords Char"/>
    <w:link w:val="454"/>
    <w:qFormat/>
    <w:locked/>
    <w:uiPriority w:val="0"/>
    <w:rPr>
      <w:rFonts w:ascii="Songti SC" w:hAnsi="Songti SC" w:eastAsia="Songti SC" w:cs="宋体"/>
      <w:b/>
      <w:bCs/>
    </w:rPr>
  </w:style>
  <w:style w:type="paragraph" w:customStyle="1" w:styleId="454">
    <w:name w:val="command keywords"/>
    <w:basedOn w:val="1"/>
    <w:link w:val="453"/>
    <w:qFormat/>
    <w:uiPriority w:val="0"/>
    <w:pPr>
      <w:widowControl/>
      <w:snapToGrid w:val="0"/>
      <w:spacing w:before="40" w:after="40" w:line="300" w:lineRule="auto"/>
      <w:ind w:left="624"/>
      <w:jc w:val="left"/>
    </w:pPr>
    <w:rPr>
      <w:rFonts w:ascii="Songti SC" w:hAnsi="Songti SC" w:eastAsia="Songti SC" w:cstheme="minorBidi"/>
      <w:b/>
      <w:bCs/>
      <w:sz w:val="21"/>
      <w:szCs w:val="22"/>
    </w:rPr>
  </w:style>
  <w:style w:type="character" w:customStyle="1" w:styleId="455">
    <w:name w:val="command parameter Char"/>
    <w:link w:val="456"/>
    <w:qFormat/>
    <w:locked/>
    <w:uiPriority w:val="0"/>
    <w:rPr>
      <w:rFonts w:ascii="Songti SC" w:hAnsi="Songti SC" w:eastAsia="Songti SC" w:cs="宋体"/>
      <w:i/>
      <w:iCs/>
    </w:rPr>
  </w:style>
  <w:style w:type="paragraph" w:customStyle="1" w:styleId="456">
    <w:name w:val="command parameter"/>
    <w:basedOn w:val="1"/>
    <w:link w:val="455"/>
    <w:qFormat/>
    <w:uiPriority w:val="0"/>
    <w:pPr>
      <w:widowControl/>
      <w:snapToGrid w:val="0"/>
      <w:spacing w:before="40" w:after="40" w:line="300" w:lineRule="auto"/>
      <w:ind w:left="624"/>
      <w:jc w:val="left"/>
    </w:pPr>
    <w:rPr>
      <w:rFonts w:ascii="Songti SC" w:hAnsi="Songti SC" w:eastAsia="Songti SC" w:cstheme="minorBidi"/>
      <w:i/>
      <w:iCs/>
      <w:sz w:val="21"/>
      <w:szCs w:val="22"/>
    </w:rPr>
  </w:style>
  <w:style w:type="paragraph" w:customStyle="1" w:styleId="457">
    <w:name w:val="Terminal Dispaly"/>
    <w:qFormat/>
    <w:uiPriority w:val="0"/>
    <w:pPr>
      <w:widowControl w:val="0"/>
      <w:spacing w:after="200" w:line="276" w:lineRule="auto"/>
      <w:ind w:left="425"/>
      <w:jc w:val="both"/>
    </w:pPr>
    <w:rPr>
      <w:rFonts w:ascii="Songti SC" w:hAnsi="Songti SC" w:eastAsia="Songti SC" w:cs="宋体"/>
      <w:sz w:val="17"/>
      <w:szCs w:val="22"/>
      <w:lang w:val="en-US" w:eastAsia="en-US" w:bidi="en-US"/>
    </w:rPr>
  </w:style>
  <w:style w:type="character" w:customStyle="1" w:styleId="458">
    <w:name w:val="Item Step Char"/>
    <w:link w:val="141"/>
    <w:qFormat/>
    <w:locked/>
    <w:uiPriority w:val="0"/>
    <w:rPr>
      <w:rFonts w:ascii="Songti SC" w:hAnsi="Songti SC" w:eastAsia="Songti SC" w:cs="宋体"/>
      <w:kern w:val="0"/>
      <w:szCs w:val="21"/>
    </w:rPr>
  </w:style>
  <w:style w:type="paragraph" w:customStyle="1" w:styleId="459">
    <w:name w:val="注意说明标题"/>
    <w:basedOn w:val="1"/>
    <w:qFormat/>
    <w:uiPriority w:val="0"/>
    <w:pPr>
      <w:keepLines/>
      <w:widowControl/>
      <w:pBdr>
        <w:top w:val="single" w:color="auto" w:sz="6" w:space="7"/>
        <w:bottom w:val="single" w:color="auto" w:sz="6" w:space="7"/>
      </w:pBdr>
      <w:autoSpaceDE w:val="0"/>
      <w:autoSpaceDN w:val="0"/>
      <w:adjustRightInd w:val="0"/>
      <w:spacing w:before="80" w:after="80" w:line="300" w:lineRule="auto"/>
      <w:ind w:left="624"/>
      <w:jc w:val="left"/>
    </w:pPr>
    <w:rPr>
      <w:rFonts w:ascii="Songti SC" w:hAnsi="Songti SC" w:eastAsia="Songti SC"/>
      <w:kern w:val="0"/>
      <w:szCs w:val="21"/>
      <w:lang w:eastAsia="en-US" w:bidi="en-US"/>
    </w:rPr>
  </w:style>
  <w:style w:type="paragraph" w:customStyle="1" w:styleId="460">
    <w:name w:val="注意说明内容"/>
    <w:basedOn w:val="1"/>
    <w:qFormat/>
    <w:uiPriority w:val="0"/>
    <w:pPr>
      <w:widowControl/>
      <w:pBdr>
        <w:top w:val="single" w:color="auto" w:sz="6" w:space="7"/>
        <w:bottom w:val="single" w:color="auto" w:sz="6" w:space="7"/>
      </w:pBdr>
      <w:autoSpaceDE w:val="0"/>
      <w:autoSpaceDN w:val="0"/>
      <w:adjustRightInd w:val="0"/>
      <w:spacing w:before="80" w:after="80" w:line="300" w:lineRule="auto"/>
      <w:ind w:left="624"/>
      <w:jc w:val="left"/>
    </w:pPr>
    <w:rPr>
      <w:rFonts w:ascii="Songti SC" w:hAnsi="Songti SC" w:eastAsia="Songti SC"/>
      <w:kern w:val="0"/>
      <w:szCs w:val="21"/>
      <w:lang w:eastAsia="en-US" w:bidi="en-US"/>
    </w:rPr>
  </w:style>
  <w:style w:type="paragraph" w:customStyle="1" w:styleId="461">
    <w:name w:val="Terminal Display in Table"/>
    <w:qFormat/>
    <w:uiPriority w:val="0"/>
    <w:pPr>
      <w:spacing w:after="200" w:line="276" w:lineRule="auto"/>
      <w:jc w:val="both"/>
    </w:pPr>
    <w:rPr>
      <w:rFonts w:ascii="Songti SC" w:hAnsi="Songti SC" w:eastAsia="Songti SC" w:cs="宋体"/>
      <w:sz w:val="17"/>
      <w:szCs w:val="17"/>
      <w:lang w:val="en-US" w:eastAsia="en-US" w:bidi="en-US"/>
    </w:rPr>
  </w:style>
  <w:style w:type="paragraph" w:customStyle="1" w:styleId="462">
    <w:name w:val="Notes Text in Table"/>
    <w:qFormat/>
    <w:uiPriority w:val="0"/>
    <w:pPr>
      <w:keepLines/>
      <w:spacing w:before="40" w:after="40" w:line="276" w:lineRule="auto"/>
      <w:jc w:val="both"/>
    </w:pPr>
    <w:rPr>
      <w:rFonts w:ascii="Songti SC" w:hAnsi="Songti SC" w:eastAsia="Songti SC" w:cs="宋体"/>
      <w:sz w:val="18"/>
      <w:szCs w:val="18"/>
      <w:lang w:val="en-US" w:eastAsia="en-US" w:bidi="en-US"/>
    </w:rPr>
  </w:style>
  <w:style w:type="paragraph" w:customStyle="1" w:styleId="463">
    <w:name w:val="Notes Heading in Table"/>
    <w:next w:val="462"/>
    <w:qFormat/>
    <w:uiPriority w:val="0"/>
    <w:pPr>
      <w:keepNext/>
      <w:spacing w:before="40" w:after="40" w:line="276" w:lineRule="auto"/>
    </w:pPr>
    <w:rPr>
      <w:rFonts w:ascii="Songti SC" w:hAnsi="Songti SC" w:eastAsia="Songti SC" w:cs="宋体"/>
      <w:sz w:val="18"/>
      <w:szCs w:val="18"/>
      <w:lang w:val="en-US" w:eastAsia="en-US" w:bidi="en-US"/>
    </w:rPr>
  </w:style>
  <w:style w:type="paragraph" w:customStyle="1" w:styleId="464">
    <w:name w:val="Item Step in Table"/>
    <w:qFormat/>
    <w:uiPriority w:val="0"/>
    <w:pPr>
      <w:numPr>
        <w:ilvl w:val="0"/>
        <w:numId w:val="34"/>
      </w:numPr>
      <w:tabs>
        <w:tab w:val="left" w:pos="397"/>
        <w:tab w:val="clear" w:pos="284"/>
      </w:tabs>
      <w:spacing w:before="40" w:after="40" w:line="276" w:lineRule="auto"/>
      <w:ind w:left="397" w:hanging="397"/>
      <w:jc w:val="both"/>
    </w:pPr>
    <w:rPr>
      <w:rFonts w:ascii="Songti SC" w:hAnsi="Songti SC" w:eastAsia="Songti SC" w:cs="宋体"/>
      <w:sz w:val="18"/>
      <w:szCs w:val="18"/>
      <w:lang w:val="en-US" w:eastAsia="en-US" w:bidi="en-US"/>
    </w:rPr>
  </w:style>
  <w:style w:type="paragraph" w:customStyle="1" w:styleId="465">
    <w:name w:val="IN Voice"/>
    <w:qFormat/>
    <w:uiPriority w:val="0"/>
    <w:pPr>
      <w:spacing w:before="60" w:after="60" w:line="276" w:lineRule="auto"/>
    </w:pPr>
    <w:rPr>
      <w:rFonts w:ascii="Songti SC" w:hAnsi="Songti SC" w:eastAsia="Songti SC" w:cs="宋体"/>
      <w:sz w:val="15"/>
      <w:szCs w:val="15"/>
      <w:lang w:val="en-US" w:eastAsia="en-US" w:bidi="en-US"/>
    </w:rPr>
  </w:style>
  <w:style w:type="character" w:customStyle="1" w:styleId="466">
    <w:name w:val="标题1"/>
    <w:qFormat/>
    <w:uiPriority w:val="0"/>
    <w:rPr>
      <w:rFonts w:ascii="Songti SC" w:hAnsi="Songti SC" w:eastAsia="Songti SC"/>
    </w:rPr>
  </w:style>
  <w:style w:type="character" w:customStyle="1" w:styleId="467">
    <w:name w:val="Terminal Display shading"/>
    <w:qFormat/>
    <w:uiPriority w:val="0"/>
    <w:rPr>
      <w:rFonts w:hint="default" w:ascii="Songti SC" w:hAnsi="Songti SC" w:eastAsia="Songti SC" w:cs="宋体"/>
      <w:sz w:val="17"/>
      <w:shd w:val="clear" w:color="auto" w:fill="D9D9D9"/>
    </w:rPr>
  </w:style>
  <w:style w:type="paragraph" w:customStyle="1" w:styleId="468">
    <w:name w:val="样式 标题 3 + 华文仿宋 四号1"/>
    <w:basedOn w:val="4"/>
    <w:qFormat/>
    <w:uiPriority w:val="0"/>
    <w:pPr>
      <w:keepNext w:val="0"/>
      <w:numPr>
        <w:ilvl w:val="0"/>
        <w:numId w:val="35"/>
      </w:numPr>
      <w:tabs>
        <w:tab w:val="left" w:pos="1200"/>
      </w:tabs>
      <w:spacing w:before="260" w:after="260" w:line="415" w:lineRule="auto"/>
    </w:pPr>
    <w:rPr>
      <w:rFonts w:ascii="Songti SC" w:hAnsi="Songti SC" w:eastAsia="Songti SC"/>
      <w:sz w:val="26"/>
    </w:rPr>
  </w:style>
  <w:style w:type="character" w:customStyle="1" w:styleId="469">
    <w:name w:val="Figure Text Char"/>
    <w:link w:val="449"/>
    <w:qFormat/>
    <w:uiPriority w:val="0"/>
    <w:rPr>
      <w:rFonts w:ascii="Songti SC" w:hAnsi="Songti SC" w:eastAsia="Songti SC" w:cs="宋体"/>
      <w:kern w:val="0"/>
      <w:sz w:val="18"/>
      <w:szCs w:val="18"/>
      <w:lang w:eastAsia="en-US" w:bidi="en-US"/>
    </w:rPr>
  </w:style>
  <w:style w:type="character" w:customStyle="1" w:styleId="470">
    <w:name w:val="Notes Heading Char"/>
    <w:link w:val="247"/>
    <w:qFormat/>
    <w:uiPriority w:val="0"/>
    <w:rPr>
      <w:rFonts w:ascii="Songti SC" w:hAnsi="Songti SC" w:eastAsia="Songti SC" w:cs="宋体"/>
      <w:kern w:val="0"/>
      <w:sz w:val="22"/>
      <w:lang w:eastAsia="en-US" w:bidi="en-US"/>
    </w:rPr>
  </w:style>
  <w:style w:type="character" w:customStyle="1" w:styleId="471">
    <w:name w:val="Notes Text Char1"/>
    <w:qFormat/>
    <w:uiPriority w:val="0"/>
    <w:rPr>
      <w:rFonts w:ascii="Songti SC" w:hAnsi="Songti SC" w:eastAsia="Songti SC" w:cs="宋体"/>
      <w:color w:val="000000"/>
      <w:sz w:val="21"/>
      <w:lang w:val="en-US" w:eastAsia="zh-CN" w:bidi="ar-SA"/>
    </w:rPr>
  </w:style>
  <w:style w:type="character" w:customStyle="1" w:styleId="472">
    <w:name w:val="Notes Text List Char"/>
    <w:link w:val="280"/>
    <w:qFormat/>
    <w:uiPriority w:val="0"/>
    <w:rPr>
      <w:rFonts w:ascii="Songti SC" w:hAnsi="Songti SC" w:eastAsia="Songti SC" w:cs="宋体"/>
      <w:sz w:val="21"/>
      <w:szCs w:val="21"/>
      <w:lang w:eastAsia="en-US" w:bidi="en-US"/>
    </w:rPr>
  </w:style>
  <w:style w:type="paragraph" w:customStyle="1" w:styleId="473">
    <w:name w:val="修订1"/>
    <w:hidden/>
    <w:semiHidden/>
    <w:qFormat/>
    <w:uiPriority w:val="99"/>
    <w:pPr>
      <w:spacing w:after="200" w:line="276" w:lineRule="auto"/>
    </w:pPr>
    <w:rPr>
      <w:rFonts w:ascii="Songti SC" w:hAnsi="Songti SC" w:eastAsia="Songti SC" w:cs="宋体"/>
      <w:kern w:val="2"/>
      <w:sz w:val="24"/>
      <w:szCs w:val="22"/>
      <w:lang w:val="en-US" w:eastAsia="en-US" w:bidi="en-US"/>
    </w:rPr>
  </w:style>
  <w:style w:type="paragraph" w:customStyle="1" w:styleId="474">
    <w:name w:val="段落正文"/>
    <w:basedOn w:val="22"/>
    <w:autoRedefine/>
    <w:qFormat/>
    <w:uiPriority w:val="0"/>
    <w:pPr>
      <w:widowControl/>
      <w:suppressAutoHyphens/>
      <w:spacing w:after="0"/>
      <w:ind w:left="210" w:leftChars="100" w:right="210" w:rightChars="100" w:firstLine="425"/>
      <w:jc w:val="center"/>
    </w:pPr>
    <w:rPr>
      <w:rFonts w:ascii="Songti SC" w:hAnsi="Songti SC" w:eastAsia="Songti SC"/>
      <w:lang w:eastAsia="en-US" w:bidi="en-US"/>
    </w:rPr>
  </w:style>
  <w:style w:type="paragraph" w:customStyle="1" w:styleId="475">
    <w:name w:val="Char Char2 Char Char Char1 Char Char Char Char Char Char Char"/>
    <w:basedOn w:val="1"/>
    <w:qFormat/>
    <w:uiPriority w:val="0"/>
    <w:pPr>
      <w:widowControl/>
      <w:tabs>
        <w:tab w:val="right" w:pos="-2120"/>
      </w:tabs>
      <w:snapToGrid w:val="0"/>
      <w:jc w:val="left"/>
    </w:pPr>
    <w:rPr>
      <w:rFonts w:ascii="Songti SC" w:hAnsi="Songti SC" w:eastAsia="Songti SC"/>
      <w:spacing w:val="6"/>
      <w:kern w:val="0"/>
      <w:lang w:eastAsia="en-US" w:bidi="en-US"/>
    </w:rPr>
  </w:style>
  <w:style w:type="paragraph" w:customStyle="1" w:styleId="476">
    <w:name w:val="Char Char2 Char Char Char Char"/>
    <w:basedOn w:val="1"/>
    <w:qFormat/>
    <w:uiPriority w:val="0"/>
    <w:pPr>
      <w:widowControl/>
      <w:jc w:val="left"/>
    </w:pPr>
    <w:rPr>
      <w:rFonts w:ascii="Songti SC" w:hAnsi="Songti SC" w:eastAsia="Songti SC"/>
      <w:kern w:val="0"/>
      <w:lang w:eastAsia="en-US" w:bidi="en-US"/>
    </w:rPr>
  </w:style>
  <w:style w:type="paragraph" w:customStyle="1" w:styleId="477">
    <w:name w:val="Char1 Char Char Char Char Char Char Char Char Char"/>
    <w:basedOn w:val="1"/>
    <w:qFormat/>
    <w:uiPriority w:val="0"/>
    <w:pPr>
      <w:widowControl/>
      <w:jc w:val="left"/>
    </w:pPr>
    <w:rPr>
      <w:rFonts w:ascii="Songti SC" w:hAnsi="Songti SC" w:eastAsia="Songti SC"/>
      <w:kern w:val="0"/>
      <w:lang w:eastAsia="en-US" w:bidi="en-US"/>
    </w:rPr>
  </w:style>
  <w:style w:type="paragraph" w:customStyle="1" w:styleId="478">
    <w:name w:val="[x]-List"/>
    <w:basedOn w:val="1"/>
    <w:qFormat/>
    <w:uiPriority w:val="0"/>
    <w:pPr>
      <w:widowControl/>
      <w:numPr>
        <w:ilvl w:val="1"/>
        <w:numId w:val="36"/>
      </w:numPr>
      <w:tabs>
        <w:tab w:val="left" w:pos="360"/>
        <w:tab w:val="clear" w:pos="1494"/>
      </w:tabs>
      <w:spacing w:before="20" w:after="20"/>
      <w:ind w:left="0"/>
      <w:jc w:val="left"/>
    </w:pPr>
    <w:rPr>
      <w:rFonts w:ascii="Songti SC" w:hAnsi="Songti SC" w:eastAsia="Songti SC"/>
      <w:kern w:val="0"/>
      <w:lang w:eastAsia="en-US" w:bidi="en-US"/>
    </w:rPr>
  </w:style>
  <w:style w:type="paragraph" w:customStyle="1" w:styleId="479">
    <w:name w:val="[Ref]-List"/>
    <w:basedOn w:val="1"/>
    <w:qFormat/>
    <w:uiPriority w:val="0"/>
    <w:pPr>
      <w:widowControl/>
      <w:numPr>
        <w:ilvl w:val="2"/>
        <w:numId w:val="36"/>
      </w:numPr>
      <w:tabs>
        <w:tab w:val="left" w:pos="360"/>
        <w:tab w:val="clear" w:pos="1854"/>
      </w:tabs>
      <w:spacing w:before="20" w:after="20"/>
      <w:ind w:left="0"/>
      <w:jc w:val="left"/>
    </w:pPr>
    <w:rPr>
      <w:rFonts w:ascii="Songti SC" w:hAnsi="Songti SC" w:eastAsia="Songti SC"/>
      <w:kern w:val="0"/>
      <w:lang w:eastAsia="en-US" w:bidi="en-US"/>
    </w:rPr>
  </w:style>
  <w:style w:type="character" w:customStyle="1" w:styleId="480">
    <w:name w:val="尾注文本 字符"/>
    <w:basedOn w:val="70"/>
    <w:link w:val="35"/>
    <w:qFormat/>
    <w:uiPriority w:val="0"/>
    <w:rPr>
      <w:rFonts w:ascii="Songti SC" w:hAnsi="Songti SC" w:eastAsia="Songti SC" w:cs="宋体"/>
      <w:kern w:val="0"/>
      <w:sz w:val="24"/>
      <w:szCs w:val="24"/>
      <w:lang w:eastAsia="en-US" w:bidi="en-US"/>
    </w:rPr>
  </w:style>
  <w:style w:type="character" w:customStyle="1" w:styleId="481">
    <w:name w:val="脚注文本 字符"/>
    <w:basedOn w:val="70"/>
    <w:link w:val="44"/>
    <w:qFormat/>
    <w:uiPriority w:val="0"/>
    <w:rPr>
      <w:rFonts w:ascii="Songti SC" w:hAnsi="Songti SC" w:eastAsia="Songti SC" w:cs="宋体"/>
      <w:kern w:val="0"/>
      <w:sz w:val="18"/>
      <w:szCs w:val="18"/>
      <w:lang w:eastAsia="en-US" w:bidi="en-US"/>
    </w:rPr>
  </w:style>
  <w:style w:type="paragraph" w:customStyle="1" w:styleId="482">
    <w:name w:val="Char Char Char Char Char Char Char Char Char Char Char1"/>
    <w:basedOn w:val="1"/>
    <w:qFormat/>
    <w:uiPriority w:val="0"/>
    <w:pPr>
      <w:widowControl/>
      <w:jc w:val="left"/>
    </w:pPr>
    <w:rPr>
      <w:rFonts w:ascii="Songti SC" w:hAnsi="Songti SC" w:eastAsia="Songti SC"/>
      <w:kern w:val="0"/>
      <w:lang w:eastAsia="en-US" w:bidi="en-US"/>
    </w:rPr>
  </w:style>
  <w:style w:type="paragraph" w:customStyle="1" w:styleId="483">
    <w:name w:val="彩页目录3"/>
    <w:basedOn w:val="4"/>
    <w:qFormat/>
    <w:uiPriority w:val="0"/>
    <w:pPr>
      <w:spacing w:before="240" w:after="60" w:line="240" w:lineRule="auto"/>
    </w:pPr>
    <w:rPr>
      <w:rFonts w:ascii="Songti SC" w:hAnsi="Songti SC" w:eastAsia="Songti SC"/>
      <w:color w:val="000000"/>
      <w:sz w:val="24"/>
    </w:rPr>
  </w:style>
  <w:style w:type="paragraph" w:customStyle="1" w:styleId="484">
    <w:name w:val="样式 Arial 行距: 多倍行距 1.2 字行 首行缩进:  2 字符"/>
    <w:basedOn w:val="1"/>
    <w:qFormat/>
    <w:uiPriority w:val="0"/>
    <w:pPr>
      <w:widowControl/>
      <w:spacing w:line="288" w:lineRule="auto"/>
      <w:ind w:firstLine="420"/>
      <w:jc w:val="left"/>
    </w:pPr>
    <w:rPr>
      <w:rFonts w:ascii="Songti SC" w:hAnsi="Songti SC" w:eastAsia="Songti SC"/>
      <w:kern w:val="0"/>
      <w:sz w:val="20"/>
      <w:lang w:eastAsia="en-US" w:bidi="en-US"/>
    </w:rPr>
  </w:style>
  <w:style w:type="paragraph" w:customStyle="1" w:styleId="485">
    <w:name w:val="表号"/>
    <w:basedOn w:val="1"/>
    <w:next w:val="58"/>
    <w:qFormat/>
    <w:uiPriority w:val="0"/>
    <w:pPr>
      <w:keepLines/>
      <w:widowControl/>
      <w:tabs>
        <w:tab w:val="left" w:pos="1701"/>
      </w:tabs>
      <w:autoSpaceDE w:val="0"/>
      <w:autoSpaceDN w:val="0"/>
      <w:adjustRightInd w:val="0"/>
      <w:ind w:left="1701" w:hanging="850"/>
      <w:jc w:val="center"/>
    </w:pPr>
    <w:rPr>
      <w:rFonts w:ascii="Songti SC" w:hAnsi="Songti SC" w:eastAsia="Songti SC"/>
      <w:kern w:val="0"/>
      <w:sz w:val="18"/>
      <w:szCs w:val="18"/>
      <w:lang w:eastAsia="en-US" w:bidi="en-US"/>
    </w:rPr>
  </w:style>
  <w:style w:type="paragraph" w:customStyle="1" w:styleId="486">
    <w:name w:val="xl65"/>
    <w:basedOn w:val="1"/>
    <w:qFormat/>
    <w:uiPriority w:val="0"/>
    <w:pPr>
      <w:widowControl/>
      <w:spacing w:before="100" w:beforeAutospacing="1" w:after="100" w:afterAutospacing="1"/>
      <w:jc w:val="center"/>
    </w:pPr>
    <w:rPr>
      <w:rFonts w:ascii="Songti SC" w:hAnsi="Songti SC" w:eastAsia="Songti SC"/>
      <w:kern w:val="0"/>
      <w:lang w:eastAsia="en-US" w:bidi="en-US"/>
    </w:rPr>
  </w:style>
  <w:style w:type="paragraph" w:customStyle="1" w:styleId="487">
    <w:name w:val="xl6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Songti SC" w:hAnsi="Songti SC" w:eastAsia="Songti SC"/>
      <w:kern w:val="0"/>
      <w:lang w:eastAsia="en-US" w:bidi="en-US"/>
    </w:rPr>
  </w:style>
  <w:style w:type="paragraph" w:customStyle="1" w:styleId="488">
    <w:name w:val="xl6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Songti SC" w:hAnsi="Songti SC" w:eastAsia="Songti SC"/>
      <w:kern w:val="0"/>
      <w:lang w:eastAsia="en-US" w:bidi="en-US"/>
    </w:rPr>
  </w:style>
  <w:style w:type="paragraph" w:customStyle="1" w:styleId="489">
    <w:name w:val="xl68"/>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Songti SC" w:hAnsi="Songti SC" w:eastAsia="Songti SC"/>
      <w:kern w:val="0"/>
      <w:lang w:eastAsia="en-US" w:bidi="en-US"/>
    </w:rPr>
  </w:style>
  <w:style w:type="paragraph" w:customStyle="1" w:styleId="490">
    <w:name w:val="xl69"/>
    <w:basedOn w:val="1"/>
    <w:qFormat/>
    <w:uiPriority w:val="0"/>
    <w:pPr>
      <w:widowControl/>
      <w:pBdr>
        <w:left w:val="single" w:color="auto" w:sz="4" w:space="0"/>
        <w:right w:val="single" w:color="auto" w:sz="4" w:space="0"/>
      </w:pBdr>
      <w:spacing w:before="100" w:beforeAutospacing="1" w:after="100" w:afterAutospacing="1"/>
      <w:jc w:val="center"/>
    </w:pPr>
    <w:rPr>
      <w:rFonts w:ascii="Songti SC" w:hAnsi="Songti SC" w:eastAsia="Songti SC"/>
      <w:kern w:val="0"/>
      <w:lang w:eastAsia="en-US" w:bidi="en-US"/>
    </w:rPr>
  </w:style>
  <w:style w:type="paragraph" w:customStyle="1" w:styleId="491">
    <w:name w:val="xl70"/>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Songti SC" w:hAnsi="Songti SC" w:eastAsia="Songti SC"/>
      <w:kern w:val="0"/>
      <w:lang w:eastAsia="en-US" w:bidi="en-US"/>
    </w:rPr>
  </w:style>
  <w:style w:type="paragraph" w:customStyle="1" w:styleId="492">
    <w:name w:val="xl71"/>
    <w:basedOn w:val="1"/>
    <w:qFormat/>
    <w:uiPriority w:val="0"/>
    <w:pPr>
      <w:widowControl/>
      <w:pBdr>
        <w:top w:val="single" w:color="auto" w:sz="4" w:space="0"/>
        <w:left w:val="single" w:color="auto" w:sz="4" w:space="0"/>
        <w:bottom w:val="single" w:color="auto" w:sz="4" w:space="0"/>
        <w:right w:val="single" w:color="auto" w:sz="4" w:space="0"/>
      </w:pBdr>
      <w:shd w:val="clear" w:color="000000" w:fill="FFFF00"/>
      <w:spacing w:before="100" w:beforeAutospacing="1" w:after="100" w:afterAutospacing="1"/>
      <w:jc w:val="left"/>
    </w:pPr>
    <w:rPr>
      <w:rFonts w:ascii="Songti SC" w:hAnsi="Songti SC" w:eastAsia="Songti SC"/>
      <w:kern w:val="0"/>
      <w:lang w:eastAsia="en-US" w:bidi="en-US"/>
    </w:rPr>
  </w:style>
  <w:style w:type="paragraph" w:customStyle="1" w:styleId="493">
    <w:name w:val="xl72"/>
    <w:basedOn w:val="1"/>
    <w:qFormat/>
    <w:uiPriority w:val="0"/>
    <w:pPr>
      <w:widowControl/>
      <w:pBdr>
        <w:top w:val="single" w:color="auto" w:sz="4" w:space="0"/>
        <w:left w:val="single" w:color="auto" w:sz="4" w:space="0"/>
        <w:bottom w:val="single" w:color="auto" w:sz="4" w:space="0"/>
        <w:right w:val="single" w:color="auto" w:sz="4" w:space="0"/>
      </w:pBdr>
      <w:shd w:val="clear" w:color="000000" w:fill="FFFF00"/>
      <w:spacing w:before="100" w:beforeAutospacing="1" w:after="100" w:afterAutospacing="1"/>
      <w:jc w:val="center"/>
    </w:pPr>
    <w:rPr>
      <w:rFonts w:ascii="Songti SC" w:hAnsi="Songti SC" w:eastAsia="Songti SC"/>
      <w:kern w:val="0"/>
      <w:lang w:eastAsia="en-US" w:bidi="en-US"/>
    </w:rPr>
  </w:style>
  <w:style w:type="paragraph" w:customStyle="1" w:styleId="494">
    <w:name w:val="xl7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Songti SC" w:hAnsi="Songti SC" w:eastAsia="Songti SC"/>
      <w:color w:val="000000"/>
      <w:kern w:val="0"/>
      <w:lang w:eastAsia="en-US" w:bidi="en-US"/>
    </w:rPr>
  </w:style>
  <w:style w:type="paragraph" w:customStyle="1" w:styleId="495">
    <w:name w:val="xl74"/>
    <w:basedOn w:val="1"/>
    <w:qFormat/>
    <w:uiPriority w:val="0"/>
    <w:pPr>
      <w:widowControl/>
      <w:pBdr>
        <w:top w:val="single" w:color="auto" w:sz="4" w:space="0"/>
        <w:left w:val="single" w:color="auto" w:sz="4" w:space="0"/>
        <w:bottom w:val="single" w:color="auto" w:sz="4" w:space="0"/>
        <w:right w:val="single" w:color="auto" w:sz="4" w:space="0"/>
      </w:pBdr>
      <w:shd w:val="clear" w:color="000000" w:fill="FF0000"/>
      <w:spacing w:before="100" w:beforeAutospacing="1" w:after="100" w:afterAutospacing="1"/>
      <w:jc w:val="center"/>
    </w:pPr>
    <w:rPr>
      <w:rFonts w:ascii="Songti SC" w:hAnsi="Songti SC" w:eastAsia="Songti SC"/>
      <w:kern w:val="0"/>
      <w:lang w:eastAsia="en-US" w:bidi="en-US"/>
    </w:rPr>
  </w:style>
  <w:style w:type="paragraph" w:customStyle="1" w:styleId="496">
    <w:name w:val="xl75"/>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Songti SC" w:hAnsi="Songti SC" w:eastAsia="Songti SC"/>
      <w:kern w:val="0"/>
      <w:lang w:eastAsia="en-US" w:bidi="en-US"/>
    </w:rPr>
  </w:style>
  <w:style w:type="paragraph" w:customStyle="1" w:styleId="497">
    <w:name w:val="xl7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Songti SC" w:hAnsi="Songti SC" w:eastAsia="Songti SC"/>
      <w:color w:val="000000"/>
      <w:kern w:val="0"/>
      <w:lang w:eastAsia="en-US" w:bidi="en-US"/>
    </w:rPr>
  </w:style>
  <w:style w:type="paragraph" w:customStyle="1" w:styleId="498">
    <w:name w:val="xl77"/>
    <w:basedOn w:val="1"/>
    <w:qFormat/>
    <w:uiPriority w:val="0"/>
    <w:pPr>
      <w:widowControl/>
      <w:pBdr>
        <w:top w:val="single" w:color="auto" w:sz="4" w:space="0"/>
        <w:left w:val="single" w:color="auto" w:sz="4" w:space="0"/>
        <w:bottom w:val="single" w:color="auto" w:sz="4" w:space="0"/>
        <w:right w:val="single" w:color="auto" w:sz="4" w:space="0"/>
      </w:pBdr>
      <w:shd w:val="clear" w:color="000000" w:fill="00B0F0"/>
      <w:spacing w:before="100" w:beforeAutospacing="1" w:after="100" w:afterAutospacing="1"/>
      <w:jc w:val="center"/>
    </w:pPr>
    <w:rPr>
      <w:rFonts w:ascii="Songti SC" w:hAnsi="Songti SC" w:eastAsia="Songti SC"/>
      <w:kern w:val="0"/>
      <w:lang w:eastAsia="en-US" w:bidi="en-US"/>
    </w:rPr>
  </w:style>
  <w:style w:type="paragraph" w:customStyle="1" w:styleId="499">
    <w:name w:val="xl7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Songti SC" w:hAnsi="Songti SC" w:eastAsia="Songti SC"/>
      <w:color w:val="000000"/>
      <w:kern w:val="0"/>
      <w:lang w:eastAsia="en-US" w:bidi="en-US"/>
    </w:rPr>
  </w:style>
  <w:style w:type="paragraph" w:customStyle="1" w:styleId="500">
    <w:name w:val="默认段落字体 Para Char Char Char Char Char Char Char Char Char1"/>
    <w:basedOn w:val="1"/>
    <w:qFormat/>
    <w:uiPriority w:val="0"/>
    <w:rPr>
      <w:rFonts w:ascii="Songti SC" w:hAnsi="Songti SC" w:eastAsia="Songti SC"/>
      <w:szCs w:val="20"/>
    </w:rPr>
  </w:style>
  <w:style w:type="paragraph" w:customStyle="1" w:styleId="501">
    <w:name w:val="a2"/>
    <w:basedOn w:val="1"/>
    <w:qFormat/>
    <w:uiPriority w:val="0"/>
    <w:pPr>
      <w:widowControl/>
      <w:spacing w:before="100" w:beforeAutospacing="1" w:after="100" w:afterAutospacing="1"/>
      <w:jc w:val="left"/>
    </w:pPr>
    <w:rPr>
      <w:rFonts w:ascii="Songti SC" w:hAnsi="Songti SC" w:eastAsia="Songti SC"/>
      <w:kern w:val="0"/>
    </w:rPr>
  </w:style>
  <w:style w:type="paragraph" w:customStyle="1" w:styleId="502">
    <w:name w:val="p18"/>
    <w:basedOn w:val="1"/>
    <w:qFormat/>
    <w:uiPriority w:val="0"/>
    <w:pPr>
      <w:widowControl/>
      <w:ind w:firstLine="420"/>
    </w:pPr>
    <w:rPr>
      <w:rFonts w:ascii="Songti SC" w:hAnsi="Songti SC" w:eastAsia="Songti SC"/>
      <w:kern w:val="0"/>
    </w:rPr>
  </w:style>
  <w:style w:type="paragraph" w:customStyle="1" w:styleId="503">
    <w:name w:val="p19"/>
    <w:basedOn w:val="1"/>
    <w:qFormat/>
    <w:uiPriority w:val="0"/>
    <w:pPr>
      <w:widowControl/>
      <w:ind w:firstLine="420"/>
    </w:pPr>
    <w:rPr>
      <w:rFonts w:ascii="Songti SC" w:hAnsi="Songti SC" w:eastAsia="Songti SC"/>
      <w:kern w:val="0"/>
    </w:rPr>
  </w:style>
  <w:style w:type="paragraph" w:customStyle="1" w:styleId="504">
    <w:name w:val="正文缩进3"/>
    <w:basedOn w:val="1"/>
    <w:qFormat/>
    <w:uiPriority w:val="0"/>
    <w:pPr>
      <w:widowControl/>
      <w:spacing w:beforeLines="50" w:afterLines="50"/>
      <w:jc w:val="left"/>
    </w:pPr>
    <w:rPr>
      <w:rFonts w:ascii="Songti SC" w:hAnsi="Songti SC" w:eastAsia="Songti SC"/>
      <w:kern w:val="0"/>
      <w:szCs w:val="20"/>
    </w:rPr>
  </w:style>
  <w:style w:type="paragraph" w:customStyle="1" w:styleId="505">
    <w:name w:val="p17"/>
    <w:basedOn w:val="1"/>
    <w:qFormat/>
    <w:uiPriority w:val="0"/>
    <w:pPr>
      <w:widowControl/>
      <w:pBdr>
        <w:bottom w:val="single" w:color="000000" w:sz="6" w:space="1"/>
      </w:pBdr>
      <w:ind w:firstLine="425"/>
      <w:jc w:val="center"/>
    </w:pPr>
    <w:rPr>
      <w:rFonts w:ascii="Songti SC" w:hAnsi="Songti SC" w:eastAsia="Songti SC"/>
      <w:kern w:val="0"/>
      <w:sz w:val="18"/>
      <w:szCs w:val="18"/>
    </w:rPr>
  </w:style>
  <w:style w:type="paragraph" w:customStyle="1" w:styleId="506">
    <w:name w:val="p20"/>
    <w:basedOn w:val="1"/>
    <w:qFormat/>
    <w:uiPriority w:val="0"/>
    <w:pPr>
      <w:widowControl/>
      <w:ind w:firstLine="420"/>
    </w:pPr>
    <w:rPr>
      <w:rFonts w:ascii="Songti SC" w:hAnsi="Songti SC" w:eastAsia="Songti SC"/>
      <w:kern w:val="0"/>
    </w:rPr>
  </w:style>
  <w:style w:type="paragraph" w:customStyle="1" w:styleId="507">
    <w:name w:val="p21"/>
    <w:basedOn w:val="1"/>
    <w:qFormat/>
    <w:uiPriority w:val="0"/>
    <w:pPr>
      <w:widowControl/>
      <w:ind w:firstLine="420"/>
    </w:pPr>
    <w:rPr>
      <w:rFonts w:ascii="Songti SC" w:hAnsi="Songti SC" w:eastAsia="Songti SC"/>
      <w:kern w:val="0"/>
      <w:szCs w:val="21"/>
    </w:rPr>
  </w:style>
  <w:style w:type="character" w:customStyle="1" w:styleId="508">
    <w:name w:val="10"/>
    <w:basedOn w:val="70"/>
    <w:qFormat/>
    <w:uiPriority w:val="0"/>
    <w:rPr>
      <w:rFonts w:hint="default" w:ascii="Songti SC" w:hAnsi="Songti SC" w:eastAsia="Songti SC" w:cs="宋体"/>
      <w:sz w:val="20"/>
      <w:szCs w:val="20"/>
    </w:rPr>
  </w:style>
  <w:style w:type="character" w:customStyle="1" w:styleId="509">
    <w:name w:val="15"/>
    <w:basedOn w:val="70"/>
    <w:qFormat/>
    <w:uiPriority w:val="0"/>
    <w:rPr>
      <w:rFonts w:hint="default" w:ascii="Songti SC" w:hAnsi="Songti SC" w:eastAsia="Songti SC" w:cs="宋体"/>
      <w:color w:val="000000"/>
      <w:sz w:val="20"/>
      <w:szCs w:val="20"/>
      <w:u w:val="single"/>
    </w:rPr>
  </w:style>
  <w:style w:type="character" w:customStyle="1" w:styleId="510">
    <w:name w:val="16"/>
    <w:basedOn w:val="70"/>
    <w:qFormat/>
    <w:uiPriority w:val="0"/>
    <w:rPr>
      <w:rFonts w:hint="default" w:ascii="Songti SC" w:hAnsi="Songti SC" w:eastAsia="Songti SC" w:cs="宋体"/>
      <w:sz w:val="20"/>
      <w:szCs w:val="20"/>
    </w:rPr>
  </w:style>
  <w:style w:type="paragraph" w:customStyle="1" w:styleId="511">
    <w:name w:val="Numbered list 2.1"/>
    <w:basedOn w:val="2"/>
    <w:qFormat/>
    <w:uiPriority w:val="0"/>
    <w:pPr>
      <w:widowControl/>
      <w:tabs>
        <w:tab w:val="left" w:pos="720"/>
      </w:tabs>
      <w:spacing w:after="60" w:line="240" w:lineRule="auto"/>
    </w:pPr>
    <w:rPr>
      <w:rFonts w:ascii="Songti SC" w:hAnsi="Songti SC" w:eastAsia="Songti SC"/>
      <w:bCs w:val="0"/>
      <w:kern w:val="28"/>
      <w:szCs w:val="20"/>
    </w:rPr>
  </w:style>
  <w:style w:type="paragraph" w:customStyle="1" w:styleId="512">
    <w:name w:val="a1"/>
    <w:basedOn w:val="1"/>
    <w:qFormat/>
    <w:uiPriority w:val="0"/>
    <w:pPr>
      <w:widowControl/>
      <w:spacing w:before="100" w:beforeAutospacing="1" w:after="100" w:afterAutospacing="1"/>
      <w:jc w:val="left"/>
    </w:pPr>
    <w:rPr>
      <w:rFonts w:ascii="Songti SC" w:hAnsi="Songti SC" w:eastAsia="Songti SC"/>
      <w:kern w:val="0"/>
    </w:rPr>
  </w:style>
  <w:style w:type="paragraph" w:customStyle="1" w:styleId="513">
    <w:name w:val="zly正文顶格"/>
    <w:basedOn w:val="1"/>
    <w:qFormat/>
    <w:uiPriority w:val="0"/>
    <w:rPr>
      <w:rFonts w:ascii="Songti SC" w:hAnsi="Songti SC" w:eastAsia="Songti SC"/>
      <w:szCs w:val="21"/>
    </w:rPr>
  </w:style>
  <w:style w:type="paragraph" w:customStyle="1" w:styleId="514">
    <w:name w:val="默认段落字体 Para Char Char Char Char Char Char Char Char Char1 Char Char Char Char"/>
    <w:basedOn w:val="1"/>
    <w:qFormat/>
    <w:uiPriority w:val="0"/>
    <w:rPr>
      <w:rFonts w:ascii="Songti SC" w:hAnsi="Songti SC" w:eastAsia="Songti SC"/>
      <w:szCs w:val="20"/>
    </w:rPr>
  </w:style>
  <w:style w:type="paragraph" w:customStyle="1" w:styleId="515">
    <w:name w:val="图片标注"/>
    <w:basedOn w:val="14"/>
    <w:qFormat/>
    <w:uiPriority w:val="0"/>
    <w:pPr>
      <w:spacing w:line="360" w:lineRule="auto"/>
    </w:pPr>
    <w:rPr>
      <w:rFonts w:ascii="Songti SC" w:hAnsi="Songti SC" w:eastAsia="Songti SC" w:cs="宋体"/>
      <w:sz w:val="24"/>
    </w:rPr>
  </w:style>
  <w:style w:type="character" w:customStyle="1" w:styleId="516">
    <w:name w:val="editmail"/>
    <w:basedOn w:val="70"/>
    <w:qFormat/>
    <w:uiPriority w:val="0"/>
    <w:rPr>
      <w:rFonts w:ascii="Songti SC" w:hAnsi="Songti SC" w:eastAsia="Songti SC"/>
    </w:rPr>
  </w:style>
  <w:style w:type="paragraph" w:customStyle="1" w:styleId="517">
    <w:name w:val="NAIS: Normal-cn"/>
    <w:basedOn w:val="1"/>
    <w:qFormat/>
    <w:uiPriority w:val="0"/>
    <w:pPr>
      <w:widowControl/>
      <w:spacing w:after="100"/>
      <w:ind w:left="720"/>
      <w:jc w:val="left"/>
    </w:pPr>
    <w:rPr>
      <w:rFonts w:ascii="Songti SC" w:hAnsi="Songti SC" w:eastAsia="Songti SC"/>
      <w:kern w:val="0"/>
      <w:sz w:val="22"/>
      <w:szCs w:val="20"/>
    </w:rPr>
  </w:style>
  <w:style w:type="paragraph" w:customStyle="1" w:styleId="518">
    <w:name w:val="Char Char12"/>
    <w:basedOn w:val="1"/>
    <w:qFormat/>
    <w:uiPriority w:val="0"/>
    <w:pPr>
      <w:widowControl/>
      <w:jc w:val="left"/>
    </w:pPr>
    <w:rPr>
      <w:rFonts w:ascii="Songti SC" w:hAnsi="Songti SC" w:eastAsia="Songti SC"/>
      <w:kern w:val="0"/>
      <w:lang w:eastAsia="en-US" w:bidi="en-US"/>
    </w:rPr>
  </w:style>
  <w:style w:type="paragraph" w:customStyle="1" w:styleId="519">
    <w:name w:val="Char Char Char Char Char Char1"/>
    <w:basedOn w:val="1"/>
    <w:semiHidden/>
    <w:qFormat/>
    <w:uiPriority w:val="0"/>
    <w:pPr>
      <w:widowControl/>
      <w:jc w:val="left"/>
    </w:pPr>
    <w:rPr>
      <w:rFonts w:ascii="Songti SC" w:hAnsi="Songti SC" w:eastAsia="Songti SC"/>
      <w:kern w:val="0"/>
      <w:szCs w:val="28"/>
      <w:lang w:eastAsia="en-US" w:bidi="en-US"/>
    </w:rPr>
  </w:style>
  <w:style w:type="character" w:customStyle="1" w:styleId="520">
    <w:name w:val="）单括号正式样式 Char"/>
    <w:basedOn w:val="70"/>
    <w:link w:val="126"/>
    <w:qFormat/>
    <w:uiPriority w:val="0"/>
    <w:rPr>
      <w:rFonts w:ascii="Songti SC" w:hAnsi="Songti SC" w:eastAsia="Songti SC" w:cs="宋体"/>
      <w:color w:val="000000"/>
      <w:sz w:val="24"/>
      <w:szCs w:val="24"/>
    </w:rPr>
  </w:style>
  <w:style w:type="paragraph" w:customStyle="1" w:styleId="521">
    <w:name w:val="list_0020paragraph"/>
    <w:basedOn w:val="1"/>
    <w:qFormat/>
    <w:uiPriority w:val="0"/>
    <w:pPr>
      <w:widowControl/>
      <w:spacing w:before="100" w:beforeAutospacing="1" w:after="100" w:afterAutospacing="1"/>
      <w:jc w:val="left"/>
    </w:pPr>
    <w:rPr>
      <w:rFonts w:ascii="Songti SC" w:hAnsi="Songti SC" w:eastAsia="Songti SC"/>
      <w:kern w:val="0"/>
    </w:rPr>
  </w:style>
  <w:style w:type="paragraph" w:customStyle="1" w:styleId="522">
    <w:name w:val="FA正文+标号"/>
    <w:basedOn w:val="1"/>
    <w:qFormat/>
    <w:uiPriority w:val="0"/>
    <w:pPr>
      <w:numPr>
        <w:ilvl w:val="0"/>
        <w:numId w:val="37"/>
      </w:numPr>
      <w:tabs>
        <w:tab w:val="left" w:pos="3375"/>
        <w:tab w:val="clear" w:pos="840"/>
      </w:tabs>
      <w:spacing w:line="400" w:lineRule="exact"/>
      <w:ind w:left="0" w:firstLine="0"/>
    </w:pPr>
    <w:rPr>
      <w:rFonts w:ascii="Songti SC" w:hAnsi="Songti SC" w:eastAsia="Songti SC"/>
    </w:rPr>
  </w:style>
  <w:style w:type="paragraph" w:customStyle="1" w:styleId="523">
    <w:name w:val="表内文字"/>
    <w:basedOn w:val="1"/>
    <w:qFormat/>
    <w:uiPriority w:val="0"/>
    <w:pPr>
      <w:tabs>
        <w:tab w:val="left" w:pos="1418"/>
      </w:tabs>
      <w:jc w:val="center"/>
    </w:pPr>
    <w:rPr>
      <w:rFonts w:ascii="Songti SC" w:hAnsi="Songti SC" w:eastAsia="Songti SC"/>
      <w:spacing w:val="-20"/>
      <w:kern w:val="0"/>
    </w:rPr>
  </w:style>
  <w:style w:type="paragraph" w:customStyle="1" w:styleId="524">
    <w:name w:val="Item Indent_1"/>
    <w:basedOn w:val="1"/>
    <w:qFormat/>
    <w:uiPriority w:val="0"/>
    <w:pPr>
      <w:widowControl/>
      <w:spacing w:before="40" w:after="40"/>
      <w:ind w:left="1134"/>
      <w:jc w:val="left"/>
    </w:pPr>
    <w:rPr>
      <w:rFonts w:ascii="Songti SC" w:hAnsi="Songti SC" w:eastAsia="Songti SC"/>
      <w:color w:val="000000"/>
      <w:kern w:val="0"/>
      <w:sz w:val="21"/>
      <w:szCs w:val="20"/>
      <w:lang w:eastAsia="en-US"/>
    </w:rPr>
  </w:style>
  <w:style w:type="paragraph" w:customStyle="1" w:styleId="525">
    <w:name w:val="訾文刚正文"/>
    <w:basedOn w:val="1"/>
    <w:qFormat/>
    <w:uiPriority w:val="0"/>
    <w:pPr>
      <w:widowControl/>
      <w:adjustRightInd w:val="0"/>
      <w:snapToGrid w:val="0"/>
      <w:ind w:firstLine="420"/>
    </w:pPr>
    <w:rPr>
      <w:rFonts w:ascii="Songti SC" w:hAnsi="Songti SC" w:eastAsia="Songti SC"/>
      <w:kern w:val="0"/>
      <w:szCs w:val="21"/>
    </w:rPr>
  </w:style>
  <w:style w:type="paragraph" w:customStyle="1" w:styleId="526">
    <w:name w:val="訾文刚5级编号"/>
    <w:basedOn w:val="525"/>
    <w:qFormat/>
    <w:uiPriority w:val="0"/>
    <w:pPr>
      <w:numPr>
        <w:ilvl w:val="0"/>
        <w:numId w:val="38"/>
      </w:numPr>
    </w:pPr>
    <w:rPr>
      <w:rFonts w:ascii="Songti SC" w:hAnsi="Songti SC" w:eastAsia="Songti SC"/>
    </w:rPr>
  </w:style>
  <w:style w:type="paragraph" w:customStyle="1" w:styleId="527">
    <w:name w:val="*正文"/>
    <w:basedOn w:val="1"/>
    <w:link w:val="528"/>
    <w:qFormat/>
    <w:uiPriority w:val="0"/>
    <w:pPr>
      <w:ind w:firstLine="560"/>
    </w:pPr>
    <w:rPr>
      <w:rFonts w:ascii="Songti SC" w:hAnsi="Songti SC" w:eastAsia="Songti SC"/>
      <w:sz w:val="28"/>
      <w:szCs w:val="28"/>
    </w:rPr>
  </w:style>
  <w:style w:type="character" w:customStyle="1" w:styleId="528">
    <w:name w:val="*正文 Char"/>
    <w:link w:val="527"/>
    <w:qFormat/>
    <w:uiPriority w:val="0"/>
    <w:rPr>
      <w:rFonts w:ascii="Songti SC" w:hAnsi="Songti SC" w:eastAsia="Songti SC" w:cs="宋体"/>
      <w:sz w:val="28"/>
      <w:szCs w:val="28"/>
    </w:rPr>
  </w:style>
  <w:style w:type="paragraph" w:customStyle="1" w:styleId="529">
    <w:name w:val="样式 Arial 首行缩进:  0.85 厘米 段前: 3 磅 段后: 3 磅 行距: 1.5 倍行距"/>
    <w:basedOn w:val="1"/>
    <w:qFormat/>
    <w:uiPriority w:val="0"/>
    <w:pPr>
      <w:spacing w:before="60" w:after="60"/>
      <w:ind w:firstLine="480"/>
    </w:pPr>
    <w:rPr>
      <w:rFonts w:ascii="Songti SC" w:hAnsi="Songti SC" w:eastAsia="Songti SC"/>
      <w:szCs w:val="20"/>
    </w:rPr>
  </w:style>
  <w:style w:type="character" w:customStyle="1" w:styleId="530">
    <w:name w:val="段 Char Char"/>
    <w:qFormat/>
    <w:uiPriority w:val="0"/>
    <w:rPr>
      <w:rFonts w:ascii="Songti SC" w:hAnsi="Songti SC" w:eastAsia="Songti SC" w:cs="宋体"/>
      <w:sz w:val="21"/>
    </w:rPr>
  </w:style>
  <w:style w:type="character" w:customStyle="1" w:styleId="531">
    <w:name w:val="不明显强调2"/>
    <w:basedOn w:val="70"/>
    <w:qFormat/>
    <w:uiPriority w:val="19"/>
    <w:rPr>
      <w:rFonts w:ascii="Songti SC" w:hAnsi="Songti SC" w:eastAsia="Songti SC"/>
      <w:i/>
      <w:iCs/>
      <w:color w:val="808080"/>
    </w:rPr>
  </w:style>
  <w:style w:type="character" w:customStyle="1" w:styleId="532">
    <w:name w:val="Item List in Table Char Char"/>
    <w:basedOn w:val="70"/>
    <w:link w:val="152"/>
    <w:qFormat/>
    <w:uiPriority w:val="0"/>
    <w:rPr>
      <w:rFonts w:ascii="Songti SC" w:hAnsi="Songti SC" w:eastAsia="Songti SC" w:cs="宋体"/>
      <w:sz w:val="18"/>
      <w:szCs w:val="18"/>
      <w:lang w:eastAsia="en-US"/>
    </w:rPr>
  </w:style>
  <w:style w:type="character" w:customStyle="1" w:styleId="533">
    <w:name w:val="apple-style-span"/>
    <w:basedOn w:val="70"/>
    <w:qFormat/>
    <w:uiPriority w:val="0"/>
    <w:rPr>
      <w:rFonts w:ascii="Songti SC" w:hAnsi="Songti SC" w:eastAsia="Songti SC"/>
    </w:rPr>
  </w:style>
  <w:style w:type="paragraph" w:customStyle="1" w:styleId="534">
    <w:name w:val="Item Step_2"/>
    <w:qFormat/>
    <w:uiPriority w:val="0"/>
    <w:pPr>
      <w:tabs>
        <w:tab w:val="left" w:pos="1418"/>
      </w:tabs>
      <w:spacing w:before="40" w:after="40"/>
      <w:ind w:left="1418" w:hanging="284"/>
      <w:outlineLvl w:val="7"/>
    </w:pPr>
    <w:rPr>
      <w:rFonts w:ascii="Songti SC" w:hAnsi="Songti SC" w:eastAsia="Songti SC" w:cs="宋体"/>
      <w:sz w:val="21"/>
      <w:lang w:val="en-US" w:eastAsia="en-US" w:bidi="ar-SA"/>
    </w:rPr>
  </w:style>
  <w:style w:type="paragraph" w:customStyle="1" w:styleId="535">
    <w:name w:val="TOC"/>
    <w:next w:val="1"/>
    <w:qFormat/>
    <w:uiPriority w:val="0"/>
    <w:pPr>
      <w:keepNext/>
      <w:snapToGrid w:val="0"/>
      <w:spacing w:before="480" w:after="360"/>
      <w:jc w:val="center"/>
    </w:pPr>
    <w:rPr>
      <w:rFonts w:ascii="Songti SC" w:hAnsi="Songti SC" w:eastAsia="Songti SC" w:cs="宋体"/>
      <w:bCs/>
      <w:color w:val="000000"/>
      <w:sz w:val="36"/>
      <w:szCs w:val="40"/>
      <w:lang w:val="en-US" w:eastAsia="zh-CN" w:bidi="ar-SA"/>
    </w:rPr>
  </w:style>
  <w:style w:type="character" w:customStyle="1" w:styleId="536">
    <w:name w:val="Notes Heading Char Char"/>
    <w:basedOn w:val="70"/>
    <w:qFormat/>
    <w:uiPriority w:val="0"/>
    <w:rPr>
      <w:rFonts w:ascii="Songti SC" w:hAnsi="Songti SC" w:eastAsia="Songti SC" w:cs="宋体"/>
      <w:lang w:eastAsia="en-US"/>
    </w:rPr>
  </w:style>
  <w:style w:type="character" w:customStyle="1" w:styleId="537">
    <w:name w:val="Notes Text Char Char"/>
    <w:basedOn w:val="70"/>
    <w:qFormat/>
    <w:uiPriority w:val="0"/>
    <w:rPr>
      <w:rFonts w:ascii="Songti SC" w:hAnsi="Songti SC" w:eastAsia="Songti SC" w:cs="宋体"/>
      <w:kern w:val="0"/>
      <w:szCs w:val="20"/>
      <w:lang w:eastAsia="en-US"/>
    </w:rPr>
  </w:style>
  <w:style w:type="paragraph" w:customStyle="1" w:styleId="538">
    <w:name w:val="Item Step in Table-2"/>
    <w:qFormat/>
    <w:uiPriority w:val="0"/>
    <w:pPr>
      <w:tabs>
        <w:tab w:val="left" w:pos="624"/>
      </w:tabs>
      <w:spacing w:before="40" w:after="40"/>
      <w:ind w:left="624" w:hanging="227"/>
    </w:pPr>
    <w:rPr>
      <w:rFonts w:ascii="Songti SC" w:hAnsi="Songti SC" w:eastAsia="Songti SC" w:cs="宋体"/>
      <w:sz w:val="18"/>
      <w:szCs w:val="18"/>
      <w:lang w:val="en-US" w:eastAsia="zh-CN" w:bidi="ar-SA"/>
    </w:rPr>
  </w:style>
  <w:style w:type="paragraph" w:customStyle="1" w:styleId="539">
    <w:name w:val="Item Indent_2"/>
    <w:basedOn w:val="1"/>
    <w:qFormat/>
    <w:uiPriority w:val="0"/>
    <w:pPr>
      <w:widowControl/>
      <w:spacing w:before="40" w:after="40"/>
      <w:ind w:left="1418"/>
      <w:jc w:val="left"/>
    </w:pPr>
    <w:rPr>
      <w:rFonts w:ascii="Songti SC" w:hAnsi="Songti SC" w:eastAsia="Songti SC"/>
      <w:color w:val="000000"/>
      <w:kern w:val="0"/>
      <w:sz w:val="21"/>
      <w:szCs w:val="20"/>
      <w:lang w:eastAsia="en-US"/>
    </w:rPr>
  </w:style>
  <w:style w:type="paragraph" w:customStyle="1" w:styleId="540">
    <w:name w:val="Item Indent_3"/>
    <w:basedOn w:val="1"/>
    <w:semiHidden/>
    <w:qFormat/>
    <w:uiPriority w:val="0"/>
    <w:pPr>
      <w:widowControl/>
      <w:spacing w:before="80" w:after="40"/>
      <w:ind w:left="1956"/>
      <w:jc w:val="left"/>
    </w:pPr>
    <w:rPr>
      <w:rFonts w:ascii="Songti SC" w:hAnsi="Songti SC" w:eastAsia="Songti SC"/>
      <w:color w:val="000000"/>
      <w:kern w:val="0"/>
      <w:sz w:val="21"/>
      <w:szCs w:val="20"/>
      <w:lang w:eastAsia="en-US"/>
    </w:rPr>
  </w:style>
  <w:style w:type="character" w:customStyle="1" w:styleId="541">
    <w:name w:val="Notes Text List Char Char"/>
    <w:basedOn w:val="532"/>
    <w:qFormat/>
    <w:uiPriority w:val="0"/>
    <w:rPr>
      <w:rFonts w:ascii="Songti SC" w:hAnsi="Songti SC" w:eastAsia="Songti SC" w:cs="宋体"/>
      <w:sz w:val="18"/>
      <w:szCs w:val="18"/>
      <w:lang w:eastAsia="en-US"/>
    </w:rPr>
  </w:style>
  <w:style w:type="paragraph" w:customStyle="1" w:styleId="542">
    <w:name w:val="Item step_3"/>
    <w:basedOn w:val="1"/>
    <w:semiHidden/>
    <w:qFormat/>
    <w:uiPriority w:val="0"/>
    <w:pPr>
      <w:widowControl/>
      <w:tabs>
        <w:tab w:val="left" w:pos="1955"/>
      </w:tabs>
      <w:spacing w:before="80" w:after="40" w:line="240" w:lineRule="exact"/>
      <w:ind w:left="1956" w:hanging="312"/>
      <w:jc w:val="left"/>
      <w:outlineLvl w:val="8"/>
    </w:pPr>
    <w:rPr>
      <w:rFonts w:ascii="Songti SC" w:hAnsi="Songti SC" w:eastAsia="Songti SC"/>
      <w:color w:val="000000"/>
      <w:kern w:val="0"/>
      <w:sz w:val="21"/>
      <w:szCs w:val="16"/>
      <w:lang w:eastAsia="en-US"/>
    </w:rPr>
  </w:style>
  <w:style w:type="paragraph" w:customStyle="1" w:styleId="543">
    <w:name w:val="索引 Text"/>
    <w:link w:val="544"/>
    <w:qFormat/>
    <w:uiPriority w:val="0"/>
    <w:pPr>
      <w:spacing w:before="40" w:after="40"/>
      <w:ind w:left="624"/>
    </w:pPr>
    <w:rPr>
      <w:rFonts w:ascii="Songti SC" w:hAnsi="Songti SC" w:eastAsia="Songti SC" w:cs="宋体"/>
      <w:kern w:val="2"/>
      <w:sz w:val="21"/>
      <w:lang w:val="en-US" w:eastAsia="zh-CN" w:bidi="ar-SA"/>
    </w:rPr>
  </w:style>
  <w:style w:type="character" w:customStyle="1" w:styleId="544">
    <w:name w:val="索引 Text Char Char"/>
    <w:basedOn w:val="70"/>
    <w:link w:val="543"/>
    <w:qFormat/>
    <w:uiPriority w:val="0"/>
    <w:rPr>
      <w:rFonts w:ascii="Songti SC" w:hAnsi="Songti SC" w:eastAsia="Songti SC" w:cs="宋体"/>
      <w:szCs w:val="20"/>
    </w:rPr>
  </w:style>
  <w:style w:type="paragraph" w:customStyle="1" w:styleId="545">
    <w:name w:val="索引 Heading"/>
    <w:next w:val="543"/>
    <w:link w:val="546"/>
    <w:qFormat/>
    <w:uiPriority w:val="0"/>
    <w:pPr>
      <w:spacing w:before="120" w:after="120"/>
      <w:ind w:left="624"/>
    </w:pPr>
    <w:rPr>
      <w:rFonts w:ascii="Songti SC" w:hAnsi="Songti SC" w:eastAsia="Songti SC" w:cs="宋体"/>
      <w:b/>
      <w:kern w:val="2"/>
      <w:sz w:val="21"/>
      <w:lang w:val="en-US" w:eastAsia="zh-CN" w:bidi="ar-SA"/>
    </w:rPr>
  </w:style>
  <w:style w:type="character" w:customStyle="1" w:styleId="546">
    <w:name w:val="索引 Heading Char"/>
    <w:basedOn w:val="70"/>
    <w:link w:val="545"/>
    <w:qFormat/>
    <w:uiPriority w:val="0"/>
    <w:rPr>
      <w:rFonts w:ascii="Songti SC" w:hAnsi="Songti SC" w:eastAsia="Songti SC" w:cs="宋体"/>
      <w:b/>
      <w:szCs w:val="20"/>
    </w:rPr>
  </w:style>
  <w:style w:type="paragraph" w:customStyle="1" w:styleId="547">
    <w:name w:val="索引链接"/>
    <w:next w:val="1"/>
    <w:link w:val="548"/>
    <w:qFormat/>
    <w:uiPriority w:val="0"/>
    <w:pPr>
      <w:spacing w:before="120" w:after="60"/>
      <w:ind w:left="624"/>
    </w:pPr>
    <w:rPr>
      <w:rFonts w:ascii="Songti SC" w:hAnsi="Songti SC" w:eastAsia="Songti SC" w:cs="宋体"/>
      <w:bCs/>
      <w:color w:val="000000"/>
      <w:sz w:val="36"/>
      <w:szCs w:val="36"/>
      <w:lang w:val="en-US" w:eastAsia="zh-CN" w:bidi="ar-SA"/>
    </w:rPr>
  </w:style>
  <w:style w:type="character" w:customStyle="1" w:styleId="548">
    <w:name w:val="索引链接 Char"/>
    <w:basedOn w:val="70"/>
    <w:link w:val="547"/>
    <w:qFormat/>
    <w:uiPriority w:val="0"/>
    <w:rPr>
      <w:rFonts w:ascii="Songti SC" w:hAnsi="Songti SC" w:eastAsia="Songti SC" w:cs="宋体"/>
      <w:bCs/>
      <w:color w:val="000000"/>
      <w:kern w:val="0"/>
      <w:sz w:val="36"/>
      <w:szCs w:val="36"/>
    </w:rPr>
  </w:style>
  <w:style w:type="paragraph" w:customStyle="1" w:styleId="549">
    <w:name w:val="Terminal Display Indent_1"/>
    <w:basedOn w:val="390"/>
    <w:qFormat/>
    <w:uiPriority w:val="0"/>
    <w:pPr>
      <w:widowControl/>
      <w:ind w:left="1134"/>
      <w:jc w:val="left"/>
    </w:pPr>
    <w:rPr>
      <w:rFonts w:ascii="Songti SC" w:hAnsi="Songti SC" w:eastAsia="Songti SC"/>
      <w:lang w:eastAsia="zh-CN" w:bidi="ar-SA"/>
    </w:rPr>
  </w:style>
  <w:style w:type="paragraph" w:customStyle="1" w:styleId="550">
    <w:name w:val="Terminal Display Indent_2"/>
    <w:basedOn w:val="390"/>
    <w:qFormat/>
    <w:uiPriority w:val="0"/>
    <w:pPr>
      <w:widowControl/>
      <w:ind w:left="1418"/>
      <w:jc w:val="left"/>
    </w:pPr>
    <w:rPr>
      <w:rFonts w:ascii="Songti SC" w:hAnsi="Songti SC" w:eastAsia="Songti SC"/>
      <w:lang w:eastAsia="zh-CN" w:bidi="ar-SA"/>
    </w:rPr>
  </w:style>
  <w:style w:type="paragraph" w:customStyle="1" w:styleId="551">
    <w:name w:val="正文项目3"/>
    <w:basedOn w:val="1"/>
    <w:qFormat/>
    <w:uiPriority w:val="0"/>
    <w:pPr>
      <w:numPr>
        <w:ilvl w:val="0"/>
        <w:numId w:val="39"/>
      </w:numPr>
      <w:spacing w:line="300" w:lineRule="auto"/>
      <w:ind w:firstLine="200"/>
    </w:pPr>
    <w:rPr>
      <w:rFonts w:ascii="Songti SC" w:hAnsi="Songti SC" w:eastAsia="Songti SC"/>
      <w:sz w:val="21"/>
    </w:rPr>
  </w:style>
  <w:style w:type="character" w:customStyle="1" w:styleId="552">
    <w:name w:val="ms-sitemapdirectional"/>
    <w:basedOn w:val="70"/>
    <w:qFormat/>
    <w:uiPriority w:val="0"/>
    <w:rPr>
      <w:rFonts w:ascii="Songti SC" w:hAnsi="Songti SC" w:eastAsia="Songti SC"/>
    </w:rPr>
  </w:style>
  <w:style w:type="paragraph" w:customStyle="1" w:styleId="553">
    <w:name w:val="字母编号列项（一级）"/>
    <w:qFormat/>
    <w:uiPriority w:val="0"/>
    <w:pPr>
      <w:jc w:val="both"/>
    </w:pPr>
    <w:rPr>
      <w:rFonts w:ascii="Songti SC" w:hAnsi="Songti SC" w:eastAsia="Songti SC" w:cs="宋体"/>
      <w:sz w:val="21"/>
      <w:lang w:val="en-US" w:eastAsia="zh-CN" w:bidi="ar-SA"/>
    </w:rPr>
  </w:style>
  <w:style w:type="paragraph" w:customStyle="1" w:styleId="554">
    <w:name w:val="正文（奇虎360）"/>
    <w:link w:val="563"/>
    <w:qFormat/>
    <w:uiPriority w:val="0"/>
    <w:pPr>
      <w:spacing w:line="300" w:lineRule="auto"/>
    </w:pPr>
    <w:rPr>
      <w:rFonts w:ascii="Songti SC" w:hAnsi="Songti SC" w:eastAsia="Songti SC" w:cs="宋体"/>
      <w:sz w:val="21"/>
      <w:szCs w:val="21"/>
      <w:lang w:val="en-US" w:eastAsia="zh-CN" w:bidi="ar-SA"/>
    </w:rPr>
  </w:style>
  <w:style w:type="paragraph" w:customStyle="1" w:styleId="555">
    <w:name w:val="标题 1（奇虎360）"/>
    <w:basedOn w:val="2"/>
    <w:next w:val="554"/>
    <w:qFormat/>
    <w:uiPriority w:val="0"/>
    <w:pPr>
      <w:numPr>
        <w:numId w:val="0"/>
      </w:numPr>
      <w:pBdr>
        <w:bottom w:val="single" w:color="auto" w:sz="48" w:space="1"/>
      </w:pBdr>
      <w:spacing w:before="600" w:after="330" w:line="576" w:lineRule="auto"/>
      <w:ind w:left="907" w:hanging="907"/>
    </w:pPr>
    <w:rPr>
      <w:rFonts w:ascii="Songti SC" w:hAnsi="Songti SC" w:eastAsia="Songti SC"/>
    </w:rPr>
  </w:style>
  <w:style w:type="paragraph" w:customStyle="1" w:styleId="556">
    <w:name w:val="标题 2（奇虎360）"/>
    <w:basedOn w:val="3"/>
    <w:next w:val="554"/>
    <w:qFormat/>
    <w:uiPriority w:val="0"/>
    <w:pPr>
      <w:numPr>
        <w:ilvl w:val="0"/>
        <w:numId w:val="0"/>
      </w:numPr>
      <w:spacing w:before="260" w:after="260" w:line="415" w:lineRule="auto"/>
      <w:ind w:left="907" w:hanging="907"/>
    </w:pPr>
    <w:rPr>
      <w:rFonts w:ascii="Songti SC" w:hAnsi="Songti SC" w:eastAsia="Songti SC"/>
      <w:bCs/>
    </w:rPr>
  </w:style>
  <w:style w:type="paragraph" w:customStyle="1" w:styleId="557">
    <w:name w:val="标题 3（奇虎360）"/>
    <w:basedOn w:val="4"/>
    <w:next w:val="554"/>
    <w:qFormat/>
    <w:uiPriority w:val="0"/>
    <w:pPr>
      <w:numPr>
        <w:ilvl w:val="0"/>
        <w:numId w:val="40"/>
      </w:numPr>
      <w:tabs>
        <w:tab w:val="left" w:pos="960"/>
      </w:tabs>
      <w:spacing w:before="260" w:after="260" w:line="415" w:lineRule="auto"/>
    </w:pPr>
    <w:rPr>
      <w:rFonts w:ascii="Songti SC" w:hAnsi="Songti SC" w:eastAsia="Songti SC"/>
      <w:bCs/>
      <w:kern w:val="0"/>
      <w:szCs w:val="30"/>
    </w:rPr>
  </w:style>
  <w:style w:type="paragraph" w:customStyle="1" w:styleId="558">
    <w:name w:val="标题 4（奇虎360）"/>
    <w:basedOn w:val="183"/>
    <w:next w:val="554"/>
    <w:qFormat/>
    <w:uiPriority w:val="0"/>
    <w:rPr>
      <w:rFonts w:ascii="Songti SC" w:hAnsi="Songti SC" w:eastAsia="Songti SC"/>
    </w:rPr>
  </w:style>
  <w:style w:type="paragraph" w:customStyle="1" w:styleId="559">
    <w:name w:val="标题 5（有编号）（奇虎360）"/>
    <w:basedOn w:val="1"/>
    <w:next w:val="554"/>
    <w:qFormat/>
    <w:uiPriority w:val="0"/>
    <w:pPr>
      <w:keepNext/>
      <w:keepLines/>
      <w:numPr>
        <w:ilvl w:val="4"/>
        <w:numId w:val="40"/>
      </w:numPr>
      <w:spacing w:before="280" w:after="156" w:line="377" w:lineRule="auto"/>
      <w:jc w:val="left"/>
      <w:outlineLvl w:val="4"/>
    </w:pPr>
    <w:rPr>
      <w:rFonts w:ascii="Songti SC" w:hAnsi="Songti SC" w:eastAsia="Songti SC"/>
      <w:b/>
      <w:kern w:val="0"/>
      <w:szCs w:val="28"/>
    </w:rPr>
  </w:style>
  <w:style w:type="paragraph" w:customStyle="1" w:styleId="560">
    <w:name w:val="标题 6（有编号）（奇虎360）"/>
    <w:basedOn w:val="1"/>
    <w:next w:val="554"/>
    <w:qFormat/>
    <w:uiPriority w:val="0"/>
    <w:pPr>
      <w:keepNext/>
      <w:keepLines/>
      <w:numPr>
        <w:ilvl w:val="5"/>
        <w:numId w:val="40"/>
      </w:numPr>
      <w:spacing w:before="240" w:after="64" w:line="319" w:lineRule="auto"/>
      <w:jc w:val="left"/>
      <w:outlineLvl w:val="5"/>
    </w:pPr>
    <w:rPr>
      <w:rFonts w:ascii="Songti SC" w:hAnsi="Songti SC" w:eastAsia="Songti SC"/>
      <w:b/>
      <w:kern w:val="0"/>
      <w:sz w:val="21"/>
    </w:rPr>
  </w:style>
  <w:style w:type="paragraph" w:customStyle="1" w:styleId="561">
    <w:name w:val="插图标注（奇虎360）"/>
    <w:next w:val="554"/>
    <w:qFormat/>
    <w:uiPriority w:val="0"/>
    <w:pPr>
      <w:numPr>
        <w:ilvl w:val="6"/>
        <w:numId w:val="40"/>
      </w:numPr>
      <w:spacing w:after="156"/>
      <w:jc w:val="center"/>
    </w:pPr>
    <w:rPr>
      <w:rFonts w:ascii="Songti SC" w:hAnsi="Songti SC" w:eastAsia="Songti SC" w:cs="宋体"/>
      <w:sz w:val="21"/>
      <w:szCs w:val="21"/>
      <w:lang w:val="en-US" w:eastAsia="zh-CN" w:bidi="ar-SA"/>
    </w:rPr>
  </w:style>
  <w:style w:type="paragraph" w:customStyle="1" w:styleId="562">
    <w:name w:val="表格标注（奇虎360）"/>
    <w:basedOn w:val="561"/>
    <w:next w:val="554"/>
    <w:qFormat/>
    <w:uiPriority w:val="0"/>
    <w:pPr>
      <w:numPr>
        <w:ilvl w:val="7"/>
      </w:numPr>
    </w:pPr>
    <w:rPr>
      <w:rFonts w:ascii="Songti SC" w:hAnsi="Songti SC" w:eastAsia="Songti SC"/>
    </w:rPr>
  </w:style>
  <w:style w:type="character" w:customStyle="1" w:styleId="563">
    <w:name w:val="正文（奇虎360） Char"/>
    <w:link w:val="554"/>
    <w:qFormat/>
    <w:uiPriority w:val="0"/>
    <w:rPr>
      <w:rFonts w:ascii="Songti SC" w:hAnsi="Songti SC" w:eastAsia="Songti SC" w:cs="宋体"/>
      <w:kern w:val="0"/>
      <w:szCs w:val="21"/>
    </w:rPr>
  </w:style>
  <w:style w:type="paragraph" w:customStyle="1" w:styleId="564">
    <w:name w:val="正文（绿盟科技）"/>
    <w:link w:val="565"/>
    <w:qFormat/>
    <w:uiPriority w:val="0"/>
    <w:pPr>
      <w:spacing w:line="300" w:lineRule="auto"/>
    </w:pPr>
    <w:rPr>
      <w:rFonts w:ascii="Songti SC" w:hAnsi="Songti SC" w:eastAsia="Songti SC" w:cs="宋体"/>
      <w:sz w:val="21"/>
      <w:szCs w:val="21"/>
      <w:lang w:val="en-US" w:eastAsia="zh-CN" w:bidi="ar-SA"/>
    </w:rPr>
  </w:style>
  <w:style w:type="character" w:customStyle="1" w:styleId="565">
    <w:name w:val="正文（绿盟科技） Char"/>
    <w:link w:val="564"/>
    <w:qFormat/>
    <w:uiPriority w:val="0"/>
    <w:rPr>
      <w:rFonts w:ascii="Songti SC" w:hAnsi="Songti SC" w:eastAsia="Songti SC" w:cs="宋体"/>
      <w:kern w:val="0"/>
      <w:szCs w:val="21"/>
    </w:rPr>
  </w:style>
  <w:style w:type="paragraph" w:customStyle="1" w:styleId="566">
    <w:name w:val="cdr"/>
    <w:basedOn w:val="1"/>
    <w:link w:val="567"/>
    <w:qFormat/>
    <w:uiPriority w:val="0"/>
    <w:pPr>
      <w:ind w:firstLine="420"/>
    </w:pPr>
    <w:rPr>
      <w:rFonts w:ascii="Songti SC" w:hAnsi="Songti SC" w:eastAsia="Songti SC"/>
      <w:bCs/>
      <w:szCs w:val="28"/>
      <w:lang w:val="zh-CN"/>
    </w:rPr>
  </w:style>
  <w:style w:type="character" w:customStyle="1" w:styleId="567">
    <w:name w:val="cdr Char"/>
    <w:link w:val="566"/>
    <w:qFormat/>
    <w:uiPriority w:val="0"/>
    <w:rPr>
      <w:rFonts w:ascii="Songti SC" w:hAnsi="Songti SC" w:eastAsia="Songti SC" w:cs="宋体"/>
      <w:bCs/>
      <w:sz w:val="24"/>
      <w:szCs w:val="28"/>
      <w:lang w:val="zh-CN" w:eastAsia="zh-CN"/>
    </w:rPr>
  </w:style>
  <w:style w:type="paragraph" w:customStyle="1" w:styleId="568">
    <w:name w:val="LD标题1"/>
    <w:basedOn w:val="86"/>
    <w:next w:val="1"/>
    <w:qFormat/>
    <w:uiPriority w:val="0"/>
    <w:pPr>
      <w:pageBreakBefore/>
      <w:numPr>
        <w:ilvl w:val="0"/>
        <w:numId w:val="41"/>
      </w:numPr>
      <w:ind w:firstLine="0" w:firstLineChars="0"/>
      <w:jc w:val="center"/>
      <w:outlineLvl w:val="0"/>
    </w:pPr>
    <w:rPr>
      <w:rFonts w:ascii="Songti SC" w:hAnsi="Songti SC" w:eastAsia="Songti SC" w:cstheme="minorBidi"/>
      <w:b/>
      <w:sz w:val="36"/>
      <w:szCs w:val="22"/>
    </w:rPr>
  </w:style>
  <w:style w:type="paragraph" w:customStyle="1" w:styleId="569">
    <w:name w:val="LD标题2"/>
    <w:basedOn w:val="1"/>
    <w:qFormat/>
    <w:uiPriority w:val="0"/>
    <w:pPr>
      <w:keepNext/>
      <w:numPr>
        <w:ilvl w:val="1"/>
        <w:numId w:val="41"/>
      </w:numPr>
      <w:jc w:val="left"/>
      <w:outlineLvl w:val="1"/>
    </w:pPr>
    <w:rPr>
      <w:rFonts w:ascii="Songti SC" w:hAnsi="Songti SC" w:eastAsia="Songti SC" w:cstheme="minorBidi"/>
      <w:b/>
      <w:szCs w:val="22"/>
    </w:rPr>
  </w:style>
  <w:style w:type="paragraph" w:customStyle="1" w:styleId="570">
    <w:name w:val="样式3"/>
    <w:basedOn w:val="1"/>
    <w:next w:val="1"/>
    <w:qFormat/>
    <w:uiPriority w:val="0"/>
    <w:pPr>
      <w:spacing w:beforeLines="50" w:afterLines="50"/>
      <w:outlineLvl w:val="2"/>
    </w:pPr>
    <w:rPr>
      <w:rFonts w:ascii="Songti SC" w:hAnsi="Songti SC" w:eastAsia="Songti SC"/>
      <w:b/>
      <w:sz w:val="30"/>
    </w:rPr>
  </w:style>
  <w:style w:type="character" w:customStyle="1" w:styleId="571">
    <w:name w:val="样式2 Char"/>
    <w:link w:val="385"/>
    <w:qFormat/>
    <w:uiPriority w:val="0"/>
    <w:rPr>
      <w:rFonts w:ascii="Songti SC" w:hAnsi="Songti SC" w:eastAsia="Songti SC" w:cs="宋体"/>
      <w:bCs/>
      <w:kern w:val="2"/>
      <w:sz w:val="21"/>
      <w:szCs w:val="28"/>
      <w:lang w:eastAsia="en-US" w:bidi="en-US"/>
    </w:rPr>
  </w:style>
  <w:style w:type="paragraph" w:customStyle="1" w:styleId="572">
    <w:name w:val="样式4"/>
    <w:basedOn w:val="1"/>
    <w:next w:val="1"/>
    <w:qFormat/>
    <w:uiPriority w:val="0"/>
    <w:pPr>
      <w:spacing w:afterLines="50"/>
      <w:outlineLvl w:val="3"/>
    </w:pPr>
    <w:rPr>
      <w:rFonts w:ascii="Songti SC" w:hAnsi="Songti SC" w:eastAsia="Songti SC"/>
      <w:b/>
      <w:sz w:val="28"/>
    </w:rPr>
  </w:style>
  <w:style w:type="paragraph" w:customStyle="1" w:styleId="573">
    <w:name w:val="样式 首行缩进:  2 字符1"/>
    <w:basedOn w:val="1"/>
    <w:link w:val="574"/>
    <w:qFormat/>
    <w:uiPriority w:val="0"/>
    <w:pPr>
      <w:ind w:firstLine="480"/>
    </w:pPr>
    <w:rPr>
      <w:rFonts w:ascii="Songti SC" w:hAnsi="Songti SC" w:eastAsia="Songti SC"/>
      <w:szCs w:val="20"/>
    </w:rPr>
  </w:style>
  <w:style w:type="character" w:customStyle="1" w:styleId="574">
    <w:name w:val="样式 首行缩进:  2 字符1 Char"/>
    <w:link w:val="573"/>
    <w:qFormat/>
    <w:uiPriority w:val="0"/>
    <w:rPr>
      <w:rFonts w:ascii="Songti SC" w:hAnsi="Songti SC" w:eastAsia="Songti SC" w:cs="宋体"/>
      <w:sz w:val="24"/>
      <w:szCs w:val="20"/>
    </w:rPr>
  </w:style>
  <w:style w:type="paragraph" w:customStyle="1" w:styleId="575">
    <w:name w:val="a0"/>
    <w:basedOn w:val="1"/>
    <w:qFormat/>
    <w:uiPriority w:val="0"/>
    <w:pPr>
      <w:widowControl/>
      <w:spacing w:after="150"/>
      <w:jc w:val="left"/>
    </w:pPr>
    <w:rPr>
      <w:rFonts w:ascii="Songti SC" w:hAnsi="Songti SC" w:eastAsia="Songti SC"/>
      <w:kern w:val="0"/>
    </w:rPr>
  </w:style>
  <w:style w:type="paragraph" w:customStyle="1" w:styleId="576">
    <w:name w:val="itemlist3"/>
    <w:basedOn w:val="1"/>
    <w:qFormat/>
    <w:uiPriority w:val="0"/>
    <w:pPr>
      <w:widowControl/>
      <w:spacing w:after="150" w:line="360" w:lineRule="atLeast"/>
      <w:jc w:val="left"/>
    </w:pPr>
    <w:rPr>
      <w:rFonts w:ascii="Songti SC" w:hAnsi="Songti SC" w:eastAsia="Songti SC"/>
      <w:kern w:val="0"/>
      <w:sz w:val="21"/>
      <w:szCs w:val="21"/>
    </w:rPr>
  </w:style>
  <w:style w:type="paragraph" w:customStyle="1" w:styleId="577">
    <w:name w:val="首行缩进 Char Char"/>
    <w:basedOn w:val="1"/>
    <w:link w:val="578"/>
    <w:qFormat/>
    <w:uiPriority w:val="0"/>
    <w:pPr>
      <w:autoSpaceDE w:val="0"/>
      <w:autoSpaceDN w:val="0"/>
      <w:adjustRightInd w:val="0"/>
      <w:ind w:firstLine="720"/>
      <w:jc w:val="left"/>
    </w:pPr>
    <w:rPr>
      <w:rFonts w:ascii="Songti SC" w:hAnsi="Songti SC" w:eastAsia="Songti SC"/>
      <w:kern w:val="0"/>
      <w:sz w:val="21"/>
      <w:szCs w:val="21"/>
    </w:rPr>
  </w:style>
  <w:style w:type="character" w:customStyle="1" w:styleId="578">
    <w:name w:val="首行缩进 Char Char Char"/>
    <w:basedOn w:val="70"/>
    <w:link w:val="577"/>
    <w:qFormat/>
    <w:uiPriority w:val="0"/>
    <w:rPr>
      <w:rFonts w:ascii="Songti SC" w:hAnsi="Songti SC" w:eastAsia="Songti SC" w:cs="宋体"/>
      <w:kern w:val="0"/>
      <w:szCs w:val="21"/>
    </w:rPr>
  </w:style>
  <w:style w:type="paragraph" w:customStyle="1" w:styleId="579">
    <w:name w:val="默认段落字体 Para Char Char Char Char Char"/>
    <w:basedOn w:val="1"/>
    <w:qFormat/>
    <w:uiPriority w:val="0"/>
    <w:rPr>
      <w:rFonts w:ascii="Songti SC" w:hAnsi="Songti SC" w:eastAsia="Songti SC"/>
      <w:sz w:val="21"/>
    </w:rPr>
  </w:style>
  <w:style w:type="paragraph" w:customStyle="1" w:styleId="580">
    <w:name w:val="基本正文"/>
    <w:qFormat/>
    <w:uiPriority w:val="0"/>
    <w:pPr>
      <w:widowControl w:val="0"/>
      <w:spacing w:before="60" w:after="60" w:line="360" w:lineRule="exact"/>
      <w:ind w:firstLine="420" w:firstLineChars="200"/>
      <w:jc w:val="both"/>
    </w:pPr>
    <w:rPr>
      <w:rFonts w:ascii="Songti SC" w:hAnsi="Songti SC" w:eastAsia="Songti SC" w:cs="宋体"/>
      <w:kern w:val="2"/>
      <w:sz w:val="21"/>
      <w:lang w:val="en-US" w:eastAsia="zh-CN" w:bidi="ar-SA"/>
    </w:rPr>
  </w:style>
  <w:style w:type="paragraph" w:customStyle="1" w:styleId="581">
    <w:name w:val="Figure Description Char Char Char Char Char"/>
    <w:next w:val="1"/>
    <w:link w:val="582"/>
    <w:qFormat/>
    <w:uiPriority w:val="0"/>
    <w:pPr>
      <w:snapToGrid w:val="0"/>
      <w:spacing w:before="80" w:after="320"/>
      <w:ind w:left="1134"/>
      <w:jc w:val="center"/>
    </w:pPr>
    <w:rPr>
      <w:rFonts w:ascii="Songti SC" w:hAnsi="Songti SC" w:eastAsia="Songti SC" w:cs="宋体"/>
      <w:sz w:val="18"/>
      <w:szCs w:val="18"/>
      <w:lang w:val="en-US" w:eastAsia="zh-CN" w:bidi="ar-SA"/>
    </w:rPr>
  </w:style>
  <w:style w:type="character" w:customStyle="1" w:styleId="582">
    <w:name w:val="Figure Description Char Char Char Char Char Char"/>
    <w:basedOn w:val="70"/>
    <w:link w:val="581"/>
    <w:qFormat/>
    <w:uiPriority w:val="0"/>
    <w:rPr>
      <w:rFonts w:ascii="Songti SC" w:hAnsi="Songti SC" w:eastAsia="Songti SC" w:cs="宋体"/>
      <w:kern w:val="0"/>
      <w:sz w:val="18"/>
      <w:szCs w:val="18"/>
    </w:rPr>
  </w:style>
  <w:style w:type="table" w:customStyle="1" w:styleId="583">
    <w:name w:val="网格表 6 彩色 - 着色 11"/>
    <w:basedOn w:val="60"/>
    <w:qFormat/>
    <w:uiPriority w:val="51"/>
    <w:rPr>
      <w:rFonts w:ascii="Songti SC" w:hAnsi="Songti SC" w:eastAsia="Songti SC"/>
      <w:color w:val="000000"/>
    </w:rPr>
    <w:tblPr>
      <w:tblBorders>
        <w:top w:val="single" w:color="9CC2E5" w:sz="4" w:space="0"/>
        <w:left w:val="single" w:color="9CC2E5" w:sz="4" w:space="0"/>
        <w:bottom w:val="single" w:color="9CC2E5" w:sz="4" w:space="0"/>
        <w:right w:val="single" w:color="9CC2E5" w:sz="4" w:space="0"/>
        <w:insideH w:val="single" w:color="9CC2E5" w:sz="4" w:space="0"/>
        <w:insideV w:val="single" w:color="9CC2E5" w:sz="4" w:space="0"/>
      </w:tblBorders>
    </w:tblPr>
    <w:tblStylePr w:type="firstRow">
      <w:rPr>
        <w:b/>
        <w:bCs/>
      </w:rPr>
      <w:tcPr>
        <w:tcBorders>
          <w:top w:val="nil"/>
          <w:left w:val="nil"/>
          <w:bottom w:val="single" w:color="9CC2E5" w:sz="12" w:space="0"/>
          <w:right w:val="nil"/>
          <w:insideH w:val="nil"/>
          <w:insideV w:val="nil"/>
          <w:tl2br w:val="nil"/>
          <w:tr2bl w:val="nil"/>
        </w:tcBorders>
      </w:tcPr>
    </w:tblStylePr>
    <w:tblStylePr w:type="lastRow">
      <w:rPr>
        <w:b/>
        <w:bCs/>
      </w:rPr>
      <w:tcPr>
        <w:tcBorders>
          <w:top w:val="double" w:color="9CC2E5" w:sz="4" w:space="0"/>
          <w:left w:val="nil"/>
          <w:bottom w:val="nil"/>
          <w:right w:val="nil"/>
          <w:insideH w:val="nil"/>
          <w:insideV w:val="nil"/>
          <w:tl2br w:val="nil"/>
          <w:tr2bl w:val="nil"/>
        </w:tcBorders>
      </w:tcPr>
    </w:tblStylePr>
    <w:tblStylePr w:type="firstCol">
      <w:rPr>
        <w:b/>
        <w:bCs/>
      </w:rPr>
    </w:tblStylePr>
    <w:tblStylePr w:type="lastCol">
      <w:rPr>
        <w:b/>
        <w:bCs/>
      </w:rPr>
    </w:tblStylePr>
    <w:tblStylePr w:type="band1Vert">
      <w:tcPr>
        <w:shd w:val="clear" w:color="auto" w:fill="DEEAF6"/>
      </w:tcPr>
    </w:tblStylePr>
    <w:tblStylePr w:type="band1Horz">
      <w:tcPr>
        <w:shd w:val="clear" w:color="auto" w:fill="DEEAF6"/>
      </w:tcPr>
    </w:tblStylePr>
  </w:style>
  <w:style w:type="paragraph" w:customStyle="1" w:styleId="584">
    <w:name w:val="单位名称"/>
    <w:basedOn w:val="1"/>
    <w:autoRedefine/>
    <w:qFormat/>
    <w:uiPriority w:val="0"/>
    <w:pPr>
      <w:snapToGrid w:val="0"/>
      <w:spacing w:line="520" w:lineRule="exact"/>
      <w:jc w:val="center"/>
    </w:pPr>
    <w:rPr>
      <w:rFonts w:ascii="Songti SC" w:hAnsi="Songti SC" w:eastAsia="Songti SC"/>
      <w:b/>
      <w:szCs w:val="32"/>
    </w:rPr>
  </w:style>
  <w:style w:type="character" w:customStyle="1" w:styleId="585">
    <w:name w:val="Default Char Char"/>
    <w:link w:val="105"/>
    <w:qFormat/>
    <w:uiPriority w:val="0"/>
    <w:rPr>
      <w:rFonts w:ascii="Songti SC" w:hAnsi="Songti SC" w:eastAsia="Songti SC" w:cs="宋体"/>
      <w:color w:val="000000"/>
      <w:kern w:val="0"/>
      <w:sz w:val="24"/>
      <w:szCs w:val="24"/>
    </w:rPr>
  </w:style>
  <w:style w:type="paragraph" w:customStyle="1" w:styleId="586">
    <w:name w:val="文档正文"/>
    <w:basedOn w:val="1"/>
    <w:link w:val="588"/>
    <w:qFormat/>
    <w:uiPriority w:val="0"/>
    <w:pPr>
      <w:adjustRightInd w:val="0"/>
      <w:spacing w:line="480" w:lineRule="atLeast"/>
      <w:ind w:firstLine="567"/>
      <w:textAlignment w:val="baseline"/>
    </w:pPr>
    <w:rPr>
      <w:rFonts w:ascii="Songti SC" w:hAnsi="Songti SC" w:eastAsia="Songti SC"/>
      <w:spacing w:val="4"/>
      <w:kern w:val="0"/>
    </w:rPr>
  </w:style>
  <w:style w:type="paragraph" w:customStyle="1" w:styleId="587">
    <w:name w:val="表标题"/>
    <w:basedOn w:val="1"/>
    <w:qFormat/>
    <w:uiPriority w:val="0"/>
    <w:pPr>
      <w:numPr>
        <w:ilvl w:val="1"/>
        <w:numId w:val="42"/>
      </w:numPr>
      <w:tabs>
        <w:tab w:val="left" w:pos="1554"/>
      </w:tabs>
      <w:adjustRightInd w:val="0"/>
      <w:spacing w:beforeLines="50" w:afterLines="50"/>
      <w:jc w:val="center"/>
      <w:textAlignment w:val="baseline"/>
    </w:pPr>
    <w:rPr>
      <w:rFonts w:ascii="Songti SC" w:hAnsi="Songti SC" w:eastAsia="Songti SC"/>
      <w:spacing w:val="4"/>
      <w:kern w:val="0"/>
      <w:szCs w:val="20"/>
    </w:rPr>
  </w:style>
  <w:style w:type="character" w:customStyle="1" w:styleId="588">
    <w:name w:val="文档正文 Char Char"/>
    <w:link w:val="586"/>
    <w:qFormat/>
    <w:uiPriority w:val="0"/>
    <w:rPr>
      <w:rFonts w:ascii="Songti SC" w:hAnsi="Songti SC" w:eastAsia="Songti SC" w:cs="宋体"/>
      <w:spacing w:val="4"/>
      <w:kern w:val="0"/>
      <w:sz w:val="24"/>
      <w:szCs w:val="24"/>
    </w:rPr>
  </w:style>
  <w:style w:type="character" w:customStyle="1" w:styleId="589">
    <w:name w:val="文档正文 Char1"/>
    <w:qFormat/>
    <w:uiPriority w:val="0"/>
    <w:rPr>
      <w:rFonts w:ascii="Songti SC" w:hAnsi="Songti SC" w:eastAsia="Songti SC" w:cs="宋体"/>
      <w:sz w:val="24"/>
      <w:szCs w:val="24"/>
      <w:lang w:val="en-US" w:eastAsia="zh-CN" w:bidi="ar-SA"/>
    </w:rPr>
  </w:style>
  <w:style w:type="paragraph" w:customStyle="1" w:styleId="590">
    <w:name w:val="一般正文"/>
    <w:basedOn w:val="1"/>
    <w:link w:val="591"/>
    <w:qFormat/>
    <w:uiPriority w:val="0"/>
    <w:pPr>
      <w:jc w:val="left"/>
    </w:pPr>
    <w:rPr>
      <w:rFonts w:ascii="Songti SC" w:hAnsi="Songti SC" w:eastAsia="Songti SC"/>
    </w:rPr>
  </w:style>
  <w:style w:type="character" w:customStyle="1" w:styleId="591">
    <w:name w:val="一般正文 Char"/>
    <w:link w:val="590"/>
    <w:qFormat/>
    <w:uiPriority w:val="0"/>
    <w:rPr>
      <w:rFonts w:ascii="Songti SC" w:hAnsi="Songti SC" w:eastAsia="Songti SC" w:cs="宋体"/>
      <w:sz w:val="24"/>
      <w:szCs w:val="24"/>
    </w:rPr>
  </w:style>
  <w:style w:type="paragraph" w:customStyle="1" w:styleId="592">
    <w:name w:val="样式 加粗"/>
    <w:basedOn w:val="1"/>
    <w:qFormat/>
    <w:uiPriority w:val="0"/>
    <w:pPr>
      <w:ind w:firstLine="562"/>
      <w:jc w:val="left"/>
    </w:pPr>
    <w:rPr>
      <w:rFonts w:ascii="Songti SC" w:hAnsi="Songti SC" w:eastAsia="Songti SC"/>
      <w:bCs/>
      <w:sz w:val="28"/>
      <w:szCs w:val="20"/>
    </w:rPr>
  </w:style>
  <w:style w:type="paragraph" w:customStyle="1" w:styleId="593">
    <w:name w:val="YL1"/>
    <w:basedOn w:val="86"/>
    <w:next w:val="594"/>
    <w:link w:val="596"/>
    <w:qFormat/>
    <w:uiPriority w:val="0"/>
    <w:pPr>
      <w:numPr>
        <w:ilvl w:val="0"/>
        <w:numId w:val="43"/>
      </w:numPr>
      <w:ind w:firstLine="0" w:firstLineChars="0"/>
      <w:outlineLvl w:val="0"/>
    </w:pPr>
    <w:rPr>
      <w:rFonts w:ascii="Songti SC" w:hAnsi="Songti SC" w:eastAsia="Songti SC"/>
      <w:b/>
      <w:sz w:val="28"/>
      <w:szCs w:val="28"/>
    </w:rPr>
  </w:style>
  <w:style w:type="paragraph" w:customStyle="1" w:styleId="594">
    <w:name w:val="YL2"/>
    <w:basedOn w:val="86"/>
    <w:next w:val="595"/>
    <w:link w:val="597"/>
    <w:qFormat/>
    <w:uiPriority w:val="0"/>
    <w:pPr>
      <w:numPr>
        <w:ilvl w:val="0"/>
        <w:numId w:val="44"/>
      </w:numPr>
      <w:ind w:firstLine="0" w:firstLineChars="0"/>
      <w:outlineLvl w:val="1"/>
    </w:pPr>
    <w:rPr>
      <w:rFonts w:ascii="Songti SC" w:hAnsi="Songti SC" w:eastAsia="Songti SC"/>
      <w:b/>
      <w:sz w:val="28"/>
      <w:szCs w:val="28"/>
    </w:rPr>
  </w:style>
  <w:style w:type="paragraph" w:customStyle="1" w:styleId="595">
    <w:name w:val="YL3"/>
    <w:basedOn w:val="86"/>
    <w:link w:val="598"/>
    <w:qFormat/>
    <w:uiPriority w:val="0"/>
    <w:pPr>
      <w:numPr>
        <w:ilvl w:val="0"/>
        <w:numId w:val="45"/>
      </w:numPr>
      <w:ind w:firstLine="0" w:firstLineChars="0"/>
      <w:outlineLvl w:val="2"/>
    </w:pPr>
    <w:rPr>
      <w:rFonts w:ascii="Songti SC" w:hAnsi="Songti SC" w:eastAsia="Songti SC"/>
      <w:b/>
      <w:sz w:val="28"/>
      <w:szCs w:val="28"/>
    </w:rPr>
  </w:style>
  <w:style w:type="character" w:customStyle="1" w:styleId="596">
    <w:name w:val="YL1 Char"/>
    <w:basedOn w:val="101"/>
    <w:link w:val="593"/>
    <w:qFormat/>
    <w:uiPriority w:val="0"/>
    <w:rPr>
      <w:rFonts w:ascii="Songti SC" w:hAnsi="Songti SC" w:eastAsia="Songti SC" w:cs="宋体"/>
      <w:b/>
      <w:kern w:val="2"/>
      <w:sz w:val="28"/>
      <w:szCs w:val="28"/>
    </w:rPr>
  </w:style>
  <w:style w:type="character" w:customStyle="1" w:styleId="597">
    <w:name w:val="YL2 Char"/>
    <w:basedOn w:val="101"/>
    <w:link w:val="594"/>
    <w:qFormat/>
    <w:uiPriority w:val="0"/>
    <w:rPr>
      <w:rFonts w:ascii="Songti SC" w:hAnsi="Songti SC" w:eastAsia="Songti SC" w:cs="宋体"/>
      <w:b/>
      <w:kern w:val="2"/>
      <w:sz w:val="28"/>
      <w:szCs w:val="28"/>
    </w:rPr>
  </w:style>
  <w:style w:type="character" w:customStyle="1" w:styleId="598">
    <w:name w:val="YL3 Char"/>
    <w:basedOn w:val="101"/>
    <w:link w:val="595"/>
    <w:qFormat/>
    <w:uiPriority w:val="0"/>
    <w:rPr>
      <w:rFonts w:ascii="Songti SC" w:hAnsi="Songti SC" w:eastAsia="Songti SC" w:cs="宋体"/>
      <w:b/>
      <w:kern w:val="2"/>
      <w:sz w:val="28"/>
      <w:szCs w:val="28"/>
    </w:rPr>
  </w:style>
  <w:style w:type="paragraph" w:customStyle="1" w:styleId="599">
    <w:name w:val="正文内容"/>
    <w:basedOn w:val="1"/>
    <w:link w:val="600"/>
    <w:qFormat/>
    <w:uiPriority w:val="0"/>
    <w:pPr>
      <w:spacing w:beforeLines="50"/>
      <w:jc w:val="left"/>
    </w:pPr>
    <w:rPr>
      <w:rFonts w:ascii="Songti SC" w:hAnsi="Songti SC" w:eastAsia="Songti SC"/>
      <w:kern w:val="0"/>
      <w:szCs w:val="20"/>
      <w:lang w:val="zh-CN"/>
    </w:rPr>
  </w:style>
  <w:style w:type="character" w:customStyle="1" w:styleId="600">
    <w:name w:val="正文内容 Char"/>
    <w:link w:val="599"/>
    <w:qFormat/>
    <w:uiPriority w:val="0"/>
    <w:rPr>
      <w:rFonts w:ascii="Songti SC" w:hAnsi="Songti SC" w:eastAsia="Songti SC" w:cs="宋体"/>
      <w:kern w:val="0"/>
      <w:sz w:val="24"/>
      <w:szCs w:val="20"/>
      <w:lang w:val="zh-CN" w:eastAsia="zh-CN"/>
    </w:rPr>
  </w:style>
  <w:style w:type="character" w:customStyle="1" w:styleId="601">
    <w:name w:val="页眉 Char"/>
    <w:qFormat/>
    <w:uiPriority w:val="99"/>
    <w:rPr>
      <w:rFonts w:ascii="Songti SC" w:hAnsi="Songti SC" w:eastAsia="Songti SC"/>
      <w:kern w:val="2"/>
      <w:sz w:val="18"/>
      <w:szCs w:val="18"/>
    </w:rPr>
  </w:style>
  <w:style w:type="character" w:customStyle="1" w:styleId="602">
    <w:name w:val="表格 字符"/>
    <w:basedOn w:val="70"/>
    <w:link w:val="318"/>
    <w:qFormat/>
    <w:uiPriority w:val="0"/>
    <w:rPr>
      <w:rFonts w:ascii="Songti SC" w:hAnsi="Songti SC" w:eastAsia="Songti SC" w:cs="宋体"/>
      <w:bCs/>
      <w:color w:val="000000"/>
      <w:kern w:val="0"/>
      <w:sz w:val="24"/>
      <w:szCs w:val="21"/>
      <w:lang w:eastAsia="en-US" w:bidi="en-US"/>
    </w:rPr>
  </w:style>
  <w:style w:type="character" w:customStyle="1" w:styleId="603">
    <w:name w:val="正文1 Char"/>
    <w:link w:val="158"/>
    <w:qFormat/>
    <w:uiPriority w:val="0"/>
    <w:rPr>
      <w:rFonts w:ascii="Songti SC" w:hAnsi="Songti SC" w:eastAsia="Songti SC" w:cs="宋体"/>
      <w:kern w:val="0"/>
      <w:sz w:val="24"/>
      <w:szCs w:val="24"/>
      <w:lang w:eastAsia="en-US" w:bidi="en-US"/>
    </w:rPr>
  </w:style>
  <w:style w:type="paragraph" w:customStyle="1" w:styleId="604">
    <w:name w:val="!BECC正文"/>
    <w:basedOn w:val="1"/>
    <w:autoRedefine/>
    <w:qFormat/>
    <w:uiPriority w:val="0"/>
    <w:pPr>
      <w:tabs>
        <w:tab w:val="left" w:pos="0"/>
      </w:tabs>
      <w:spacing w:beforeLines="50" w:afterLines="50"/>
      <w:contextualSpacing/>
    </w:pPr>
    <w:rPr>
      <w:rFonts w:ascii="Songti SC" w:hAnsi="Songti SC" w:eastAsia="Songti SC"/>
    </w:rPr>
  </w:style>
  <w:style w:type="paragraph" w:customStyle="1" w:styleId="605">
    <w:name w:val="样式 Arial 小四 行距: 1.5 倍行距 首行缩进:  2 字符 Char Char"/>
    <w:basedOn w:val="1"/>
    <w:link w:val="606"/>
    <w:autoRedefine/>
    <w:qFormat/>
    <w:uiPriority w:val="0"/>
    <w:pPr>
      <w:ind w:firstLine="480"/>
    </w:pPr>
    <w:rPr>
      <w:rFonts w:ascii="Songti SC" w:hAnsi="Songti SC" w:eastAsia="Songti SC"/>
      <w:szCs w:val="20"/>
    </w:rPr>
  </w:style>
  <w:style w:type="character" w:customStyle="1" w:styleId="606">
    <w:name w:val="样式 Arial 小四 行距: 1.5 倍行距 首行缩进:  2 字符 Char Char Char"/>
    <w:basedOn w:val="70"/>
    <w:link w:val="605"/>
    <w:autoRedefine/>
    <w:qFormat/>
    <w:uiPriority w:val="0"/>
    <w:rPr>
      <w:rFonts w:ascii="Songti SC" w:hAnsi="Songti SC" w:eastAsia="Songti SC" w:cs="宋体"/>
      <w:sz w:val="24"/>
      <w:szCs w:val="20"/>
    </w:rPr>
  </w:style>
  <w:style w:type="character" w:customStyle="1" w:styleId="607">
    <w:name w:val="s5"/>
    <w:basedOn w:val="70"/>
    <w:autoRedefine/>
    <w:qFormat/>
    <w:uiPriority w:val="0"/>
    <w:rPr>
      <w:rFonts w:ascii="Songti SC" w:hAnsi="Songti SC" w:eastAsia="Songti SC"/>
      <w:color w:val="000000"/>
    </w:rPr>
  </w:style>
  <w:style w:type="paragraph" w:customStyle="1" w:styleId="608">
    <w:name w:val="p10"/>
    <w:basedOn w:val="1"/>
    <w:autoRedefine/>
    <w:qFormat/>
    <w:uiPriority w:val="0"/>
    <w:pPr>
      <w:spacing w:line="240" w:lineRule="auto"/>
      <w:ind w:firstLine="0" w:firstLineChars="0"/>
      <w:jc w:val="left"/>
    </w:pPr>
    <w:rPr>
      <w:rFonts w:hint="eastAsia" w:ascii="Songti SC" w:hAnsi="Songti SC" w:eastAsia="Songti SC"/>
      <w:kern w:val="0"/>
    </w:rPr>
  </w:style>
  <w:style w:type="paragraph" w:customStyle="1" w:styleId="609">
    <w:name w:val="p24"/>
    <w:basedOn w:val="1"/>
    <w:autoRedefine/>
    <w:qFormat/>
    <w:uiPriority w:val="0"/>
    <w:pPr>
      <w:spacing w:line="240" w:lineRule="auto"/>
      <w:ind w:firstLine="0" w:firstLineChars="0"/>
      <w:jc w:val="left"/>
    </w:pPr>
    <w:rPr>
      <w:rFonts w:hint="eastAsia" w:ascii="Songti SC" w:hAnsi="Songti SC" w:eastAsia="Songti SC"/>
      <w:color w:val="000000"/>
      <w:kern w:val="0"/>
    </w:rPr>
  </w:style>
  <w:style w:type="character" w:customStyle="1" w:styleId="610">
    <w:name w:val="s10"/>
    <w:basedOn w:val="70"/>
    <w:autoRedefine/>
    <w:qFormat/>
    <w:uiPriority w:val="0"/>
    <w:rPr>
      <w:rFonts w:hint="default" w:ascii="Songti SC" w:hAnsi="Songti SC" w:eastAsia="Songti SC" w:cs="宋体"/>
      <w:color w:val="000000"/>
      <w:sz w:val="32"/>
      <w:szCs w:val="32"/>
    </w:rPr>
  </w:style>
  <w:style w:type="character" w:customStyle="1" w:styleId="611">
    <w:name w:val="s11"/>
    <w:basedOn w:val="70"/>
    <w:autoRedefine/>
    <w:qFormat/>
    <w:uiPriority w:val="0"/>
    <w:rPr>
      <w:rFonts w:hint="eastAsia" w:ascii="Songti SC" w:hAnsi="Songti SC" w:eastAsia="Songti SC" w:cs="宋体"/>
      <w:color w:val="000000"/>
      <w:sz w:val="32"/>
      <w:szCs w:val="32"/>
    </w:rPr>
  </w:style>
  <w:style w:type="character" w:customStyle="1" w:styleId="612">
    <w:name w:val="s7"/>
    <w:basedOn w:val="70"/>
    <w:autoRedefine/>
    <w:qFormat/>
    <w:uiPriority w:val="0"/>
    <w:rPr>
      <w:rFonts w:hint="default" w:ascii="Songti SC" w:hAnsi="Songti SC" w:eastAsia="Songti SC" w:cs="宋体"/>
      <w:sz w:val="32"/>
      <w:szCs w:val="32"/>
    </w:rPr>
  </w:style>
  <w:style w:type="character" w:customStyle="1" w:styleId="613">
    <w:name w:val="未处理的提及1"/>
    <w:basedOn w:val="70"/>
    <w:semiHidden/>
    <w:unhideWhenUsed/>
    <w:qFormat/>
    <w:uiPriority w:val="99"/>
    <w:rPr>
      <w:rFonts w:ascii="Songti SC" w:hAnsi="Songti SC" w:eastAsia="Songti SC"/>
      <w:color w:val="000000"/>
      <w:shd w:val="clear" w:color="auto" w:fill="E1DFDD"/>
    </w:rPr>
  </w:style>
  <w:style w:type="paragraph" w:customStyle="1" w:styleId="614">
    <w:name w:val="修订2"/>
    <w:hidden/>
    <w:unhideWhenUsed/>
    <w:qFormat/>
    <w:uiPriority w:val="99"/>
    <w:rPr>
      <w:rFonts w:ascii="Songti SC" w:hAnsi="Songti SC" w:eastAsia="Songti SC" w:cs="宋体"/>
      <w:kern w:val="2"/>
      <w:sz w:val="24"/>
      <w:szCs w:val="24"/>
      <w:lang w:val="en-US" w:eastAsia="zh-CN" w:bidi="ar-SA"/>
    </w:rPr>
  </w:style>
  <w:style w:type="paragraph" w:customStyle="1" w:styleId="615">
    <w:name w:val="标注2"/>
    <w:basedOn w:val="1"/>
    <w:next w:val="1"/>
    <w:qFormat/>
    <w:uiPriority w:val="0"/>
    <w:pPr>
      <w:numPr>
        <w:ilvl w:val="0"/>
        <w:numId w:val="46"/>
      </w:numPr>
      <w:adjustRightInd w:val="0"/>
      <w:snapToGrid w:val="0"/>
      <w:spacing w:after="60"/>
      <w:ind w:right="100" w:rightChars="100" w:firstLine="0" w:firstLineChars="0"/>
    </w:pPr>
    <w:rPr>
      <w:rFonts w:ascii="Songti SC" w:hAnsi="Songti SC" w:eastAsia="Songti SC"/>
      <w:iCs/>
      <w:color w:val="000000"/>
      <w:szCs w:val="28"/>
    </w:rPr>
  </w:style>
  <w:style w:type="character" w:customStyle="1" w:styleId="616">
    <w:name w:val="未处理的提及2"/>
    <w:basedOn w:val="70"/>
    <w:semiHidden/>
    <w:unhideWhenUsed/>
    <w:qFormat/>
    <w:uiPriority w:val="99"/>
    <w:rPr>
      <w:rFonts w:ascii="Songti SC" w:hAnsi="Songti SC" w:eastAsia="Songti SC"/>
      <w:color w:val="000000"/>
      <w:shd w:val="clear" w:color="auto" w:fill="E1DFDD"/>
    </w:rPr>
  </w:style>
  <w:style w:type="paragraph" w:customStyle="1" w:styleId="617">
    <w:name w:val="正文首行缩进 21"/>
    <w:basedOn w:val="23"/>
    <w:qFormat/>
    <w:uiPriority w:val="0"/>
    <w:pPr>
      <w:adjustRightInd w:val="0"/>
      <w:spacing w:before="120" w:beforeLines="50" w:after="0"/>
      <w:ind w:left="0" w:leftChars="0" w:firstLine="560"/>
    </w:pPr>
    <w:rPr>
      <w:rFonts w:ascii="Songti SC" w:hAnsi="Songti SC" w:eastAsia="Songti SC"/>
      <w:iCs/>
      <w:color w:val="000000"/>
      <w:sz w:val="28"/>
      <w:szCs w:val="28"/>
    </w:rPr>
  </w:style>
  <w:style w:type="character" w:customStyle="1" w:styleId="618">
    <w:name w:val="font21"/>
    <w:basedOn w:val="70"/>
    <w:qFormat/>
    <w:uiPriority w:val="0"/>
    <w:rPr>
      <w:rFonts w:hint="default" w:ascii="Songti SC" w:hAnsi="Songti SC" w:eastAsia="Songti SC" w:cs="宋体"/>
      <w:color w:val="000000"/>
      <w:sz w:val="20"/>
      <w:szCs w:val="20"/>
      <w:u w:val="none"/>
    </w:rPr>
  </w:style>
  <w:style w:type="character" w:customStyle="1" w:styleId="619">
    <w:name w:val="未处理的提及3"/>
    <w:basedOn w:val="70"/>
    <w:semiHidden/>
    <w:unhideWhenUsed/>
    <w:qFormat/>
    <w:uiPriority w:val="99"/>
    <w:rPr>
      <w:rFonts w:ascii="Songti SC" w:hAnsi="Songti SC" w:eastAsia="Songti SC"/>
      <w:color w:val="000000"/>
      <w:shd w:val="clear" w:color="auto" w:fill="E1DFDD"/>
    </w:rPr>
  </w:style>
  <w:style w:type="paragraph" w:customStyle="1" w:styleId="620">
    <w:name w:val="修订3"/>
    <w:hidden/>
    <w:unhideWhenUsed/>
    <w:qFormat/>
    <w:uiPriority w:val="99"/>
    <w:rPr>
      <w:rFonts w:ascii="Songti SC" w:hAnsi="Songti SC" w:eastAsia="Songti SC" w:cs="宋体"/>
      <w:kern w:val="2"/>
      <w:sz w:val="24"/>
      <w:szCs w:val="24"/>
      <w:lang w:val="en-US" w:eastAsia="zh-CN" w:bidi="ar-SA"/>
    </w:rPr>
  </w:style>
  <w:style w:type="paragraph" w:customStyle="1" w:styleId="621">
    <w:name w:val="题注1"/>
    <w:next w:val="1"/>
    <w:uiPriority w:val="0"/>
    <w:pPr>
      <w:widowControl w:val="0"/>
      <w:adjustRightInd w:val="0"/>
      <w:spacing w:before="240" w:after="120" w:line="288" w:lineRule="auto"/>
      <w:jc w:val="center"/>
    </w:pPr>
    <w:rPr>
      <w:rFonts w:ascii="Songti SC" w:hAnsi="Songti SC" w:eastAsia="Songti SC" w:cs="宋体"/>
      <w:kern w:val="2"/>
      <w:sz w:val="24"/>
      <w:szCs w:val="22"/>
      <w:lang w:val="en-US" w:eastAsia="zh-CN" w:bidi="ar-SA"/>
    </w:rPr>
  </w:style>
  <w:style w:type="paragraph" w:customStyle="1" w:styleId="622">
    <w:name w:val="Revision"/>
    <w:hidden/>
    <w:unhideWhenUsed/>
    <w:uiPriority w:val="99"/>
    <w:rPr>
      <w:rFonts w:ascii="Songti SC" w:hAnsi="Songti SC" w:eastAsia="Songti SC" w:cs="宋体"/>
      <w:kern w:val="2"/>
      <w:sz w:val="24"/>
      <w:szCs w:val="24"/>
      <w:lang w:val="en-US" w:eastAsia="zh-CN" w:bidi="ar-SA"/>
    </w:rPr>
  </w:style>
  <w:style w:type="character" w:customStyle="1" w:styleId="623">
    <w:name w:val="Unresolved Mention"/>
    <w:basedOn w:val="70"/>
    <w:semiHidden/>
    <w:unhideWhenUsed/>
    <w:qFormat/>
    <w:uiPriority w:val="99"/>
    <w:rPr>
      <w:rFonts w:ascii="Songti SC" w:hAnsi="Songti SC" w:eastAsia="Songti SC"/>
      <w:color w:val="605E5C"/>
      <w:shd w:val="clear" w:color="auto" w:fill="E1DFDD"/>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7" Type="http://schemas.openxmlformats.org/officeDocument/2006/relationships/fontTable" Target="fontTable.xml"/><Relationship Id="rId26" Type="http://schemas.openxmlformats.org/officeDocument/2006/relationships/customXml" Target="../customXml/item2.xml"/><Relationship Id="rId25" Type="http://schemas.openxmlformats.org/officeDocument/2006/relationships/customXml" Target="../customXml/item1.xml"/><Relationship Id="rId24" Type="http://schemas.openxmlformats.org/officeDocument/2006/relationships/numbering" Target="numbering.xml"/><Relationship Id="rId23" Type="http://schemas.openxmlformats.org/officeDocument/2006/relationships/image" Target="media/image9.png"/><Relationship Id="rId22" Type="http://schemas.openxmlformats.org/officeDocument/2006/relationships/image" Target="media/image8.png"/><Relationship Id="rId21" Type="http://schemas.openxmlformats.org/officeDocument/2006/relationships/image" Target="media/image7.png"/><Relationship Id="rId20" Type="http://schemas.openxmlformats.org/officeDocument/2006/relationships/image" Target="media/image6.png"/><Relationship Id="rId2" Type="http://schemas.openxmlformats.org/officeDocument/2006/relationships/settings" Target="settings.xml"/><Relationship Id="rId19" Type="http://schemas.openxmlformats.org/officeDocument/2006/relationships/image" Target="media/image5.png"/><Relationship Id="rId18" Type="http://schemas.openxmlformats.org/officeDocument/2006/relationships/image" Target="media/image4.png"/><Relationship Id="rId17" Type="http://schemas.openxmlformats.org/officeDocument/2006/relationships/image" Target="media/image3.png"/><Relationship Id="rId16" Type="http://schemas.openxmlformats.org/officeDocument/2006/relationships/image" Target="media/image2.png"/><Relationship Id="rId15" Type="http://schemas.openxmlformats.org/officeDocument/2006/relationships/theme" Target="theme/theme1.xml"/><Relationship Id="rId14" Type="http://schemas.openxmlformats.org/officeDocument/2006/relationships/footer" Target="footer6.xml"/><Relationship Id="rId13" Type="http://schemas.openxmlformats.org/officeDocument/2006/relationships/footer" Target="footer5.xml"/><Relationship Id="rId12" Type="http://schemas.openxmlformats.org/officeDocument/2006/relationships/footer" Target="footer4.xml"/><Relationship Id="rId11" Type="http://schemas.openxmlformats.org/officeDocument/2006/relationships/header" Target="header4.xml"/><Relationship Id="rId10" Type="http://schemas.openxmlformats.org/officeDocument/2006/relationships/footer" Target="footer3.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ntractReview xmlns="http://schemas.wps.cn/vas-ai-hub/contract-review">
  <reviewItems>
    <reviewItem>
      <errorID>7a9c2f54-92c3-4f32-a975-47b1715edc78</errorID>
      <errorWord>)</errorWord>
      <group>L1_Format</group>
      <groupName>格式问题</groupName>
      <ability>L2_HalfPunc</ability>
      <abilityName>全半角检查</abilityName>
      <candidateList>
        <item>）</item>
      </candidateList>
      <explain>文本全半角错误。</explain>
      <paraID>2A350A62</paraID>
      <start>4</start>
      <end>5</end>
      <status>unmodified</status>
      <modifiedWord/>
      <trackRevisions>false</trackRevisions>
    </reviewItem>
    <reviewItem>
      <errorID>ad4ec493-2796-42c3-9d2d-d4e6f9aaf57f</errorID>
      <errorWord>)</errorWord>
      <group>L1_Format</group>
      <groupName>格式问题</groupName>
      <ability>L2_HalfPunc</ability>
      <abilityName>全半角检查</abilityName>
      <candidateList>
        <item>）</item>
      </candidateList>
      <explain>文本全半角错误。</explain>
      <paraID>3FB62E7A</paraID>
      <start>4</start>
      <end>5</end>
      <status>unmodified</status>
      <modifiedWord/>
      <trackRevisions>false</trackRevisions>
    </reviewItem>
    <reviewItem>
      <errorID>79a1534e-145f-45d3-b7da-c666c1320353</errorID>
      <errorWord>联系人==</errorWord>
      <group>L1_Grammar</group>
      <groupName>语法问题</groupName>
      <ability>L2_Grammar</ability>
      <abilityName>语法错误</abilityName>
      <candidateList>
        <item>联系人</item>
      </candidateList>
      <explain/>
      <paraID>4B21C700</paraID>
      <start>13</start>
      <end>18</end>
      <status>unmodified</status>
      <modifiedWord/>
      <trackRevisions>false</trackRevisions>
    </reviewItem>
    <reviewItem>
      <errorID>b07ccb30-769b-443f-b31d-028b89da29c0</errorID>
      <errorWord>需要</errorWord>
      <group>L1_Word</group>
      <groupName>字词问题</groupName>
      <ability>L2_Typo</ability>
      <abilityName>字词错误</abilityName>
      <candidateList>
        <item>需</item>
      </candidateList>
      <explain/>
      <paraID>613DBDF7</paraID>
      <start>6</start>
      <end>8</end>
      <status>unmodified</status>
      <modifiedWord/>
      <trackRevisions>false</trackRevisions>
    </reviewItem>
    <reviewItem>
      <errorID>d4fc6473-c752-4fc2-bc84-62f6b4607076</errorID>
      <errorWord>)</errorWord>
      <group>L1_Format</group>
      <groupName>格式问题</groupName>
      <ability>L2_HalfPunc</ability>
      <abilityName>全半角检查</abilityName>
      <candidateList>
        <item>）</item>
      </candidateList>
      <explain>文本全半角错误。</explain>
      <paraID>600354C8</paraID>
      <start>43</start>
      <end>44</end>
      <status>unmodified</status>
      <modifiedWord/>
      <trackRevisions>false</trackRevisions>
    </reviewItem>
    <reviewItem>
      <errorID>d5355088-a53f-490d-82b8-b16a5f9f45ac</errorID>
      <errorWord>)</errorWord>
      <group>L1_Format</group>
      <groupName>格式问题</groupName>
      <ability>L2_HalfPunc</ability>
      <abilityName>全半角检查</abilityName>
      <candidateList>
        <item>）</item>
      </candidateList>
      <explain>文本全半角错误。</explain>
      <paraID>1532FB36</paraID>
      <start>5</start>
      <end>6</end>
      <status>unmodified</status>
      <modifiedWord/>
      <trackRevisions>false</trackRevisions>
    </reviewItem>
    <reviewItem>
      <errorID>0f01f7f1-93ba-4926-9e2f-90d13f6222f7</errorID>
      <errorWord>-</errorWord>
      <group>L1_Format</group>
      <groupName>格式问题</groupName>
      <ability>L2_HalfPunc</ability>
      <abilityName>全半角检查</abilityName>
      <candidateList>
        <item>－</item>
      </candidateList>
      <explain>文本全半角错误。</explain>
      <paraID>666F14E7</paraID>
      <start>20</start>
      <end>21</end>
      <status>unmodified</status>
      <modifiedWord/>
      <trackRevisions>false</trackRevisions>
    </reviewItem>
    <reviewItem>
      <errorID>7799c674-9b4c-497b-a580-e777c6d53ed5</errorID>
      <errorWord>)</errorWord>
      <group>L1_Format</group>
      <groupName>格式问题</groupName>
      <ability>L2_HalfPunc</ability>
      <abilityName>全半角检查</abilityName>
      <candidateList>
        <item>）</item>
      </candidateList>
      <explain>文本全半角错误。</explain>
      <paraID>666F14E7</paraID>
      <start>25</start>
      <end>26</end>
      <status>unmodified</status>
      <modifiedWord/>
      <trackRevisions>false</trackRevisions>
    </reviewItem>
    <reviewItem>
      <errorID>5087424e-321f-405e-85de-a98afb0a39c6</errorID>
      <errorWord>)</errorWord>
      <group>L1_Format</group>
      <groupName>格式问题</groupName>
      <ability>L2_HalfPunc</ability>
      <abilityName>全半角检查</abilityName>
      <candidateList>
        <item>）</item>
      </candidateList>
      <explain>文本全半角错误。</explain>
      <paraID>666F14E7</paraID>
      <start>51</start>
      <end>52</end>
      <status>unmodified</status>
      <modifiedWord/>
      <trackRevisions>false</trackRevisions>
    </reviewItem>
    <reviewItem>
      <errorID>032ec780-3417-406e-b372-f9bf9e31b1fd</errorID>
      <errorWord>SQLServer2014</errorWord>
      <group>L1_Grammar</group>
      <groupName>语法问题</groupName>
      <ability>L2_Grammar</ability>
      <abilityName>语法错误</abilityName>
      <candidateList>
        <item>SQL Server 2014</item>
      </candidateList>
      <explain/>
      <paraID>14CA0E11</paraID>
      <start>40</start>
      <end>55</end>
      <status>modified</status>
      <modifiedWord>SQL Server 2014</modifiedWord>
      <trackRevisions>false</trackRevisions>
    </reviewItem>
    <reviewItem>
      <errorID>fa9891fc-ba80-4d04-9f1d-56756794f69a</errorID>
      <errorWord>)</errorWord>
      <group>L1_Format</group>
      <groupName>格式问题</groupName>
      <ability>L2_HalfPunc</ability>
      <abilityName>全半角检查</abilityName>
      <candidateList>
        <item>）</item>
      </candidateList>
      <explain>文本全半角错误。</explain>
      <paraID>2432B746</paraID>
      <start>4</start>
      <end>5</end>
      <status>unmodified</status>
      <modifiedWord/>
      <trackRevisions>false</trackRevisions>
    </reviewItem>
    <reviewItem>
      <errorID>096e8db1-9169-4998-8f3f-f587bebcef40</errorID>
      <errorWord>)</errorWord>
      <group>L1_Format</group>
      <groupName>格式问题</groupName>
      <ability>L2_HalfPunc</ability>
      <abilityName>全半角检查</abilityName>
      <candidateList>
        <item>）</item>
      </candidateList>
      <explain>文本全半角错误。</explain>
      <paraID>48ADB63F</paraID>
      <start>11</start>
      <end>12</end>
      <status>unmodified</status>
      <modifiedWord/>
      <trackRevisions>false</trackRevisions>
    </reviewItem>
    <reviewItem>
      <errorID>e4e83e9b-e756-472b-9a71-5faaa8be1326</errorID>
      <errorWord>.</errorWord>
      <group>L1_Format</group>
      <groupName>格式问题</groupName>
      <ability>L2_HalfPunc</ability>
      <abilityName>全半角检查</abilityName>
      <candidateList>
        <item>。</item>
      </candidateList>
      <explain>文本全半角错误。</explain>
      <paraID>5A27E2F1</paraID>
      <start>9</start>
      <end>10</end>
      <status>unmodified</status>
      <modifiedWord/>
      <trackRevisions>false</trackRevisions>
    </reviewItem>
    <reviewItem>
      <errorID>2f2ad885-16e9-4cf5-a26c-2c762a6e8db9</errorID>
      <errorWord>)</errorWord>
      <group>L1_Format</group>
      <groupName>格式问题</groupName>
      <ability>L2_HalfPunc</ability>
      <abilityName>全半角检查</abilityName>
      <candidateList>
        <item>）</item>
      </candidateList>
      <explain>文本全半角错误。</explain>
      <paraID>19FC1807</paraID>
      <start>4</start>
      <end>5</end>
      <status>unmodified</status>
      <modifiedWord/>
      <trackRevisions>false</trackRevisions>
    </reviewItem>
    <reviewItem>
      <errorID>58ae935c-3dac-48ce-8f56-0539b7d4a42f</errorID>
      <errorWord>-</errorWord>
      <group>L1_Format</group>
      <groupName>格式问题</groupName>
      <ability>L2_HalfPunc</ability>
      <abilityName>全半角检查</abilityName>
      <candidateList>
        <item>－</item>
      </candidateList>
      <explain>文本全半角错误。</explain>
      <paraID>77328BDF</paraID>
      <start>17</start>
      <end>18</end>
      <status>unmodified</status>
      <modifiedWord/>
      <trackRevisions>false</trackRevisions>
    </reviewItem>
    <reviewItem>
      <errorID>742da93f-7d2e-4d38-bb59-92e39bb0637e</errorID>
      <errorWord>)</errorWord>
      <group>L1_Format</group>
      <groupName>格式问题</groupName>
      <ability>L2_HalfPunc</ability>
      <abilityName>全半角检查</abilityName>
      <candidateList>
        <item>）</item>
      </candidateList>
      <explain>文本全半角错误。</explain>
      <paraID>77328BDF</paraID>
      <start>22</start>
      <end>23</end>
      <status>unmodified</status>
      <modifiedWord/>
      <trackRevisions>false</trackRevisions>
    </reviewItem>
    <reviewItem>
      <errorID>256d92e9-a16c-4db4-bca7-6fd0ac0983de</errorID>
      <errorWord>)</errorWord>
      <group>L1_Format</group>
      <groupName>格式问题</groupName>
      <ability>L2_HalfPunc</ability>
      <abilityName>全半角检查</abilityName>
      <candidateList>
        <item>）</item>
      </candidateList>
      <explain>文本全半角错误。</explain>
      <paraID> BB8DB1D</paraID>
      <start>14</start>
      <end>15</end>
      <status>unmodified</status>
      <modifiedWord/>
      <trackRevisions>false</trackRevisions>
    </reviewItem>
    <reviewItem>
      <errorID>5fc6809f-cb69-426a-b459-7e385631bfe2</errorID>
      <errorWord>2026年01月31日</errorWord>
      <group>L1_Knowledge</group>
      <groupName>知识性问题</groupName>
      <ability>L2_Time</ability>
      <abilityName>日期时间</abilityName>
      <candidateList>
        <item>2026年1月31日</item>
      </candidateList>
      <explain>根据日常书写习惯，月份一般会省略前导零。</explain>
      <paraID>6E50C079</paraID>
      <start>26</start>
      <end>37</end>
      <status>unmodified</status>
      <modifiedWord/>
      <trackRevisions>false</trackRevisions>
    </reviewItem>
    <reviewItem>
      <errorID>244ddcb6-7480-4911-89ea-695f81783b35</errorID>
      <errorWord>53台</errorWord>
      <group>L1_Other</group>
      <groupName>其他问题</groupName>
      <ability>L2_Consistency</ability>
      <abilityName>一致性检查</abilityName>
      <candidateList>
        <item>55台</item>
      </candidateList>
      <explain>数字一致性：文档中关于人脸识别消费机数量前后不一致，经统计各办公区数量总和为55台，应统一表述为55台</explain>
      <paraID>7AC2346C</paraID>
      <start>126</start>
      <end>129</end>
      <status>unmodified</status>
      <modifiedWord/>
      <trackRevisions>false</trackRevisions>
    </reviewItem>
    <reviewItem>
      <errorID>1a169aa3-bf5f-47e1-a169-907ac59768aa</errorID>
      <errorWord>财政资金解决</errorWord>
      <group>L1_Grammar</group>
      <groupName>语法问题</groupName>
      <ability>L2_Grammar</ability>
      <abilityName>语法错误</abilityName>
      <candidateList>
        <item>财政资金</item>
      </candidateList>
      <explain/>
      <paraID>5D8D190B</paraID>
      <start>43</start>
      <end>49</end>
      <status>unmodified</status>
      <modifiedWord/>
      <trackRevisions>false</trackRevisions>
    </reviewItem>
    <reviewItem>
      <errorID>ba1cfe63-1067-4027-b162-711f7e2f9c9b</errorID>
      <errorWord>)</errorWord>
      <group>L1_Format</group>
      <groupName>格式问题</groupName>
      <ability>L2_HalfPunc</ability>
      <abilityName>全半角检查</abilityName>
      <candidateList>
        <item>）</item>
      </candidateList>
      <explain>文本全半角错误。</explain>
      <paraID>762E95BB</paraID>
      <start>4</start>
      <end>5</end>
      <status>unmodified</status>
      <modifiedWord/>
      <trackRevisions>false</trackRevisions>
    </reviewItem>
    <reviewItem>
      <errorID>da50e930-58a5-496f-b145-82db210f0faf</errorID>
      <errorWord>其它费</errorWord>
      <group>L1_Word</group>
      <groupName>字词问题</groupName>
      <ability>L2_Alias</ability>
      <abilityName>也作/曾用词</abilityName>
      <candidateList>
        <item>其他费</item>
      </candidateList>
      <explain>词汇[其它费]为不规范表述或旧称，其规范书面表述为[其他费]。</explain>
      <paraID>252C95F8</paraID>
      <start>4</start>
      <end>7</end>
      <status>unmodified</status>
      <modifiedWord/>
      <trackRevisions>false</trackRevisions>
    </reviewItem>
    <reviewItem>
      <errorID>6071d4fb-719c-42b3-95f7-0913d5174072</errorID>
      <errorWord>)</errorWord>
      <group>L1_Format</group>
      <groupName>格式问题</groupName>
      <ability>L2_HalfPunc</ability>
      <abilityName>全半角检查</abilityName>
      <candidateList>
        <item>）</item>
      </candidateList>
      <explain>文本全半角错误。</explain>
      <paraID>70F1E2DD</paraID>
      <start>2</start>
      <end>3</end>
      <status>unmodified</status>
      <modifiedWord/>
      <trackRevisions>false</trackRevisions>
    </reviewItem>
    <reviewItem>
      <errorID>f9d7c9ce-4a3d-4b6d-b453-82d45211ba42</errorID>
      <errorWord>)</errorWord>
      <group>L1_Format</group>
      <groupName>格式问题</groupName>
      <ability>L2_HalfPunc</ability>
      <abilityName>全半角检查</abilityName>
      <candidateList>
        <item>）</item>
      </candidateList>
      <explain>文本全半角错误。</explain>
      <paraID>70F1E2DD</paraID>
      <start>6</start>
      <end>7</end>
      <status>unmodified</status>
      <modifiedWord/>
      <trackRevisions>false</trackRevisions>
    </reviewItem>
    <reviewItem>
      <errorID>87508fac-33fb-4054-8331-c75c57f5ab21</errorID>
      <errorWord>)</errorWord>
      <group>L1_Format</group>
      <groupName>格式问题</groupName>
      <ability>L2_HalfPunc</ability>
      <abilityName>全半角检查</abilityName>
      <candidateList>
        <item>）</item>
      </candidateList>
      <explain>文本全半角错误。</explain>
      <paraID>70F1E2DD</paraID>
      <start>10</start>
      <end>11</end>
      <status>unmodified</status>
      <modifiedWord/>
      <trackRevisions>false</trackRevisions>
    </reviewItem>
    <reviewItem>
      <errorID>c6f4969e-8c59-4b92-8d02-c43666deebdc</errorID>
      <errorWord>于</errorWord>
      <group>L1_Word</group>
      <groupName>字词问题</groupName>
      <ability>L2_Typo</ability>
      <abilityName>字词错误</abilityName>
      <candidateList>
        <item>与</item>
      </candidateList>
      <explain/>
      <paraID>285FDE13</paraID>
      <start>13</start>
      <end>14</end>
      <status>modified</status>
      <modifiedWord>与</modifiedWord>
      <trackRevisions>false</trackRevisions>
    </reviewItem>
    <reviewItem>
      <errorID>6085fd40-2fa9-4068-aa87-02b9849b473f</errorID>
      <errorWord>网络安全</errorWord>
      <group>L1_Word</group>
      <groupName>字词问题</groupName>
      <ability>L2_Typo</ability>
      <abilityName>字词错误</abilityName>
      <candidateList>
        <item> 网络安全</item>
      </candidateList>
      <explain/>
      <paraID>23390330</paraID>
      <start>9</start>
      <end>13</end>
      <status>unmodified</status>
      <modifiedWord/>
      <trackRevisions>false</trackRevisions>
    </reviewItem>
    <reviewItem>
      <errorID>055179be-00de-4bd8-b506-a552ae40832e</errorID>
      <errorWord>GB/T25070-2019；</errorWord>
      <group>L1_Punc</group>
      <groupName>标点问题</groupName>
      <ability>L2_Punc</ability>
      <abilityName>标点符号检查</abilityName>
      <candidateList>
        <item>（GB/T25070-2019）</item>
      </candidateList>
      <explain/>
      <paraID>23390330</paraID>
      <start>26</start>
      <end>41</end>
      <status>unmodified</status>
      <modifiedWord/>
      <trackRevisions>false</trackRevisions>
    </reviewItem>
    <reviewItem>
      <errorID>e013f580-14ef-4264-862e-a998f21d0ece</errorID>
      <errorWord>开放系统</errorWord>
      <group>L1_Word</group>
      <groupName>字词问题</groupName>
      <ability>L2_Typo</ability>
      <abilityName>字词错误</abilityName>
      <candidateList>
        <item> 开放系统</item>
      </candidateList>
      <explain/>
      <paraID>2BC8DD79</paraID>
      <start>7</start>
      <end>11</end>
      <status>unmodified</status>
      <modifiedWord/>
      <trackRevisions>false</trackRevisions>
    </reviewItem>
    <reviewItem>
      <errorID>1c2ec8fc-5863-4745-9a4c-a64c7c95e73e</errorID>
      <errorWord>开放</errorWord>
      <group>L1_Word</group>
      <groupName>字词问题</groupName>
      <ability>L2_Typo</ability>
      <abilityName>字词错误</abilityName>
      <candidateList>
        <item> 开放</item>
      </candidateList>
      <explain/>
      <paraID>2BC8DD79</paraID>
      <start>13</start>
      <end>15</end>
      <status>unmodified</status>
      <modifiedWord/>
      <trackRevisions>false</trackRevisions>
    </reviewItem>
    <reviewItem>
      <errorID>6ea72b39-3f7a-466d-b58a-fbbf57f9207c</errorID>
      <errorWord>开放系统</errorWord>
      <group>L1_Word</group>
      <groupName>字词问题</groupName>
      <ability>L2_Typo</ability>
      <abilityName>字词错误</abilityName>
      <candidateList>
        <item> 开放系统</item>
      </candidateList>
      <explain/>
      <paraID>75310EEF</paraID>
      <start>7</start>
      <end>11</end>
      <status>unmodified</status>
      <modifiedWord/>
      <trackRevisions>false</trackRevisions>
    </reviewItem>
    <reviewItem>
      <errorID>955c2dfd-0310-4d1a-94ab-7cc8eff6e0a0</errorID>
      <errorWord>通用</errorWord>
      <group>L1_Word</group>
      <groupName>字词问题</groupName>
      <ability>L2_Typo</ability>
      <abilityName>字词错误</abilityName>
      <candidateList>
        <item> 通用</item>
      </candidateList>
      <explain/>
      <paraID>75310EEF</paraID>
      <start>13</start>
      <end>15</end>
      <status>unmodified</status>
      <modifiedWord/>
      <trackRevisions>false</trackRevisions>
    </reviewItem>
    <reviewItem>
      <errorID>728714ba-3f38-4525-a80a-f0c5a6650c5d</errorID>
      <errorWord>网络安全</errorWord>
      <group>L1_Word</group>
      <groupName>字词问题</groupName>
      <ability>L2_Typo</ability>
      <abilityName>字词错误</abilityName>
      <candidateList>
        <item> 网络安全</item>
      </candidateList>
      <explain/>
      <paraID>2003F46A</paraID>
      <start>9</start>
      <end>13</end>
      <status>unmodified</status>
      <modifiedWord/>
      <trackRevisions>false</trackRevisions>
    </reviewItem>
    <reviewItem>
      <errorID>04dd3332-3752-41a3-ac0b-83ee48231990</errorID>
      <errorWord>网络安全</errorWord>
      <group>L1_Word</group>
      <groupName>字词问题</groupName>
      <ability>L2_Typo</ability>
      <abilityName>字词错误</abilityName>
      <candidateList>
        <item> 网络安全</item>
      </candidateList>
      <explain/>
      <paraID> 20853A0</paraID>
      <start>9</start>
      <end>13</end>
      <status>unmodified</status>
      <modifiedWord/>
      <trackRevisions>false</trackRevisions>
    </reviewItem>
    <reviewItem>
      <errorID>ac03a20d-10ef-4893-a4ef-9f77162a6f24</errorID>
      <errorWord>网络安全</errorWord>
      <group>L1_Word</group>
      <groupName>字词问题</groupName>
      <ability>L2_Typo</ability>
      <abilityName>字词错误</abilityName>
      <candidateList>
        <item> 网络安全</item>
      </candidateList>
      <explain/>
      <paraID>1B4704D3</paraID>
      <start>10</start>
      <end>14</end>
      <status>unmodified</status>
      <modifiedWord/>
      <trackRevisions>false</trackRevisions>
    </reviewItem>
    <reviewItem>
      <errorID>03b07824-5252-4f91-81e9-f0aa5b6e221c</errorID>
      <errorWord>12</errorWord>
      <group>L1_Word</group>
      <groupName>字词问题</groupName>
      <ability>L2_Typo</ability>
      <abilityName>字词错误</abilityName>
      <candidateList>
        <item>11</item>
      </candidateList>
      <explain/>
      <paraID>42F9306F</paraID>
      <start>0</start>
      <end>2</end>
      <status>unmodified</status>
      <modifiedWord/>
      <trackRevisions>false</trackRevisions>
    </reviewItem>
    <reviewItem>
      <errorID>6544001d-9b76-41c0-8310-1597e1cbaa7a</errorID>
      <errorWord>网络安全</errorWord>
      <group>L1_Word</group>
      <groupName>字词问题</groupName>
      <ability>L2_Typo</ability>
      <abilityName>字词错误</abilityName>
      <candidateList>
        <item> 网络安全</item>
      </candidateList>
      <explain/>
      <paraID>42F9306F</paraID>
      <start>10</start>
      <end>14</end>
      <status>unmodified</status>
      <modifiedWord/>
      <trackRevisions>false</trackRevisions>
    </reviewItem>
    <reviewItem>
      <errorID>37ed9f44-b251-4c4c-8e23-8a2713290534</errorID>
      <errorWord>网络安全</errorWord>
      <group>L1_Word</group>
      <groupName>字词问题</groupName>
      <ability>L2_Typo</ability>
      <abilityName>字词错误</abilityName>
      <candidateList>
        <item> 网络安全</item>
      </candidateList>
      <explain/>
      <paraID> 4A6F0D5</paraID>
      <start>10</start>
      <end>14</end>
      <status>unmodified</status>
      <modifiedWord/>
      <trackRevisions>false</trackRevisions>
    </reviewItem>
    <reviewItem>
      <errorID>e7d965c8-158d-4048-a6b2-9c67b876ebc8</errorID>
      <errorWord>网络安全</errorWord>
      <group>L1_Word</group>
      <groupName>字词问题</groupName>
      <ability>L2_Typo</ability>
      <abilityName>字词错误</abilityName>
      <candidateList>
        <item> 网络安全</item>
      </candidateList>
      <explain/>
      <paraID>7AC5EBEB</paraID>
      <start>10</start>
      <end>14</end>
      <status>unmodified</status>
      <modifiedWord/>
      <trackRevisions>false</trackRevisions>
    </reviewItem>
    <reviewItem>
      <errorID>e9fdda84-6c9c-42ad-88bb-6c3ee0afb944</errorID>
      <errorWord>信息系统</errorWord>
      <group>L1_Word</group>
      <groupName>字词问题</groupName>
      <ability>L2_Typo</ability>
      <abilityName>字词错误</abilityName>
      <candidateList>
        <item> 信息系统</item>
      </candidateList>
      <explain/>
      <paraID>490BD26C</paraID>
      <start>10</start>
      <end>14</end>
      <status>unmodified</status>
      <modifiedWord/>
      <trackRevisions>false</trackRevisions>
    </reviewItem>
    <reviewItem>
      <errorID>463731d9-5921-4046-b005-cd91319739de</errorID>
      <errorWord>第</errorWord>
      <group>L1_Word</group>
      <groupName>字词问题</groupName>
      <ability>L2_Typo</ability>
      <abilityName>字词错误</abilityName>
      <candidateList>
        <item> 第</item>
      </candidateList>
      <explain/>
      <paraID>490BD26C</paraID>
      <start>24</start>
      <end>25</end>
      <status>unmodified</status>
      <modifiedWord/>
      <trackRevisions>false</trackRevisions>
    </reviewItem>
    <reviewItem>
      <errorID>0f8d72f1-e368-4b1e-b44d-853171c50be6</errorID>
      <errorWord>北京市大兴区机关</errorWord>
      <group>L1_Grammar</group>
      <groupName>语法问题</groupName>
      <ability>L2_Grammar</ability>
      <abilityName>语法错误</abilityName>
      <candidateList>
        <item>北京市</item>
      </candidateList>
      <explain/>
      <paraID>6D08613B</paraID>
      <start>20</start>
      <end>28</end>
      <status>unmodified</status>
      <modifiedWord/>
      <trackRevisions>false</trackRevisions>
    </reviewItem>
    <reviewItem>
      <errorID>ffc26449-2990-4b41-9b7c-2e504bb93156</errorID>
      <errorWord>办事</errorWord>
      <group>L1_Word</group>
      <groupName>字词问题</groupName>
      <ability>L2_Typo</ability>
      <abilityName>字词错误</abilityName>
      <candidateList>
        <item>办</item>
      </candidateList>
      <explain/>
      <paraID>6D08613B</paraID>
      <start>48</start>
      <end>49</end>
      <status>modified</status>
      <modifiedWord>办</modifiedWord>
      <trackRevisions>false</trackRevisions>
    </reviewItem>
    <reviewItem>
      <errorID>60076ba8-a120-41bc-8cf3-9c87b686a87f</errorID>
      <errorWord>、</errorWord>
      <group>L1_Punc</group>
      <groupName>标点问题</groupName>
      <ability>L2_Punc</ability>
      <abilityName>标点符号检查</abilityName>
      <candidateList>
        <item>. </item>
      </candidateList>
      <explain/>
      <paraID>7587002D</paraID>
      <start>1</start>
      <end>2</end>
      <status>unmodified</status>
      <modifiedWord/>
      <trackRevisions>false</trackRevisions>
    </reviewItem>
    <reviewItem>
      <errorID>099e9b8c-70e8-44eb-af61-0e81358c17b0</errorID>
      <errorWord>、</errorWord>
      <group>L1_Punc</group>
      <groupName>标点问题</groupName>
      <ability>L2_Punc</ability>
      <abilityName>标点符号检查</abilityName>
      <candidateList>
        <item>. </item>
      </candidateList>
      <explain/>
      <paraID>571EC657</paraID>
      <start>1</start>
      <end>2</end>
      <status>unmodified</status>
      <modifiedWord/>
      <trackRevisions>false</trackRevisions>
    </reviewItem>
    <reviewItem>
      <errorID>d7d42e21-895a-459d-be10-c1264b150ba6</errorID>
      <errorWord>、</errorWord>
      <group>L1_Punc</group>
      <groupName>标点问题</groupName>
      <ability>L2_Punc</ability>
      <abilityName>标点符号检查</abilityName>
      <candidateList>
        <item>. </item>
      </candidateList>
      <explain/>
      <paraID>52ABEB85</paraID>
      <start>1</start>
      <end>2</end>
      <status>unmodified</status>
      <modifiedWord/>
      <trackRevisions>false</trackRevisions>
    </reviewItem>
    <reviewItem>
      <errorID>15029572-0080-43ae-a911-e9ec3f293c48</errorID>
      <errorWord>、</errorWord>
      <group>L1_Punc</group>
      <groupName>标点问题</groupName>
      <ability>L2_Punc</ability>
      <abilityName>标点符号检查</abilityName>
      <candidateList>
        <item>. </item>
      </candidateList>
      <explain/>
      <paraID>28772715</paraID>
      <start>1</start>
      <end>2</end>
      <status>unmodified</status>
      <modifiedWord/>
      <trackRevisions>false</trackRevisions>
    </reviewItem>
    <reviewItem>
      <errorID>97818766-9bed-44b5-8be6-0899afe8de5e</errorID>
      <errorWord>、</errorWord>
      <group>L1_Punc</group>
      <groupName>标点问题</groupName>
      <ability>L2_Punc</ability>
      <abilityName>标点符号检查</abilityName>
      <candidateList>
        <item>. </item>
      </candidateList>
      <explain/>
      <paraID>7E231B54</paraID>
      <start>1</start>
      <end>2</end>
      <status>unmodified</status>
      <modifiedWord/>
      <trackRevisions>false</trackRevisions>
    </reviewItem>
    <reviewItem>
      <errorID>67aa11f6-234f-4143-92d6-02af0ce3ce5f</errorID>
      <errorWord>、</errorWord>
      <group>L1_Punc</group>
      <groupName>标点问题</groupName>
      <ability>L2_Punc</ability>
      <abilityName>标点符号检查</abilityName>
      <candidateList>
        <item>. </item>
      </candidateList>
      <explain/>
      <paraID>23DC6964</paraID>
      <start>1</start>
      <end>2</end>
      <status>unmodified</status>
      <modifiedWord/>
      <trackRevisions>false</trackRevisions>
    </reviewItem>
    <reviewItem>
      <errorID>e4d3caba-cf70-4d60-88d9-fcf955ca4867</errorID>
      <errorWord>、</errorWord>
      <group>L1_Punc</group>
      <groupName>标点问题</groupName>
      <ability>L2_Punc</ability>
      <abilityName>标点符号检查</abilityName>
      <candidateList>
        <item>. </item>
      </candidateList>
      <explain/>
      <paraID>59C3EF2D</paraID>
      <start>1</start>
      <end>2</end>
      <status>unmodified</status>
      <modifiedWord/>
      <trackRevisions>false</trackRevisions>
    </reviewItem>
    <reviewItem>
      <errorID>85af8f68-b952-4d24-bf75-0fece7b09356</errorID>
      <errorWord>、</errorWord>
      <group>L1_Punc</group>
      <groupName>标点问题</groupName>
      <ability>L2_Punc</ability>
      <abilityName>标点符号检查</abilityName>
      <candidateList>
        <item>. </item>
      </candidateList>
      <explain/>
      <paraID>4CBB86FC</paraID>
      <start>1</start>
      <end>2</end>
      <status>unmodified</status>
      <modifiedWord/>
      <trackRevisions>false</trackRevisions>
    </reviewItem>
    <reviewItem>
      <errorID>6f9b76b4-4fcb-484d-bcbb-58f0b0d73910</errorID>
      <errorWord>、</errorWord>
      <group>L1_Punc</group>
      <groupName>标点问题</groupName>
      <ability>L2_Punc</ability>
      <abilityName>标点符号检查</abilityName>
      <candidateList>
        <item>. </item>
      </candidateList>
      <explain/>
      <paraID> A1C224C</paraID>
      <start>1</start>
      <end>2</end>
      <status>unmodified</status>
      <modifiedWord/>
      <trackRevisions>false</trackRevisions>
    </reviewItem>
    <reviewItem>
      <errorID>15dbfc63-691d-4694-b55c-d29a71da422f</errorID>
      <errorWord>、</errorWord>
      <group>L1_Punc</group>
      <groupName>标点问题</groupName>
      <ability>L2_Punc</ability>
      <abilityName>标点符号检查</abilityName>
      <candidateList>
        <item>. </item>
      </candidateList>
      <explain/>
      <paraID>4A350410</paraID>
      <start>1</start>
      <end>2</end>
      <status>unmodified</status>
      <modifiedWord/>
      <trackRevisions>false</trackRevisions>
    </reviewItem>
    <reviewItem>
      <errorID>b562655c-1232-408a-a09f-73009e5a7130</errorID>
      <errorWord>、</errorWord>
      <group>L1_Punc</group>
      <groupName>标点问题</groupName>
      <ability>L2_Punc</ability>
      <abilityName>标点符号检查</abilityName>
      <candidateList>
        <item>. </item>
      </candidateList>
      <explain/>
      <paraID>15676D4F</paraID>
      <start>1</start>
      <end>2</end>
      <status>unmodified</status>
      <modifiedWord/>
      <trackRevisions>false</trackRevisions>
    </reviewItem>
    <reviewItem>
      <errorID>c21764b8-7e66-477f-9ff9-ec5c34c837b8</errorID>
      <errorWord>、</errorWord>
      <group>L1_Punc</group>
      <groupName>标点问题</groupName>
      <ability>L2_Punc</ability>
      <abilityName>标点符号检查</abilityName>
      <candidateList>
        <item>. </item>
      </candidateList>
      <explain/>
      <paraID>17911FB5</paraID>
      <start>1</start>
      <end>2</end>
      <status>unmodified</status>
      <modifiedWord/>
      <trackRevisions>false</trackRevisions>
    </reviewItem>
    <reviewItem>
      <errorID>ee224d58-2125-4f98-8de2-ee07e74b9ef9</errorID>
      <errorWord>、</errorWord>
      <group>L1_Punc</group>
      <groupName>标点问题</groupName>
      <ability>L2_Punc</ability>
      <abilityName>标点符号检查</abilityName>
      <candidateList>
        <item>. </item>
      </candidateList>
      <explain/>
      <paraID>299C511F</paraID>
      <start>1</start>
      <end>2</end>
      <status>unmodified</status>
      <modifiedWord/>
      <trackRevisions>false</trackRevisions>
    </reviewItem>
    <reviewItem>
      <errorID>0166bae1-3572-4df1-9e40-6e0112bb4ae2</errorID>
      <errorWord>、</errorWord>
      <group>L1_Punc</group>
      <groupName>标点问题</groupName>
      <ability>L2_Punc</ability>
      <abilityName>标点符号检查</abilityName>
      <candidateList>
        <item>. </item>
      </candidateList>
      <explain/>
      <paraID> A3C053A</paraID>
      <start>1</start>
      <end>2</end>
      <status>unmodified</status>
      <modifiedWord/>
      <trackRevisions>false</trackRevisions>
    </reviewItem>
    <reviewItem>
      <errorID>8e5f351c-8818-417a-b57f-6f4b1966ab84</errorID>
      <errorWord>、</errorWord>
      <group>L1_Punc</group>
      <groupName>标点问题</groupName>
      <ability>L2_Punc</ability>
      <abilityName>标点符号检查</abilityName>
      <candidateList>
        <item>. </item>
      </candidateList>
      <explain/>
      <paraID>32BE0B77</paraID>
      <start>1</start>
      <end>2</end>
      <status>unmodified</status>
      <modifiedWord/>
      <trackRevisions>false</trackRevisions>
    </reviewItem>
    <reviewItem>
      <errorID>915ab937-3872-473b-9e96-574be6e50d66</errorID>
      <errorWord>、</errorWord>
      <group>L1_Punc</group>
      <groupName>标点问题</groupName>
      <ability>L2_Punc</ability>
      <abilityName>标点符号检查</abilityName>
      <candidateList>
        <item>. </item>
      </candidateList>
      <explain/>
      <paraID>5951AA94</paraID>
      <start>1</start>
      <end>2</end>
      <status>unmodified</status>
      <modifiedWord/>
      <trackRevisions>false</trackRevisions>
    </reviewItem>
    <reviewItem>
      <errorID>893e3dbe-1b4e-46e2-9a15-212fd156565a</errorID>
      <errorWord>、</errorWord>
      <group>L1_Punc</group>
      <groupName>标点问题</groupName>
      <ability>L2_Punc</ability>
      <abilityName>标点符号检查</abilityName>
      <candidateList>
        <item>. </item>
      </candidateList>
      <explain/>
      <paraID>6C79861D</paraID>
      <start>1</start>
      <end>2</end>
      <status>unmodified</status>
      <modifiedWord/>
      <trackRevisions>false</trackRevisions>
    </reviewItem>
    <reviewItem>
      <errorID>bf0ce3f7-f446-4c8a-8e39-dd987f451462</errorID>
      <errorWord>、</errorWord>
      <group>L1_Punc</group>
      <groupName>标点问题</groupName>
      <ability>L2_Punc</ability>
      <abilityName>标点符号检查</abilityName>
      <candidateList>
        <item>. </item>
      </candidateList>
      <explain/>
      <paraID>60AA94BC</paraID>
      <start>1</start>
      <end>2</end>
      <status>unmodified</status>
      <modifiedWord/>
      <trackRevisions>false</trackRevisions>
    </reviewItem>
    <reviewItem>
      <errorID>68022f5a-4ec5-42b1-beff-8b965f2f6e8f</errorID>
      <errorWord>、</errorWord>
      <group>L1_Punc</group>
      <groupName>标点问题</groupName>
      <ability>L2_Punc</ability>
      <abilityName>标点符号检查</abilityName>
      <candidateList>
        <item>. </item>
      </candidateList>
      <explain/>
      <paraID>51A7CB88</paraID>
      <start>2</start>
      <end>3</end>
      <status>unmodified</status>
      <modifiedWord/>
      <trackRevisions>false</trackRevisions>
    </reviewItem>
    <reviewItem>
      <errorID>99dbd730-f1cb-4616-b113-f14e8154647b</errorID>
      <errorWord>、</errorWord>
      <group>L1_Punc</group>
      <groupName>标点问题</groupName>
      <ability>L2_Punc</ability>
      <abilityName>标点符号检查</abilityName>
      <candidateList>
        <item>. </item>
      </candidateList>
      <explain/>
      <paraID>593A2107</paraID>
      <start>2</start>
      <end>3</end>
      <status>unmodified</status>
      <modifiedWord/>
      <trackRevisions>false</trackRevisions>
    </reviewItem>
    <reviewItem>
      <errorID>944e76a8-db35-4a7c-868d-c60a6f04a7a7</errorID>
      <errorWord>立项</errorWord>
      <group>L1_Word</group>
      <groupName>字词问题</groupName>
      <ability>L2_Typo</ability>
      <abilityName>字词错误</abilityName>
      <candidateList>
        <item> 立项</item>
      </candidateList>
      <explain/>
      <paraID>492A374B</paraID>
      <start>0</start>
      <end>2</end>
      <status>unmodified</status>
      <modifiedWord/>
      <trackRevisions>false</trackRevisions>
    </reviewItem>
    <reviewItem>
      <errorID>61fd0e02-1538-4b58-af38-9f4234d23fa7</errorID>
      <errorWord>对</errorWord>
      <group>L1_Word</group>
      <groupName>字词问题</groupName>
      <ability>L2_Typo</ability>
      <abilityName>字词错误</abilityName>
      <candidateList>
        <item> 对</item>
      </candidateList>
      <explain/>
      <paraID>29CB3772</paraID>
      <start>0</start>
      <end>1</end>
      <status>unmodified</status>
      <modifiedWord/>
      <trackRevisions>false</trackRevisions>
    </reviewItem>
    <reviewItem>
      <errorID>d0672cae-2054-4fce-a4f0-a6d37a5825ab</errorID>
      <errorWord>国资委</errorWord>
      <group>L1_Punc</group>
      <groupName>标点问题</groupName>
      <ability>L2_Punc</ability>
      <abilityName>标点符号检查</abilityName>
      <candidateList>
        <item>，国资委</item>
      </candidateList>
      <explain/>
      <paraID> 12CE9E8</paraID>
      <start>8</start>
      <end>11</end>
      <status>unmodified</status>
      <modifiedWord/>
      <trackRevisions>false</trackRevisions>
    </reviewItem>
    <reviewItem>
      <errorID>86da8406-aa0b-4772-a66a-9e0d97e415b8</errorID>
      <errorWord>，</errorWord>
      <group>L1_Punc</group>
      <groupName>标点问题</groupName>
      <ability>L2_Punc</ability>
      <abilityName>标点符号检查</abilityName>
      <candidateList>
        <item>。</item>
      </candidateList>
      <explain/>
      <paraID> 12CE9E8</paraID>
      <start>65</start>
      <end>66</end>
      <status>unmodified</status>
      <modifiedWord/>
      <trackRevisions>false</trackRevisions>
    </reviewItem>
    <reviewItem>
      <errorID>55cd1fae-e1df-43e9-82fa-9bd02bb3db55</errorID>
      <errorWord>主要是</errorWord>
      <group>L1_Word</group>
      <groupName>字词问题</groupName>
      <ability>L2_Typo</ability>
      <abilityName>字词错误</abilityName>
      <candidateList>
        <item>主要</item>
      </candidateList>
      <explain/>
      <paraID>3CBBF900</paraID>
      <start>20</start>
      <end>22</end>
      <status>modified</status>
      <modifiedWord>主要</modifiedWord>
      <trackRevisions>false</trackRevisions>
    </reviewItem>
    <reviewItem>
      <errorID>aabdf918-d0ef-40b6-b565-7dff60dc601f</errorID>
      <errorWord>提供</errorWord>
      <group>L1_Punc</group>
      <groupName>标点问题</groupName>
      <ability>L2_Punc</ability>
      <abilityName>标点符号检查</abilityName>
      <candidateList>
        <item>，提供</item>
      </candidateList>
      <explain/>
      <paraID>3CBBF900</paraID>
      <start>35</start>
      <end>38</end>
      <status>modified</status>
      <modifiedWord>，提供</modifiedWord>
      <trackRevisions>false</trackRevisions>
    </reviewItem>
    <reviewItem>
      <errorID>15a86119-8b9b-489e-8c1d-85fda96e134c</errorID>
      <errorWord>、</errorWord>
      <group>L1_Word</group>
      <groupName>字词问题</groupName>
      <ability>L2_Typo</ability>
      <abilityName>字词错误</abilityName>
      <candidateList>
        <item>和</item>
      </candidateList>
      <explain/>
      <paraID>3CBBF900</paraID>
      <start>49</start>
      <end>50</end>
      <status>modified</status>
      <modifiedWord>和</modifiedWord>
      <trackRevisions>false</trackRevisions>
    </reviewItem>
    <reviewItem>
      <errorID>9d4cc0be-ad19-4918-ba4e-dc75b353c928</errorID>
      <errorWord>，</errorWord>
      <group>L1_Punc</group>
      <groupName>标点问题</groupName>
      <ability>L2_Punc</ability>
      <abilityName>标点符号检查</abilityName>
      <candidateList>
        <item>、</item>
      </candidateList>
      <explain/>
      <paraID>3CBBF900</paraID>
      <start>76</start>
      <end>77</end>
      <status>modified</status>
      <modifiedWord>、</modifiedWord>
      <trackRevisions>false</trackRevisions>
    </reviewItem>
    <reviewItem>
      <errorID>ae9875ad-d961-4bd0-b1b5-05ce7253390b</errorID>
      <errorWord>大兴区机关事务管理中心</errorWord>
      <group>L1_Other</group>
      <groupName>其他问题</groupName>
      <ability>L2_Consistency</ability>
      <abilityName>一致性检查</abilityName>
      <candidateList>
        <item>北京市大兴区机关事务管理服务中心</item>
      </candidateList>
      <explain>实体一致性：文档中对项目建设单位的表述不一致，应统一使用全称‘北京市大兴区机关事务管理服务中心’</explain>
      <paraID>26C4CDA9</paraID>
      <start>0</start>
      <end>11</end>
      <status>unmodified</status>
      <modifiedWord/>
      <trackRevisions>false</trackRevisions>
    </reviewItem>
    <reviewItem>
      <errorID>1e74daf3-b4ee-49af-844d-533b0b01d00e</errorID>
      <errorWord>可维护性</errorWord>
      <group>L1_Punc</group>
      <groupName>标点问题</groupName>
      <ability>L2_Punc</ability>
      <abilityName>标点符号检查</abilityName>
      <candidateList>
        <item>可维护性。</item>
      </candidateList>
      <explain/>
      <paraID>1F1EBBA1</paraID>
      <start>115</start>
      <end>120</end>
      <status>modified</status>
      <modifiedWord>可维护性。</modifiedWord>
      <trackRevisions>false</trackRevisions>
    </reviewItem>
    <reviewItem>
      <errorID>acdf4fc1-ab84-4b83-9ee1-073aa38fdaed</errorID>
      <errorWord>、</errorWord>
      <group>L1_Punc</group>
      <groupName>标点问题</groupName>
      <ability>L2_Punc</ability>
      <abilityName>标点符号检查</abilityName>
      <candidateList>
        <item>. </item>
      </candidateList>
      <explain/>
      <paraID> EA465DA</paraID>
      <start>1</start>
      <end>2</end>
      <status>unmodified</status>
      <modifiedWord/>
      <trackRevisions>false</trackRevisions>
    </reviewItem>
    <reviewItem>
      <errorID>fc1a3de2-ccca-4576-8945-639afe193102</errorID>
      <errorWord>Windowsserver2012</errorWord>
      <group>L1_Grammar</group>
      <groupName>语法问题</groupName>
      <ability>L2_Grammar</ability>
      <abilityName>语法错误</abilityName>
      <candidateList>
        <item>Windows Server 2012</item>
      </candidateList>
      <explain/>
      <paraID>40271AF9</paraID>
      <start>0</start>
      <end>19</end>
      <status>modified</status>
      <modifiedWord>Windows Server 2012</modifiedWord>
      <trackRevisions>false</trackRevisions>
    </reviewItem>
    <reviewItem>
      <errorID>1715f5d3-5492-40b9-82b6-7fafb863c8f6</errorID>
      <errorWord>系统</errorWord>
      <group>L1_Grammar</group>
      <groupName>语法问题</groupName>
      <ability>L2_Grammar</ability>
      <abilityName>语法错误</abilityName>
      <candidateList>
        <item>应用系统</item>
      </candidateList>
      <explain/>
      <paraID>638CF5E2</paraID>
      <start>23</start>
      <end>25</end>
      <status>unmodified</status>
      <modifiedWord/>
      <trackRevisions>false</trackRevisions>
    </reviewItem>
    <reviewItem>
      <errorID>0b378078-e5c6-4917-af07-e937def8556e</errorID>
      <errorWord>BS</errorWord>
      <group>L1_Word</group>
      <groupName>字词问题</groupName>
      <ability>L2_Typo</ability>
      <abilityName>字词错误</abilityName>
      <candidateList>
        <item>为BS</item>
      </candidateList>
      <explain/>
      <paraID>638CF5E2</paraID>
      <start>30</start>
      <end>33</end>
      <status>modified</status>
      <modifiedWord>为BS</modifiedWord>
      <trackRevisions>false</trackRevisions>
    </reviewItem>
    <reviewItem>
      <errorID>811724f5-074f-471e-9679-265409b65add</errorID>
      <errorWord>net6</errorWord>
      <group>L1_Word</group>
      <groupName>字词问题</groupName>
      <ability>L2_Typo</ability>
      <abilityName>字词错误</abilityName>
      <candidateList>
        <item>NET 6</item>
      </candidateList>
      <explain/>
      <paraID>638CF5E2</paraID>
      <start>50</start>
      <end>55</end>
      <status>modified</status>
      <modifiedWord>NET 6</modifiedWord>
      <trackRevisions>false</trackRevisions>
    </reviewItem>
    <reviewItem>
      <errorID>4ed067da-4c4c-4692-a951-da42e8a3054c</errorID>
      <errorWord>。</errorWord>
      <group>L1_Punc</group>
      <groupName>标点问题</groupName>
      <ability>L2_Punc</ability>
      <abilityName>标点符号检查</abilityName>
      <candidateList>
        <item>，</item>
      </candidateList>
      <explain/>
      <paraID>638CF5E2</paraID>
      <start>57</start>
      <end>58</end>
      <status>modified</status>
      <modifiedWord>，</modifiedWord>
      <trackRevisions>false</trackRevisions>
    </reviewItem>
    <reviewItem>
      <errorID>a853656f-5206-4e4a-aa94-ed8fb929e16a</errorID>
      <errorWord>net6</errorWord>
      <group>L1_Word</group>
      <groupName>字词问题</groupName>
      <ability>L2_Typo</ability>
      <abilityName>字词错误</abilityName>
      <candidateList>
        <item>NET 6</item>
      </candidateList>
      <explain/>
      <paraID>638CF5E2</paraID>
      <start>64</start>
      <end>69</end>
      <status>modified</status>
      <modifiedWord>NET 6</modifiedWord>
      <trackRevisions>false</trackRevisions>
    </reviewItem>
    <reviewItem>
      <errorID>ce39e38f-5de1-4017-ae09-f975465086f1</errorID>
      <errorWord>完成交互</errorWord>
      <group>L1_Grammar</group>
      <groupName>语法问题</groupName>
      <ability>L2_Grammar</ability>
      <abilityName>语法错误</abilityName>
      <candidateList>
        <item>完成</item>
      </candidateList>
      <explain/>
      <paraID>5FDC662A</paraID>
      <start>65</start>
      <end>69</end>
      <status>unmodified</status>
      <modifiedWord/>
      <trackRevisions>false</trackRevisions>
    </reviewItem>
    <reviewItem>
      <errorID>10d31de8-d116-4cf8-a50c-650584a11c8a</errorID>
      <errorWord>操作系统</errorWord>
      <group>L1_Word</group>
      <groupName>字词问题</groupName>
      <ability>L2_Typo</ability>
      <abilityName>字词错误</abilityName>
      <candidateList>
        <item>的操作系统</item>
      </candidateList>
      <explain/>
      <paraID>498E7D91</paraID>
      <start>20</start>
      <end>24</end>
      <status>unmodified</status>
      <modifiedWord/>
      <trackRevisions>false</trackRevisions>
    </reviewItem>
    <reviewItem>
      <errorID>543f3977-fdac-447a-be78-d17b345e2e8a</errorID>
      <errorWord>SQLServer2014</errorWord>
      <group>L1_Grammar</group>
      <groupName>语法问题</groupName>
      <ability>L2_Grammar</ability>
      <abilityName>语法错误</abilityName>
      <candidateList>
        <item>SQL Server 2014</item>
      </candidateList>
      <explain/>
      <paraID>498E7D91</paraID>
      <start>129</start>
      <end>144</end>
      <status>modified</status>
      <modifiedWord>SQL Server 2014</modifiedWord>
      <trackRevisions>false</trackRevisions>
    </reviewItem>
    <reviewItem>
      <errorID>0d46dbe1-7fc6-4b71-b325-ef2475abc9fb</errorID>
      <errorWord>；</errorWord>
      <group>L1_Punc</group>
      <groupName>标点问题</groupName>
      <ability>L2_Punc</ability>
      <abilityName>标点符号检查</abilityName>
      <candidateList>
        <item>、</item>
      </candidateList>
      <explain/>
      <paraID>498E7D91</paraID>
      <start>166</start>
      <end>167</end>
      <status>unmodified</status>
      <modifiedWord/>
      <trackRevisions>false</trackRevisions>
    </reviewItem>
    <reviewItem>
      <errorID>ec486ef5-9962-4621-814f-8bcdc9897e9a</errorID>
      <errorWord>体验需求分析</errorWord>
      <group>L1_Grammar</group>
      <groupName>语法问题</groupName>
      <ability>L2_Grammar</ability>
      <abilityName>语法错误</abilityName>
      <candidateList>
        <item>体验</item>
      </candidateList>
      <explain/>
      <paraID>7C067027</paraID>
      <start>178</start>
      <end>184</end>
      <status>unmodified</status>
      <modifiedWord/>
      <trackRevisions>false</trackRevisions>
    </reviewItem>
    <reviewItem>
      <errorID>59731509-2a95-47db-b980-f0b61e1fd10e</errorID>
      <errorWord>能力</errorWord>
      <group>L1_Word</group>
      <groupName>字词问题</groupName>
      <ability>L2_Typo</ability>
      <abilityName>字词错误</abilityName>
      <candidateList>
        <item>需求</item>
      </candidateList>
      <explain/>
      <paraID>5A4B60C0</paraID>
      <start>41</start>
      <end>43</end>
      <status>unmodified</status>
      <modifiedWord/>
      <trackRevisions>false</trackRevisions>
    </reviewItem>
    <reviewItem>
      <errorID>36e991c6-2770-4a69-9ea6-d34b1e5c1cf4</errorID>
      <errorWord>帐户</errorWord>
      <group>L1_Word</group>
      <groupName>字词问题</groupName>
      <ability>L2_Typo</ability>
      <abilityName>字词错误</abilityName>
      <candidateList>
        <item>账户</item>
      </candidateList>
      <explain/>
      <paraID>5C7D16CD</paraID>
      <start>27</start>
      <end>29</end>
      <status>modified</status>
      <modifiedWord>账户</modifiedWord>
      <trackRevisions>false</trackRevisions>
    </reviewItem>
    <reviewItem>
      <errorID>d59033e0-f180-4ba7-b3f9-355f185bd083</errorID>
      <errorWord>压力测试</errorWord>
      <group>L1_Word</group>
      <groupName>字词问题</groupName>
      <ability>L2_Typo</ability>
      <abilityName>字词错误</abilityName>
      <candidateList>
        <item>稳定运行</item>
      </candidateList>
      <explain/>
      <paraID>118465CF</paraID>
      <start>89</start>
      <end>93</end>
      <status>unmodified</status>
      <modifiedWord/>
      <trackRevisions>false</trackRevisions>
    </reviewItem>
    <reviewItem>
      <errorID>cb832ff5-521e-4904-8660-18323f12f2de</errorID>
      <errorWord>是在</errorWord>
      <group>L1_Word</group>
      <groupName>字词问题</groupName>
      <ability>L2_Typo</ability>
      <abilityName>字词错误</abilityName>
      <candidateList>
        <item>是</item>
      </candidateList>
      <explain/>
      <paraID> 98FF920</paraID>
      <start>17</start>
      <end>19</end>
      <status>unmodified</status>
      <modifiedWord/>
      <trackRevisions>false</trackRevisions>
    </reviewItem>
    <reviewItem>
      <errorID>1e0b7b55-6ed1-4039-a1fb-43d035116c62</errorID>
      <errorWord>和</errorWord>
      <group>L1_Grammar</group>
      <groupName>语法问题</groupName>
      <ability>L2_Grammar</ability>
      <abilityName>语法错误</abilityName>
      <candidateList>
        <item>，以及</item>
      </candidateList>
      <explain/>
      <paraID> 98FF920</paraID>
      <start>46</start>
      <end>49</end>
      <status>modified</status>
      <modifiedWord>，以及</modifiedWord>
      <trackRevisions>false</trackRevisions>
    </reviewItem>
    <reviewItem>
      <errorID>611e3fda-57f6-49c5-ba0d-855d76c7c55c</errorID>
      <errorWord>16个各集中办公区</errorWord>
      <group>L1_Other</group>
      <groupName>其他问题</groupName>
      <ability>L2_Consistency</ability>
      <abilityName>一致性检查</abilityName>
      <candidateList>
        <item>16个集中办公区</item>
      </candidateList>
      <explain>术语一致性：文档中表述存在冗余，应统一使用‘16个集中办公区’表述</explain>
      <paraID> 98FF920</paraID>
      <start>49</start>
      <end>57</end>
      <status>modified</status>
      <modifiedWord>16个集中办公区</modifiedWord>
      <trackRevisions>false</trackRevisions>
    </reviewItem>
    <reviewItem>
      <errorID>62b773be-f984-4034-b6f4-824020ce5374</errorID>
      <errorWord>系统管理</errorWord>
      <group>L1_Word</group>
      <groupName>字词问题</groupName>
      <ability>L2_Typo</ability>
      <abilityName>字词错误</abilityName>
      <candidateList>
        <item>的系统管理</item>
      </candidateList>
      <explain/>
      <paraID> 98FF920</paraID>
      <start>57</start>
      <end>62</end>
      <status>modified</status>
      <modifiedWord>的系统管理</modifiedWord>
      <trackRevisions>false</trackRevisions>
    </reviewItem>
    <reviewItem>
      <errorID>2cdde068-5afb-47f3-85fb-09f2ae481ebe</errorID>
      <errorWord>以及</errorWord>
      <group>L1_Word</group>
      <groupName>字词问题</groupName>
      <ability>L2_Typo</ability>
      <abilityName>字词错误</abilityName>
      <candidateList>
        <item>和</item>
      </candidateList>
      <explain/>
      <paraID> 98FF920</paraID>
      <start>64</start>
      <end>65</end>
      <status>modified</status>
      <modifiedWord>和</modifiedWord>
      <trackRevisions>false</trackRevisions>
    </reviewItem>
    <reviewItem>
      <errorID>e4ed5770-2b16-4bf5-b387-87ee23a40657</errorID>
      <errorWord>4</errorWord>
      <group>L1_Word</group>
      <groupName>字词问题</groupName>
      <ability>L2_Typo</ability>
      <abilityName>字词错误</abilityName>
      <candidateList>
        <item>共4</item>
      </candidateList>
      <explain/>
      <paraID> 98FF920</paraID>
      <start>73</start>
      <end>74</end>
      <status>unmodified</status>
      <modifiedWord/>
      <trackRevisions>false</trackRevisions>
    </reviewItem>
    <reviewItem>
      <errorID>da86abf7-e379-4d2b-aba8-7d1dd7c7b8dc</errorID>
      <errorWord>16个集中成办公区</errorWord>
      <group>L1_Other</group>
      <groupName>其他问题</groupName>
      <ability>L2_Consistency</ability>
      <abilityName>一致性检查</abilityName>
      <candidateList>
        <item>16个集中办公区</item>
      </candidateList>
      <explain>术语一致性：文档中表述存在错误，应统一使用‘16个集中办公区’表述</explain>
      <paraID>79D36DE4</paraID>
      <start>4</start>
      <end>12</end>
      <status>modified</status>
      <modifiedWord>16个集中办公区</modifiedWord>
      <trackRevisions>false</trackRevisions>
    </reviewItem>
    <reviewItem>
      <errorID>af6cb13e-a998-46ba-abda-fa25e4bc9689</errorID>
      <errorWord>对</errorWord>
      <group>L1_Punc</group>
      <groupName>标点问题</groupName>
      <ability>L2_Punc</ability>
      <abilityName>标点符号检查</abilityName>
      <candidateList>
        <item>，对</item>
      </candidateList>
      <explain/>
      <paraID> 7D6A1EA</paraID>
      <start>21</start>
      <end>23</end>
      <status>modified</status>
      <modifiedWord>，对</modifiedWord>
      <trackRevisions>false</trackRevisions>
    </reviewItem>
    <reviewItem>
      <errorID>aa196e2a-3f38-462f-a609-f9f021692328</errorID>
      <errorWord>的</errorWord>
      <group>L1_Word</group>
      <groupName>字词问题</groupName>
      <ability>L2_Typo</ability>
      <abilityName>字词错误</abilityName>
      <candidateList>
        <item>进行</item>
      </candidateList>
      <explain/>
      <paraID> 7D6A1EA</paraID>
      <start>50</start>
      <end>52</end>
      <status>modified</status>
      <modifiedWord>进行</modifiedWord>
      <trackRevisions>false</trackRevisions>
    </reviewItem>
    <reviewItem>
      <errorID>4bd1234e-2c3b-4af7-b0c1-f54ef9cad52d</errorID>
      <errorWord>秘钥</errorWord>
      <group>L1_Word</group>
      <groupName>字词问题</groupName>
      <ability>L2_Typo</ability>
      <abilityName>字词错误</abilityName>
      <candidateList>
        <item>密钥</item>
      </candidateList>
      <explain/>
      <paraID>1D46E9B1</paraID>
      <start>13</start>
      <end>15</end>
      <status>modified</status>
      <modifiedWord>密钥</modifiedWord>
      <trackRevisions>false</trackRevisions>
    </reviewItem>
    <reviewItem>
      <errorID>7af408ba-5d4c-4a36-9d94-260aa542793d</errorID>
      <errorWord>，</errorWord>
      <group>L1_Grammar</group>
      <groupName>语法问题</groupName>
      <ability>L2_Grammar</ability>
      <abilityName>语法错误</abilityName>
      <candidateList>
        <item>进行充值，</item>
      </candidateList>
      <explain/>
      <paraID>3B5E30C6</paraID>
      <start>43</start>
      <end>44</end>
      <status>unmodified</status>
      <modifiedWord/>
      <trackRevisions>false</trackRevisions>
    </reviewItem>
    <reviewItem>
      <errorID>9fa33060-8f7a-42d3-b59d-1631d8f5f974</errorID>
      <errorWord>消费功能</errorWord>
      <group>L1_Grammar</group>
      <groupName>语法问题</groupName>
      <ability>L2_Grammar</ability>
      <abilityName>语法错误</abilityName>
      <candidateList>
        <item>消费</item>
      </candidateList>
      <explain/>
      <paraID>67EFD728</paraID>
      <start>36</start>
      <end>40</end>
      <status>unmodified</status>
      <modifiedWord/>
      <trackRevisions>false</trackRevisions>
    </reviewItem>
    <reviewItem>
      <errorID>63be5aef-47c6-4c24-8765-747aa995ec4b</errorID>
      <errorWord>，</errorWord>
      <group>L1_Punc</group>
      <groupName>标点问题</groupName>
      <ability>L2_Punc</ability>
      <abilityName>标点符号检查</abilityName>
      <candidateList>
        <item>、</item>
      </candidateList>
      <explain/>
      <paraID>3355A84B</paraID>
      <start>58</start>
      <end>59</end>
      <status>unmodified</status>
      <modifiedWord/>
      <trackRevisions>false</trackRevisions>
    </reviewItem>
    <reviewItem>
      <errorID>a2ccc1ad-bced-444a-98c5-4444e96a3679</errorID>
      <errorWord>适配</errorWord>
      <group>L1_Grammar</group>
      <groupName>语法问题</groupName>
      <ability>L2_Grammar</ability>
      <abilityName>语法错误</abilityName>
      <candidateList>
        <item>进行适配</item>
      </candidateList>
      <explain/>
      <paraID>3355A84B</paraID>
      <start>68</start>
      <end>72</end>
      <status>modified</status>
      <modifiedWord>进行适配</modifiedWord>
      <trackRevisions>false</trackRevisions>
    </reviewItem>
    <reviewItem>
      <errorID>fabcb96a-e21b-4d6f-8a89-8676ccc760c9</errorID>
      <errorWord>包含</errorWord>
      <group>L1_Word</group>
      <groupName>字词问题</groupName>
      <ability>L2_Typo</ability>
      <abilityName>字词错误</abilityName>
      <candidateList>
        <item>包括</item>
      </candidateList>
      <explain/>
      <paraID>317FB33B</paraID>
      <start>36</start>
      <end>38</end>
      <status>modified</status>
      <modifiedWord>包括</modifiedWord>
      <trackRevisions>false</trackRevisions>
    </reviewItem>
    <reviewItem>
      <errorID>1abcf2d9-0895-449a-afe5-9f20e629cf58</errorID>
      <errorWord>等功能</errorWord>
      <group>L1_Grammar</group>
      <groupName>语法问题</groupName>
      <ability>L2_Grammar</ability>
      <abilityName>语法错误</abilityName>
      <candidateList>
        <item>等</item>
      </candidateList>
      <explain/>
      <paraID>317FB33B</paraID>
      <start>81</start>
      <end>82</end>
      <status>modified</status>
      <modifiedWord>等</modifiedWord>
      <trackRevisions>false</trackRevisions>
    </reviewItem>
    <reviewItem>
      <errorID>2b87e854-47b4-4f24-aa20-9c34ca68055d</errorID>
      <errorWord>，</errorWord>
      <group>L1_Punc</group>
      <groupName>标点问题</groupName>
      <ability>L2_Punc</ability>
      <abilityName>标点符号检查</abilityName>
      <candidateList>
        <item>、</item>
      </candidateList>
      <explain/>
      <paraID>3D707E21</paraID>
      <start>35</start>
      <end>36</end>
      <status>unmodified</status>
      <modifiedWord/>
      <trackRevisions>false</trackRevisions>
    </reviewItem>
    <reviewItem>
      <errorID>f99e66f9-d3b4-4907-8d5f-01134c61314f</errorID>
      <errorWord>因</errorWord>
      <group>L1_Word</group>
      <groupName>字词问题</groupName>
      <ability>L2_Typo</ability>
      <abilityName>字词错误</abilityName>
      <candidateList>
        <item>由于</item>
      </candidateList>
      <explain/>
      <paraID>5B9969C4</paraID>
      <start>0</start>
      <end>2</end>
      <status>modified</status>
      <modifiedWord>由于</modifiedWord>
      <trackRevisions>false</trackRevisions>
    </reviewItem>
    <reviewItem>
      <errorID>47508a74-4dd8-43e9-8ce6-8cfdc968592f</errorID>
      <errorWord>故</errorWord>
      <group>L1_Word</group>
      <groupName>字词问题</groupName>
      <ability>L2_Typo</ability>
      <abilityName>字词错误</abilityName>
      <candidateList>
        <item>因此</item>
      </candidateList>
      <explain/>
      <paraID>5B9969C4</paraID>
      <start>69</start>
      <end>71</end>
      <status>modified</status>
      <modifiedWord>因此</modifiedWord>
      <trackRevisions>false</trackRevisions>
    </reviewItem>
    <reviewItem>
      <errorID>3399d1b7-8da7-4a2a-ada1-13c86967e6ba</errorID>
      <errorWord>进行重新</errorWord>
      <group>L1_Grammar</group>
      <groupName>语法问题</groupName>
      <ability>L2_Grammar</ability>
      <abilityName>语法错误</abilityName>
      <candidateList>
        <item>进行</item>
      </candidateList>
      <explain/>
      <paraID>5B9969C4</paraID>
      <start>72</start>
      <end>74</end>
      <status>modified</status>
      <modifiedWord>进行</modifiedWord>
      <trackRevisions>false</trackRevisions>
    </reviewItem>
    <reviewItem>
      <errorID>931efa07-1387-4b85-8e8e-1ce06a1fc13e</errorID>
      <errorWord>功能适配</errorWord>
      <group>L1_Grammar</group>
      <groupName>语法问题</groupName>
      <ability>L2_Grammar</ability>
      <abilityName>语法错误</abilityName>
      <candidateList>
        <item>功能</item>
      </candidateList>
      <explain/>
      <paraID>34BC40DB</paraID>
      <start>13</start>
      <end>15</end>
      <status>modified</status>
      <modifiedWord>功能</modifiedWord>
      <trackRevisions>false</trackRevisions>
    </reviewItem>
    <reviewItem>
      <errorID>e3f067d5-af7e-4cd8-a328-6add5c5a1005</errorID>
      <errorWord>安全</errorWord>
      <group>L1_Word</group>
      <groupName>字词问题</groupName>
      <ability>L2_Typo</ability>
      <abilityName>字词错误</abilityName>
      <candidateList>
        <item> 安全</item>
      </candidateList>
      <explain/>
      <paraID>39A4475F</paraID>
      <start>0</start>
      <end>2</end>
      <status>unmodified</status>
      <modifiedWord/>
      <trackRevisions>false</trackRevisions>
    </reviewItem>
    <reviewItem>
      <errorID>fc5007a5-14a7-4ed9-a797-b95289274c23</errorID>
      <errorWord>攻击</errorWord>
      <group>L1_Word</group>
      <groupName>字词问题</groupName>
      <ability>L2_Typo</ability>
      <abilityName>字词错误</abilityName>
      <candidateList>
        <item>的攻击</item>
      </candidateList>
      <explain/>
      <paraID>190553B0</paraID>
      <start>30</start>
      <end>32</end>
      <status>unmodified</status>
      <modifiedWord/>
      <trackRevisions>false</trackRevisions>
    </reviewItem>
    <reviewItem>
      <errorID>a7ec5f47-0d50-4e85-b52b-44cef28f195c</errorID>
      <errorWord>实现</errorWord>
      <group>L1_Word</group>
      <groupName>字词问题</groupName>
      <ability>L2_Typo</ability>
      <abilityName>字词错误</abilityName>
      <candidateList>
        <item>满足</item>
      </candidateList>
      <explain/>
      <paraID>49D4554B</paraID>
      <start>40</start>
      <end>42</end>
      <status>unmodified</status>
      <modifiedWord/>
      <trackRevisions>false</trackRevisions>
    </reviewItem>
    <reviewItem>
      <errorID>5ab16ff6-80b9-4428-b9e3-b3598b38dd42</errorID>
      <errorWord>要求</errorWord>
      <group>L1_Word</group>
      <groupName>字词问题</groupName>
      <ability>L2_Typo</ability>
      <abilityName>字词错误</abilityName>
      <candidateList>
        <item>的要求</item>
      </candidateList>
      <explain/>
      <paraID>49D4554B</paraID>
      <start>47</start>
      <end>49</end>
      <status>unmodified</status>
      <modifiedWord/>
      <trackRevisions>false</trackRevisions>
    </reviewItem>
    <reviewItem>
      <errorID>bbbc65d1-16cb-4965-a149-d96e4cab4fd7</errorID>
      <errorWord>，</errorWord>
      <group>L1_Grammar</group>
      <groupName>语法问题</groupName>
      <ability>L2_Grammar</ability>
      <abilityName>语法错误</abilityName>
      <candidateList>
        <item>系统，</item>
      </candidateList>
      <explain/>
      <paraID>49D4554B</paraID>
      <start>59</start>
      <end>60</end>
      <status>unmodified</status>
      <modifiedWord/>
      <trackRevisions>false</trackRevisions>
    </reviewItem>
    <reviewItem>
      <errorID>0bdb47a3-58e5-4682-b5b2-9023a1356b00</errorID>
      <errorWord>系统管理</errorWord>
      <group>L1_Grammar</group>
      <groupName>语法问题</groupName>
      <ability>L2_Grammar</ability>
      <abilityName>语法错误</abilityName>
      <candidateList>
        <item>使用系统管理</item>
      </candidateList>
      <explain/>
      <paraID>5CAAA6DE</paraID>
      <start>39</start>
      <end>43</end>
      <status>unmodified</status>
      <modifiedWord/>
      <trackRevisions>false</trackRevisions>
    </reviewItem>
    <reviewItem>
      <errorID>b7e2b39c-2cb7-43d9-bdb2-1c0fe4032614</errorID>
      <errorWord>同时</errorWord>
      <group>L1_Word</group>
      <groupName>字词问题</groupName>
      <ability>L2_Typo</ability>
      <abilityName>字词错误</abilityName>
      <candidateList>
        <item>并</item>
      </candidateList>
      <explain/>
      <paraID>19D06B84</paraID>
      <start>44</start>
      <end>46</end>
      <status>unmodified</status>
      <modifiedWord/>
      <trackRevisions>false</trackRevisions>
    </reviewItem>
    <reviewItem>
      <errorID>92c88bae-8932-44a0-95a8-8b941011f745</errorID>
      <errorWord>基于</errorWord>
      <group>L1_Grammar</group>
      <groupName>语法问题</groupName>
      <ability>L2_Grammar</ability>
      <abilityName>语法错误</abilityName>
      <candidateList>
        <item>按照基于</item>
      </candidateList>
      <explain/>
      <paraID>6BB96AC3</paraID>
      <start>45</start>
      <end>47</end>
      <status>unmodified</status>
      <modifiedWord/>
      <trackRevisions>false</trackRevisions>
    </reviewItem>
    <reviewItem>
      <errorID>4c55e862-7f2a-4095-85a0-f396b0566004</errorID>
      <errorWord>数据库是</errorWord>
      <group>L1_Word</group>
      <groupName>字词问题</groupName>
      <ability>L2_Typo</ability>
      <abilityName>字词错误</abilityName>
      <candidateList>
        <item>数据库</item>
      </candidateList>
      <explain/>
      <paraID>4341A371</paraID>
      <start>33</start>
      <end>37</end>
      <status>unmodified</status>
      <modifiedWord/>
      <trackRevisions>false</trackRevisions>
    </reviewItem>
    <reviewItem>
      <errorID>e5f08cc6-6d17-45d8-a740-51130289a9f3</errorID>
      <errorWord>和</errorWord>
      <group>L1_Grammar</group>
      <groupName>语法问题</groupName>
      <ability>L2_Grammar</ability>
      <abilityName>语法错误</abilityName>
      <candidateList>
        <item>并进行</item>
      </candidateList>
      <explain/>
      <paraID>4341A371</paraID>
      <start>99</start>
      <end>100</end>
      <status>unmodified</status>
      <modifiedWord/>
      <trackRevisions>false</trackRevisions>
    </reviewItem>
    <reviewItem>
      <errorID>82d4a6a0-9064-4678-820f-c31c80dc231c</errorID>
      <errorWord>身份、非法地</errorWord>
      <group>L1_Grammar</group>
      <groupName>语法问题</groupName>
      <ability>L2_Grammar</ability>
      <abilityName>语法错误</abilityName>
      <candidateList>
        <item>身份</item>
      </candidateList>
      <explain/>
      <paraID>1FC0CAF2</paraID>
      <start>58</start>
      <end>64</end>
      <status>unmodified</status>
      <modifiedWord/>
      <trackRevisions>false</trackRevisions>
    </reviewItem>
    <reviewItem>
      <errorID>fc04e6df-afb8-47d1-86a0-1a9911aac2b9</errorID>
      <errorWord>等威胁</errorWord>
      <group>L1_Grammar</group>
      <groupName>语法问题</groupName>
      <ability>L2_Grammar</ability>
      <abilityName>语法错误</abilityName>
      <candidateList>
        <item>等</item>
      </candidateList>
      <explain/>
      <paraID>1FC0CAF2</paraID>
      <start>84</start>
      <end>87</end>
      <status>unmodified</status>
      <modifiedWord/>
      <trackRevisions>false</trackRevisions>
    </reviewItem>
    <reviewItem>
      <errorID>b041f75c-c6a9-4e5f-bbc2-528f01688ede</errorID>
      <errorWord>的密码设备</errorWord>
      <group>L1_Word</group>
      <groupName>字词问题</groupName>
      <ability>L2_Typo</ability>
      <abilityName>字词错误</abilityName>
      <candidateList>
        <item>密码设备的</item>
      </candidateList>
      <explain/>
      <paraID>198B4535</paraID>
      <start>17</start>
      <end>22</end>
      <status>unmodified</status>
      <modifiedWord/>
      <trackRevisions>false</trackRevisions>
    </reviewItem>
    <reviewItem>
      <errorID>de814a83-2f15-44be-b232-d6767bef4ad4</errorID>
      <errorWord>GBT39786-2021</errorWord>
      <group>L1_Punc</group>
      <groupName>标点问题</groupName>
      <ability>L2_Punc</ability>
      <abilityName>标点符号检查</abilityName>
      <candidateList>
        <item>（GB/T 39786-2021）</item>
      </candidateList>
      <explain/>
      <paraID>61D1047C</paraID>
      <start>22</start>
      <end>35</end>
      <status>unmodified</status>
      <modifiedWord/>
      <trackRevisions>false</trackRevisions>
    </reviewItem>
    <reviewItem>
      <errorID>a70ef44f-0eb9-4a58-bd8d-3d2ce651a9d3</errorID>
      <errorWord>一卡（脸）通</errorWord>
      <group>L1_Political</group>
      <groupName>政治性问题</groupName>
      <ability>L2_Keyword</ability>
      <abilityName>固定表述</abilityName>
      <candidateList>
        <item>一卡通</item>
      </candidateList>
      <explain>此处内容疑似含有固定表述相关错误，建议核查。</explain>
      <paraID>3D0021F8</paraID>
      <start>3</start>
      <end>9</end>
      <status>unmodified</status>
      <modifiedWord/>
      <trackRevisions>false</trackRevisions>
    </reviewItem>
  </reviewItems>
  <config/>
</contractReview>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F6B916-2106-4984-9755-D5BE645F6455}">
  <ds:schemaRefs/>
</ds:datastoreItem>
</file>

<file path=customXml/itemProps2.xml><?xml version="1.0" encoding="utf-8"?>
<ds:datastoreItem xmlns:ds="http://schemas.openxmlformats.org/officeDocument/2006/customXml" ds:itemID="{88083195-64C0-4D1A-AD8E-0669F70279B5}">
  <ds:schemaRefs/>
</ds:datastoreItem>
</file>

<file path=docProps/app.xml><?xml version="1.0" encoding="utf-8"?>
<Properties xmlns="http://schemas.openxmlformats.org/officeDocument/2006/extended-properties" xmlns:vt="http://schemas.openxmlformats.org/officeDocument/2006/docPropsVTypes">
  <Template>Normal</Template>
  <Company>Sky123.Org</Company>
  <Pages>181</Pages>
  <Words>93229</Words>
  <Characters>97847</Characters>
  <Lines>3817</Lines>
  <Paragraphs>4615</Paragraphs>
  <TotalTime>4</TotalTime>
  <ScaleCrop>false</ScaleCrop>
  <LinksUpToDate>false</LinksUpToDate>
  <CharactersWithSpaces>100217</CharactersWithSpaces>
  <Application>WPS Office_12.1.26046.26046_F1E327BC-269C-435d-A152-05C5408002CA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2025-06-19T16:06:00Z</dcterms:created>
  <dc:creator>hao ying</dc:creator>
  <cp:lastModifiedBy>jackial</cp:lastModifiedBy>
  <dcterms:modified xsi:type="dcterms:W3CDTF">2026-09-07T19:17:13Z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eyJoZGlkIjoiYzUxODViZGE2ODU5YjY4YmM2MmNiZjg0NDM4YjYxZDAiLCJ1c2VySWQiOiIyMTI5MjYwMzAifQ==</vt:lpwstr>
  </property>
  <property fmtid="{D5CDD505-2E9C-101B-9397-08002B2CF9AE}" pid="3" name="KSOProductBuildVer">
    <vt:lpwstr>2052-12.1.26046.26046</vt:lpwstr>
  </property>
  <property fmtid="{D5CDD505-2E9C-101B-9397-08002B2CF9AE}" pid="4" name="ICV">
    <vt:lpwstr>E8EE843AF917396644C3976AE37059DA_43</vt:lpwstr>
  </property>
</Properties>
</file>