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c>
          <w:tcPr>
            <w:tcW w:type="dxa" w:w="4025"/>
            <w:shd w:fill="194F3A"/>
            <w:tcMar>
              <w:top w:w="420" w:type="dxa"/>
              <w:start w:w="360" w:type="dxa"/>
              <w:bottom w:w="360" w:type="dxa"/>
              <w:end w:w="280" w:type="dxa"/>
            </w:tcMar>
          </w:tcPr>
          <w:p>
            <w:pPr>
              <w:spacing w:after="680"/>
            </w:pPr>
            <w:r>
              <w:rPr>
                <w:rFonts w:ascii="PingFang SC" w:hAnsi="PingFang SC" w:eastAsia="PingFang SC"/>
                <w:b/>
                <w:color w:val="CBDED2"/>
                <w:sz w:val="18"/>
              </w:rPr>
              <w:t>CPT · SMART NUTRITION</w:t>
            </w:r>
          </w:p>
          <w:p>
            <w:pPr>
              <w:spacing w:after="360"/>
            </w:pPr>
            <w:r>
              <w:rPr>
                <w:rFonts w:ascii="PingFang SC" w:hAnsi="PingFang SC" w:eastAsia="PingFang SC"/>
                <w:b/>
                <w:color w:val="FFFFFF"/>
                <w:sz w:val="58"/>
              </w:rPr>
              <w:t>智慧营养</w:t>
              <w:br/>
              <w:t>健康餐厅</w:t>
            </w:r>
          </w:p>
          <w:p>
            <w:pPr>
              <w:spacing w:after="880"/>
            </w:pPr>
            <w:r>
              <w:rPr>
                <w:rFonts w:ascii="PingFang SC" w:hAnsi="PingFang SC" w:eastAsia="PingFang SC"/>
                <w:b w:val="0"/>
                <w:color w:val="E8F0EB"/>
                <w:sz w:val="26"/>
              </w:rPr>
              <w:t>让每一餐看得懂、选得明白，并在持续反馈中变得更合适。</w:t>
            </w:r>
          </w:p>
          <w:p>
            <w:r>
              <w:rPr>
                <w:rFonts w:ascii="PingFang SC" w:hAnsi="PingFang SC" w:eastAsia="PingFang SC"/>
                <w:b w:val="0"/>
                <w:color w:val="C9D9CF"/>
                <w:sz w:val="18"/>
              </w:rPr>
              <w:t>V1.0 对外送审版</w:t>
              <w:br/>
              <w:t>2026-07-30</w:t>
            </w:r>
          </w:p>
        </w:tc>
        <w:tc>
          <w:tcPr>
            <w:tcW w:type="dxa" w:w="5726"/>
            <w:shd w:fill="194F3A"/>
            <w:tcMar>
              <w:top w:w="180" w:type="dxa"/>
              <w:start w:w="160" w:type="dxa"/>
              <w:bottom w:w="180" w:type="dxa"/>
              <w:end w:w="160" w:type="dxa"/>
            </w:tcMar>
          </w:tcPr>
          <w:p>
            <w:pPr>
              <w:jc w:val="center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3456000" cy="194503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rt-nutrition-canteen-hero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000" cy="19450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PingFang SC" w:hAnsi="PingFang SC" w:eastAsia="PingFang SC"/>
                <w:b w:val="0"/>
                <w:color w:val="D8E4DC"/>
                <w:sz w:val="17"/>
              </w:rPr>
              <w:t>机关与企业  ·  学校与园区  ·  团餐运营  ·  运动保障</w:t>
            </w:r>
          </w:p>
        </w:tc>
      </w:tr>
    </w:tbl>
    <w:p>
      <w:pPr>
        <w:jc w:val="center"/>
      </w:pPr>
      <w:r>
        <w:rPr>
          <w:rFonts w:ascii="PingFang SC" w:hAnsi="PingFang SC" w:eastAsia="PingFang SC"/>
          <w:b w:val="0"/>
          <w:color w:val="68736D"/>
          <w:sz w:val="17"/>
        </w:rPr>
        <w:t>本手册用于介绍产品定位、可组合能力与交付方法，不构成具体项目的功能、效果、价格或服务承诺。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01 · 一句话读懂产品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把一顿员工餐，连接到营养健康与持续运营</w:t>
      </w:r>
    </w:p>
    <w:p>
      <w:r>
        <w:rPr>
          <w:rFonts w:ascii="PingFang SC" w:hAnsi="PingFang SC" w:eastAsia="PingFang SC"/>
          <w:b w:val="0"/>
          <w:color w:val="18231D"/>
          <w:sz w:val="24"/>
        </w:rPr>
        <w:t>康比特智慧营养健康餐厅，面向机关、企业、学校、园区、运动队等集中供餐场景，用数字化连接安全供餐、营养选择与持续服务。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751"/>
            <w:shd w:fill="FFF0E5"/>
            <w:tcBorders>
              <w:top w:val="single" w:sz="8" w:color="F3D0B9"/>
              <w:left w:val="single" w:sz="8" w:color="F3D0B9"/>
              <w:bottom w:val="single" w:sz="8" w:color="F3D0B9"/>
              <w:right w:val="single" w:sz="8" w:color="F3D0B9"/>
            </w:tcBorders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653A20"/>
                <w:sz w:val="27"/>
              </w:rPr>
              <w:t>餐前有依据  ·  餐中有记录  ·  餐后有反馈  ·  管理有抓手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9"/>
        <w:gridCol w:w="3289"/>
        <w:gridCol w:w="3289"/>
      </w:tblGrid>
      <w:tr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不是健康栏目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把菜品营养、真实记录、选择提示和运营改进连成连续服务。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E8F0EB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不是单点设备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以餐厅为主场景，按项目连接终端、移动入口、管理平台和服务。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FF0E5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不靠结果口号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先建立基线，再用试点运行与双方验收判断项目价值。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02 · 为什么需要升级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支付数字化之后，营养与运营仍然彼此分散</w:t>
      </w:r>
    </w:p>
    <w:p>
      <w:r>
        <w:rPr>
          <w:rFonts w:ascii="PingFang SC" w:hAnsi="PingFang SC" w:eastAsia="PingFang SC"/>
          <w:b w:val="0"/>
          <w:color w:val="68736D"/>
          <w:sz w:val="24"/>
        </w:rPr>
        <w:t>真正的升级，不是增加一套孤立系统，而是让每次供餐都能沉淀信息，让每次反馈都能进入下一轮改进。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9"/>
        <w:gridCol w:w="3289"/>
        <w:gridCol w:w="3289"/>
      </w:tblGrid>
      <w:tr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就餐者看不懂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菜品信息分散，选择更多依赖经验，周期记录难以连续。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食堂难兼顾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口味、营养、成本和效率同时存在，缺少统一运营依据。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单位缺抓手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员工关怀难落到日常，服务质量与改进过程难持续评价。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751"/>
            <w:shd w:fill="FFF0E5"/>
            <w:tcBorders>
              <w:top w:val="single" w:sz="8" w:color="F3D0B9"/>
              <w:left w:val="single" w:sz="8" w:color="F3D0B9"/>
              <w:bottom w:val="single" w:sz="8" w:color="F3D0B9"/>
              <w:right w:val="single" w:sz="8" w:color="F3D0B9"/>
            </w:tcBorders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653A20"/>
                <w:sz w:val="27"/>
              </w:rPr>
              <w:t>问题不在于缺少更多信息，而在于信息、选择和服务没有连起来。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03 · 每餐服务闭环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从看见信息，到反馈改进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E8F0EB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餐前 · 看得懂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展示菜品、价格和营养信息，帮助就餐者形成判断。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餐中 · 记得清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按项目记录菜品、份量、金额和必要的用餐数据。</w:t>
            </w:r>
          </w:p>
        </w:tc>
      </w:tr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餐后 · 有反馈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查看记录与一般性提示，对菜品和服务提出反馈。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FF0E5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管理 · 能改进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用去标识化趋势和运营问题持续优化菜单与服务。</w:t>
            </w:r>
          </w:p>
        </w:tc>
      </w:tr>
    </w:tbl>
    <w:p>
      <w:pPr>
        <w:jc w:val="center"/>
      </w:pPr>
      <w:r>
        <w:rPr>
          <w:rFonts w:ascii="PingFang SC" w:hAnsi="PingFang SC" w:eastAsia="PingFang SC"/>
          <w:b/>
          <w:color w:val="194F3A"/>
          <w:sz w:val="24"/>
        </w:rPr>
        <w:t>了解需求 → 提供选择 → 完成用餐 → 记录反馈 → 评估使用 → 持续优化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04 · 员工体验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员工每天能感受到的四件事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c>
          <w:tcPr>
            <w:tcW w:type="dxa" w:w="3402"/>
            <w:tcMar>
              <w:top w:w="40" w:type="dxa"/>
              <w:start w:w="100" w:type="dxa"/>
              <w:bottom w:w="40" w:type="dxa"/>
              <w:end w:w="120" w:type="dxa"/>
            </w:tcMar>
          </w:tcPr>
          <w:p>
            <w:pPr>
              <w:jc w:val="center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2531250" cy="45000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utrition-kiosk-home-prototype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250" cy="45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0"/>
            <w:tcMar>
              <w:top w:w="40" w:type="dxa"/>
              <w:start w:w="180" w:type="dxa"/>
              <w:bottom w:w="40" w:type="dxa"/>
              <w:end w:w="100" w:type="dxa"/>
            </w:tcMar>
          </w:tcPr>
          <w:p>
            <w:pPr>
              <w:spacing w:after="180"/>
            </w:pPr>
            <w:r>
              <w:rPr>
                <w:rFonts w:ascii="PingFang SC" w:hAnsi="PingFang SC" w:eastAsia="PingFang SC"/>
                <w:b/>
                <w:color w:val="194F3A"/>
                <w:sz w:val="24"/>
              </w:rPr>
              <w:t>01  选餐更清楚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菜品与营养信息集中呈现，减少理解成本。</w:t>
            </w:r>
          </w:p>
          <w:p>
            <w:pPr>
              <w:spacing w:after="180"/>
            </w:pPr>
            <w:r>
              <w:rPr>
                <w:rFonts w:ascii="PingFang SC" w:hAnsi="PingFang SC" w:eastAsia="PingFang SC"/>
                <w:b/>
                <w:color w:val="194F3A"/>
                <w:sz w:val="24"/>
              </w:rPr>
              <w:t>02  选择更合适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在明确授权下，结合目标、偏好与必要记录提供一般性提示。</w:t>
            </w:r>
          </w:p>
          <w:p>
            <w:pPr>
              <w:spacing w:after="180"/>
            </w:pPr>
            <w:r>
              <w:rPr>
                <w:rFonts w:ascii="PingFang SC" w:hAnsi="PingFang SC" w:eastAsia="PingFang SC"/>
                <w:b/>
                <w:color w:val="194F3A"/>
                <w:sz w:val="24"/>
              </w:rPr>
              <w:t>03  记录更连续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从单餐到周期回顾，帮助理解自己的日常选择。</w:t>
            </w:r>
          </w:p>
          <w:p>
            <w:pPr>
              <w:spacing w:after="180"/>
            </w:pPr>
            <w:r>
              <w:rPr>
                <w:rFonts w:ascii="PingFang SC" w:hAnsi="PingFang SC" w:eastAsia="PingFang SC"/>
                <w:b/>
                <w:color w:val="194F3A"/>
                <w:sz w:val="24"/>
              </w:rPr>
              <w:t>04  反馈有回应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评价和建议进入餐厅的菜单与服务改进闭环。</w:t>
            </w:r>
          </w:p>
        </w:tc>
      </w:tr>
    </w:tbl>
    <w:p>
      <w:pPr>
        <w:jc w:val="center"/>
      </w:pPr>
      <w:r>
        <w:rPr>
          <w:rFonts w:ascii="PingFang SC" w:hAnsi="PingFang SC" w:eastAsia="PingFang SC"/>
          <w:b w:val="0"/>
          <w:color w:val="68736D"/>
          <w:sz w:val="17"/>
        </w:rPr>
        <w:t>图为产品原型。界面、字段和数据以实际项目配置及验收版本为准。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05 · 食堂运营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从“功能很多”，转向“业务真正衔接”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E8F0EB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供餐运营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组织、人员、账户、补贴、订餐、菜品、结算和报表按项目组合。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FF0E5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营养运营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连接菜品营养、菜单规则、用餐记录、群体分析、科普和主题活动。</w:t>
            </w:r>
          </w:p>
        </w:tc>
      </w:tr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食品安全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可组合晨检、留样、消毒、农残、明厨亮灶、预警与整改留痕。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供应链管理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可组合供应商、询价、采购、验收、出入库、库存、盘点与对账。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751"/>
            <w:shd w:fill="FFF0E5"/>
            <w:tcBorders>
              <w:top w:val="single" w:sz="8" w:color="F3D0B9"/>
              <w:left w:val="single" w:sz="8" w:color="F3D0B9"/>
              <w:bottom w:val="single" w:sz="8" w:color="F3D0B9"/>
              <w:right w:val="single" w:sz="8" w:color="F3D0B9"/>
            </w:tcBorders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653A20"/>
                <w:sz w:val="27"/>
              </w:rPr>
              <w:t>采购 → 生产 → 售卖 → 结算 → 营养服务 → 管理复盘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06 · 管理价值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管理者看到的，不只是交易报表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一个服务入口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连接员工用餐、营养服务与组织关怀。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一套运营视图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经营、营养、食品安全和设备按项目形成看板。</w:t>
            </w:r>
          </w:p>
        </w:tc>
      </w:tr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一组改进指标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跟踪覆盖率、使用率、满意度、响应率和调整完成率。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一条责任链路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问题有记录、处置有责任、改进有复核。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751"/>
            <w:shd w:fill="FFF0E5"/>
            <w:tcBorders>
              <w:top w:val="single" w:sz="8" w:color="F3D0B9"/>
              <w:left w:val="single" w:sz="8" w:color="F3D0B9"/>
              <w:bottom w:val="single" w:sz="8" w:color="F3D0B9"/>
              <w:right w:val="single" w:sz="8" w:color="F3D0B9"/>
            </w:tcBorders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653A20"/>
                <w:sz w:val="27"/>
              </w:rPr>
              <w:t>每个项目先建立基线，再用试点数据和验收口径判断实际效果。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07 · 四类应用场景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围绕同一主线，按场景组合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33"/>
        <w:gridCol w:w="4933"/>
      </w:tblGrid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E8F0EB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机关与企业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连接员工餐、补贴、结算、营养提示和后勤管理，提升日常服务体验。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学校与教育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围绕菜谱、营养信息、食品安全和就餐服务形成可查看、可记录的协同机制。</w:t>
            </w:r>
          </w:p>
        </w:tc>
      </w:tr>
      <w:tr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园区与团餐运营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支持多餐厅、多档口、多角色和经营数据归集，减少分散管理。</w:t>
            </w:r>
          </w:p>
        </w:tc>
        <w:tc>
          <w:tcPr>
            <w:tcW w:type="dxa" w:w="4876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FF0E5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运动与训练保障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在授权和专业人员参与下，提供日常膳食信息、用餐记录与营养服务支持。</w:t>
            </w:r>
          </w:p>
        </w:tc>
      </w:tr>
    </w:tbl>
    <w:p>
      <w:r>
        <w:rPr>
          <w:rFonts w:ascii="PingFang SC" w:hAnsi="PingFang SC" w:eastAsia="PingFang SC"/>
          <w:b w:val="0"/>
          <w:color w:val="68736D"/>
          <w:sz w:val="18"/>
        </w:rPr>
        <w:t>行业之间的组织、支付、设备、数据和服务边界不同，正式方案以现场调研为起点。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08 · 三层可组合方案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分层建设，优先跑通一个真实场景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9"/>
        <w:gridCol w:w="3289"/>
        <w:gridCol w:w="3289"/>
      </w:tblGrid>
      <w:tr>
        <w:tc>
          <w:tcPr>
            <w:tcW w:type="dxa" w:w="1134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FAFCFA"/>
            <w:vAlign w:val="center"/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EE7529"/>
                <w:sz w:val="32"/>
              </w:rPr>
              <w:t>01</w:t>
            </w:r>
          </w:p>
        </w:tc>
        <w:tc>
          <w:tcPr>
            <w:tcW w:type="dxa" w:w="2438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FAFCFA"/>
            <w:vAlign w:val="center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基础运营层</w:t>
            </w:r>
          </w:p>
        </w:tc>
        <w:tc>
          <w:tcPr>
            <w:tcW w:type="dxa" w:w="6180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FAFCFA"/>
            <w:vAlign w:val="center"/>
          </w:tcPr>
          <w:p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订餐、补贴、结算、菜品、订单和基础报表，先保证业务顺畅、数据可用。</w:t>
            </w:r>
          </w:p>
        </w:tc>
      </w:tr>
      <w:tr>
        <w:tc>
          <w:tcPr>
            <w:tcW w:type="dxa" w:w="1134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E8F0EB"/>
            <w:vAlign w:val="center"/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EE7529"/>
                <w:sz w:val="32"/>
              </w:rPr>
              <w:t>02</w:t>
            </w:r>
          </w:p>
        </w:tc>
        <w:tc>
          <w:tcPr>
            <w:tcW w:type="dxa" w:w="2438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E8F0EB"/>
            <w:vAlign w:val="center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营养健康增强层</w:t>
            </w:r>
          </w:p>
        </w:tc>
        <w:tc>
          <w:tcPr>
            <w:tcW w:type="dxa" w:w="6180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E8F0EB"/>
            <w:vAlign w:val="center"/>
          </w:tcPr>
          <w:p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菜品营养、个人记录、选择提示、周期报告、群体趋势和营养活动。</w:t>
            </w:r>
          </w:p>
        </w:tc>
      </w:tr>
      <w:tr>
        <w:tc>
          <w:tcPr>
            <w:tcW w:type="dxa" w:w="1134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FAFCFA"/>
            <w:vAlign w:val="center"/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EE7529"/>
                <w:sz w:val="32"/>
              </w:rPr>
              <w:t>03</w:t>
            </w:r>
          </w:p>
        </w:tc>
        <w:tc>
          <w:tcPr>
            <w:tcW w:type="dxa" w:w="2438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FAFCFA"/>
            <w:vAlign w:val="center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综合管理层</w:t>
            </w:r>
          </w:p>
        </w:tc>
        <w:tc>
          <w:tcPr>
            <w:tcW w:type="dxa" w:w="6180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210" w:type="dxa"/>
              <w:start w:w="180" w:type="dxa"/>
              <w:bottom w:w="210" w:type="dxa"/>
              <w:end w:w="180" w:type="dxa"/>
            </w:tcMar>
            <w:shd w:fill="FAFCFA"/>
            <w:vAlign w:val="center"/>
          </w:tcPr>
          <w:p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按项目连接食品安全、采购库存、设备和多维看板，形成跨环节管理闭环。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751"/>
            <w:shd w:fill="FFF0E5"/>
            <w:tcBorders>
              <w:top w:val="single" w:sz="8" w:color="F3D0B9"/>
              <w:left w:val="single" w:sz="8" w:color="F3D0B9"/>
              <w:bottom w:val="single" w:sz="8" w:color="F3D0B9"/>
              <w:right w:val="single" w:sz="8" w:color="F3D0B9"/>
            </w:tcBorders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653A20"/>
                <w:sz w:val="27"/>
              </w:rPr>
              <w:t>从一个餐厅、一个明确人群和一组可验证指标开始。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09 · 项目交付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一次上线不是终点，持续使用才是完成度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9"/>
        <w:gridCol w:w="3289"/>
        <w:gridCol w:w="3289"/>
      </w:tblGrid>
      <w:tr>
        <w:tc>
          <w:tcPr>
            <w:tcW w:type="dxa" w:w="3249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170" w:type="dxa"/>
              <w:start w:w="180" w:type="dxa"/>
              <w:bottom w:w="170" w:type="dxa"/>
              <w:end w:w="180" w:type="dxa"/>
            </w:tcMar>
            <w:shd w:fill="E8F0EB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1  现场调研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8"/>
              </w:rPr>
              <w:t>人群、流程、设备、系统、数据</w:t>
            </w:r>
          </w:p>
        </w:tc>
        <w:tc>
          <w:tcPr>
            <w:tcW w:type="dxa" w:w="3249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170" w:type="dxa"/>
              <w:start w:w="180" w:type="dxa"/>
              <w:bottom w:w="170" w:type="dxa"/>
              <w:end w:w="180" w:type="dxa"/>
            </w:tcMar>
            <w:shd w:fill="FAFCFA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2  方案确认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8"/>
              </w:rPr>
              <w:t>范围、接口、责任、指标、验收</w:t>
            </w:r>
          </w:p>
        </w:tc>
        <w:tc>
          <w:tcPr>
            <w:tcW w:type="dxa" w:w="3249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170" w:type="dxa"/>
              <w:start w:w="180" w:type="dxa"/>
              <w:bottom w:w="170" w:type="dxa"/>
              <w:end w:w="180" w:type="dxa"/>
            </w:tcMar>
            <w:shd w:fill="FAFCFA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3  配置联调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8"/>
              </w:rPr>
              <w:t>业务、终端、数据、必要接口</w:t>
            </w:r>
          </w:p>
        </w:tc>
      </w:tr>
      <w:tr>
        <w:tc>
          <w:tcPr>
            <w:tcW w:type="dxa" w:w="3249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170" w:type="dxa"/>
              <w:start w:w="180" w:type="dxa"/>
              <w:bottom w:w="170" w:type="dxa"/>
              <w:end w:w="180" w:type="dxa"/>
            </w:tcMar>
            <w:shd w:fill="FAFCFA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4  试运行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8"/>
              </w:rPr>
              <w:t>真实餐段观察使用与问题</w:t>
            </w:r>
          </w:p>
        </w:tc>
        <w:tc>
          <w:tcPr>
            <w:tcW w:type="dxa" w:w="3249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170" w:type="dxa"/>
              <w:start w:w="180" w:type="dxa"/>
              <w:bottom w:w="170" w:type="dxa"/>
              <w:end w:w="180" w:type="dxa"/>
            </w:tcMar>
            <w:shd w:fill="FAFCFA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5  培训验收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8"/>
              </w:rPr>
              <w:t>功能、权限、流程、人员掌握</w:t>
            </w:r>
          </w:p>
        </w:tc>
        <w:tc>
          <w:tcPr>
            <w:tcW w:type="dxa" w:w="3249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  <w:tcMar>
              <w:top w:w="170" w:type="dxa"/>
              <w:start w:w="180" w:type="dxa"/>
              <w:bottom w:w="170" w:type="dxa"/>
              <w:end w:w="180" w:type="dxa"/>
            </w:tcMar>
            <w:shd w:fill="E8F0EB"/>
          </w:tcPr>
          <w:p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6  运营复盘</w:t>
              <w:br/>
            </w:r>
            <w:r>
              <w:rPr>
                <w:rFonts w:ascii="PingFang SC" w:hAnsi="PingFang SC" w:eastAsia="PingFang SC"/>
                <w:b w:val="0"/>
                <w:color w:val="68736D"/>
                <w:sz w:val="18"/>
              </w:rPr>
              <w:t>使用、满意、响应、菜单调整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9"/>
        <w:gridCol w:w="3289"/>
        <w:gridCol w:w="3289"/>
      </w:tblGrid>
      <w:tr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FF0E5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范围可核对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不把演示能力自动写成项目承诺。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问题可关闭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每个问题有责任人、证据和复核结果。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E8F0EB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经验可复用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把一次交付沉淀为下一次标准资产。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10 · 专业、数据与合规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专业可信，首先来自清楚的边界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9"/>
        <w:gridCol w:w="3289"/>
        <w:gridCol w:w="3289"/>
      </w:tblGrid>
      <w:tr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E8F0EB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专业边界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提示应有规则或依据；特殊疾病、用药、过敏或特殊膳食需求转由具备相应资质的专业人员判断。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数据边界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明确目的、最小必要、单独同意、严格保护和可撤回；管理分析优先使用去标识化或匿名化结果。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FF0E5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AI 边界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AI用于信息整理、一般性建议和运营辅助，不替代专业人员或管理者判断。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751"/>
            <w:shd w:fill="FFF0E5"/>
            <w:tcBorders>
              <w:top w:val="single" w:sz="8" w:color="F3D0B9"/>
              <w:left w:val="single" w:sz="8" w:color="F3D0B9"/>
              <w:bottom w:val="single" w:sz="8" w:color="F3D0B9"/>
              <w:right w:val="single" w:sz="8" w:color="F3D0B9"/>
            </w:tcBorders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653A20"/>
                <w:sz w:val="27"/>
              </w:rPr>
              <w:t>本服务提供一般性营养信息与日常用餐选择支持，不用于疾病诊断、治疗，也不替代医生、注册营养师或其他专业人员的个体化意见。</w:t>
            </w:r>
          </w:p>
        </w:tc>
      </w:tr>
    </w:tbl>
    <w:p>
      <w:pPr>
        <w:spacing w:after="0"/>
      </w:pPr>
    </w:p>
    <w:p>
      <w:r>
        <w:rPr>
          <w:rFonts w:ascii="PingFang SC" w:hAnsi="PingFang SC" w:eastAsia="PingFang SC"/>
          <w:b w:val="0"/>
          <w:color w:val="68736D"/>
          <w:sz w:val="17"/>
        </w:rPr>
        <w:t>具体数据处理、部署、安全措施和服务责任，以项目合同、制度、隐私告知与验收文件为准。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11 · 为什么是康比特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把营养专业、集中供餐和数字服务连接起来</w:t>
      </w:r>
    </w:p>
    <w:p>
      <w:r>
        <w:rPr>
          <w:rFonts w:ascii="PingFang SC" w:hAnsi="PingFang SC" w:eastAsia="PingFang SC"/>
          <w:b w:val="0"/>
          <w:color w:val="18231D"/>
          <w:sz w:val="24"/>
        </w:rPr>
        <w:t>康比特的目标不是提供一件孤立设备，而是帮助客户建立可持续运营的营养健康用餐场景。康比特是北京证券交易所上市企业。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9"/>
        <w:gridCol w:w="3289"/>
        <w:gridCol w:w="3289"/>
      </w:tblGrid>
      <w:tr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能力有范围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以真实产品、项目清单和验收版本为准。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效果有证据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以客户基线、试点运行和双方验收为准。</w:t>
            </w:r>
          </w:p>
        </w:tc>
        <w:tc>
          <w:tcPr>
            <w:tcW w:type="dxa" w:w="3250"/>
            <w:vAlign w:val="top"/>
            <w:tcMar>
              <w:top w:w="160" w:type="dxa"/>
              <w:start w:w="180" w:type="dxa"/>
              <w:bottom w:w="160" w:type="dxa"/>
              <w:end w:w="180" w:type="dxa"/>
            </w:tcMar>
            <w:shd w:fill="FAFCFA"/>
            <w:tcBorders>
              <w:top w:val="single" w:sz="6" w:color="DCE3DD"/>
              <w:left w:val="single" w:sz="6" w:color="DCE3DD"/>
              <w:bottom w:val="single" w:sz="6" w:color="DCE3DD"/>
              <w:right w:val="single" w:sz="6" w:color="DCE3DD"/>
            </w:tcBorders>
          </w:tcPr>
          <w:p>
            <w:pPr>
              <w:spacing w:after="80"/>
            </w:pPr>
            <w:r>
              <w:rPr>
                <w:rFonts w:ascii="PingFang SC" w:hAnsi="PingFang SC" w:eastAsia="PingFang SC"/>
                <w:b/>
                <w:color w:val="194F3A"/>
                <w:sz w:val="23"/>
              </w:rPr>
              <w:t>健康有边界</w:t>
            </w:r>
          </w:p>
          <w:p>
            <w:pPr>
              <w:spacing w:after="0"/>
            </w:pPr>
            <w:r>
              <w:rPr>
                <w:rFonts w:ascii="PingFang SC" w:hAnsi="PingFang SC" w:eastAsia="PingFang SC"/>
                <w:b w:val="0"/>
                <w:color w:val="68736D"/>
                <w:sz w:val="19"/>
              </w:rPr>
              <w:t>以用户授权、专业复核和非医疗边界为前提。</w:t>
            </w:r>
          </w:p>
        </w:tc>
      </w:tr>
    </w:tbl>
    <w:p>
      <w:r>
        <w:rPr>
          <w:rFonts w:ascii="PingFang SC" w:hAnsi="PingFang SC" w:eastAsia="PingFang SC"/>
          <w:b w:val="0"/>
          <w:color w:val="68736D"/>
          <w:sz w:val="17"/>
        </w:rPr>
        <w:t>上市身份来源：北京证券交易所上市公司代码映射表；证券代码 920429，原证券代码 833429；检索日期 2026-07-30。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right w:val="nil"/>
          <w:insideH w:val="nil"/>
          <w:insideV w:val="nil"/>
          <w:bottom w:val="single" w:sz="8" w:color="18231D"/>
        </w:tblBorders>
      </w:tblPr>
      <w:tblGrid>
        <w:gridCol w:w="4933"/>
        <w:gridCol w:w="4933"/>
      </w:tblGrid>
      <w:tr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left"/>
            </w:pPr>
            <w:r>
              <w:drawing>
                <wp:inline xmlns:wp="http://schemas.openxmlformats.org/drawingml/2006/wordprocessingDrawing" xmlns:a="http://schemas.openxmlformats.org/drawingml/2006/main" xmlns:pic="http://schemas.openxmlformats.org/drawingml/2006/picture">
                  <wp:extent cx="1152000" cy="182016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pt-logo-orang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820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30" w:type="dxa"/>
              <w:start w:w="0" w:type="dxa"/>
              <w:bottom w:w="65" w:type="dxa"/>
              <w:end w:w="0" w:type="dxa"/>
            </w:tcMar>
          </w:tcPr>
          <w:p>
            <w:pPr>
              <w:jc w:val="right"/>
            </w:pPr>
            <w:r>
              <w:rPr>
                <w:rFonts w:ascii="PingFang SC" w:hAnsi="PingFang SC" w:eastAsia="PingFang SC"/>
                <w:b/>
                <w:color w:val="18231D"/>
                <w:sz w:val="23"/>
              </w:rPr>
              <w:t>康比特数字体育科技</w:t>
            </w:r>
          </w:p>
        </w:tc>
      </w:tr>
    </w:tbl>
    <w:p>
      <w:pPr>
        <w:spacing w:after="80" w:line="120" w:lineRule="auto"/>
      </w:pPr>
    </w:p>
    <w:p>
      <w:pPr>
        <w:spacing w:after="140"/>
      </w:pPr>
      <w:r>
        <w:rPr>
          <w:rFonts w:ascii="PingFang SC" w:hAnsi="PingFang SC" w:eastAsia="PingFang SC"/>
          <w:b/>
          <w:color w:val="EE7529"/>
          <w:sz w:val="18"/>
        </w:rPr>
        <w:t>━  12 · 下一步</w:t>
      </w:r>
    </w:p>
    <w:p>
      <w:pPr>
        <w:pStyle w:val="1"/>
        <w:keepNext/>
      </w:pPr>
      <w:r>
        <w:rPr>
          <w:rFonts w:ascii="PingFang SC" w:hAnsi="PingFang SC" w:eastAsia="PingFang SC"/>
          <w:b/>
          <w:color w:val="194F3A"/>
          <w:sz w:val="46"/>
        </w:rPr>
        <w:t>从一个可验证场景开始</w:t>
      </w:r>
    </w:p>
    <w:p>
      <w:r>
        <w:rPr>
          <w:rFonts w:ascii="PingFang SC" w:hAnsi="PingFang SC" w:eastAsia="PingFang SC"/>
          <w:b w:val="0"/>
          <w:color w:val="68736D"/>
          <w:sz w:val="24"/>
        </w:rPr>
        <w:t>建议用一次 60—90 分钟方案沟通，确认五件事：</w:t>
      </w:r>
    </w:p>
    <w:p>
      <w:pPr>
        <w:spacing w:after="80"/>
        <w:ind w:left="113" w:hanging="113"/>
      </w:pPr>
      <w:r>
        <w:rPr>
          <w:rFonts w:ascii="PingFang SC" w:hAnsi="PingFang SC" w:eastAsia="PingFang SC"/>
          <w:b/>
          <w:color w:val="EE7529"/>
          <w:sz w:val="14"/>
        </w:rPr>
        <w:t xml:space="preserve">●  </w:t>
      </w:r>
      <w:r>
        <w:rPr>
          <w:rFonts w:ascii="PingFang SC" w:hAnsi="PingFang SC" w:eastAsia="PingFang SC"/>
          <w:b w:val="0"/>
          <w:color w:val="18231D"/>
          <w:sz w:val="20"/>
        </w:rPr>
        <w:t>服务哪类人群；</w:t>
      </w:r>
    </w:p>
    <w:p>
      <w:pPr>
        <w:spacing w:after="80"/>
        <w:ind w:left="113" w:hanging="113"/>
      </w:pPr>
      <w:r>
        <w:rPr>
          <w:rFonts w:ascii="PingFang SC" w:hAnsi="PingFang SC" w:eastAsia="PingFang SC"/>
          <w:b/>
          <w:color w:val="EE7529"/>
          <w:sz w:val="14"/>
        </w:rPr>
        <w:t xml:space="preserve">●  </w:t>
      </w:r>
      <w:r>
        <w:rPr>
          <w:rFonts w:ascii="PingFang SC" w:hAnsi="PingFang SC" w:eastAsia="PingFang SC"/>
          <w:b w:val="0"/>
          <w:color w:val="18231D"/>
          <w:sz w:val="20"/>
        </w:rPr>
        <w:t>优先解决哪一个用餐问题；</w:t>
      </w:r>
    </w:p>
    <w:p>
      <w:pPr>
        <w:spacing w:after="80"/>
        <w:ind w:left="113" w:hanging="113"/>
      </w:pPr>
      <w:r>
        <w:rPr>
          <w:rFonts w:ascii="PingFang SC" w:hAnsi="PingFang SC" w:eastAsia="PingFang SC"/>
          <w:b/>
          <w:color w:val="EE7529"/>
          <w:sz w:val="14"/>
        </w:rPr>
        <w:t xml:space="preserve">●  </w:t>
      </w:r>
      <w:r>
        <w:rPr>
          <w:rFonts w:ascii="PingFang SC" w:hAnsi="PingFang SC" w:eastAsia="PingFang SC"/>
          <w:b w:val="0"/>
          <w:color w:val="18231D"/>
          <w:sz w:val="20"/>
        </w:rPr>
        <w:t>从哪一个餐厅或餐段试点；</w:t>
      </w:r>
    </w:p>
    <w:p>
      <w:pPr>
        <w:spacing w:after="80"/>
        <w:ind w:left="113" w:hanging="113"/>
      </w:pPr>
      <w:r>
        <w:rPr>
          <w:rFonts w:ascii="PingFang SC" w:hAnsi="PingFang SC" w:eastAsia="PingFang SC"/>
          <w:b/>
          <w:color w:val="EE7529"/>
          <w:sz w:val="14"/>
        </w:rPr>
        <w:t xml:space="preserve">●  </w:t>
      </w:r>
      <w:r>
        <w:rPr>
          <w:rFonts w:ascii="PingFang SC" w:hAnsi="PingFang SC" w:eastAsia="PingFang SC"/>
          <w:b w:val="0"/>
          <w:color w:val="18231D"/>
          <w:sz w:val="20"/>
        </w:rPr>
        <w:t>需要连接哪些现有系统和设备；</w:t>
      </w:r>
    </w:p>
    <w:p>
      <w:pPr>
        <w:spacing w:after="80"/>
        <w:ind w:left="113" w:hanging="113"/>
      </w:pPr>
      <w:r>
        <w:rPr>
          <w:rFonts w:ascii="PingFang SC" w:hAnsi="PingFang SC" w:eastAsia="PingFang SC"/>
          <w:b/>
          <w:color w:val="EE7529"/>
          <w:sz w:val="14"/>
        </w:rPr>
        <w:t xml:space="preserve">●  </w:t>
      </w:r>
      <w:r>
        <w:rPr>
          <w:rFonts w:ascii="PingFang SC" w:hAnsi="PingFang SC" w:eastAsia="PingFang SC"/>
          <w:b w:val="0"/>
          <w:color w:val="18231D"/>
          <w:sz w:val="20"/>
        </w:rPr>
        <w:t>用哪些指标判断试点是否值得扩大。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751"/>
            <w:shd w:fill="FFF0E5"/>
            <w:tcBorders>
              <w:top w:val="single" w:sz="8" w:color="F3D0B9"/>
              <w:left w:val="single" w:sz="8" w:color="F3D0B9"/>
              <w:bottom w:val="single" w:sz="8" w:color="F3D0B9"/>
              <w:right w:val="single" w:sz="8" w:color="F3D0B9"/>
            </w:tcBorders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jc w:val="center"/>
            </w:pPr>
            <w:r>
              <w:rPr>
                <w:rFonts w:ascii="PingFang SC" w:hAnsi="PingFang SC" w:eastAsia="PingFang SC"/>
                <w:b/>
                <w:color w:val="653A20"/>
                <w:sz w:val="27"/>
              </w:rPr>
              <w:t>从一顿饭开始，把营养健康服务做进每天。</w:t>
            </w:r>
          </w:p>
        </w:tc>
      </w:tr>
    </w:tbl>
    <w:p>
      <w:pPr>
        <w:spacing w:after="0"/>
      </w:pPr>
    </w:p>
    <w:p>
      <w:r>
        <w:rPr>
          <w:rFonts w:ascii="PingFang SC" w:hAnsi="PingFang SC" w:eastAsia="PingFang SC"/>
          <w:b w:val="0"/>
          <w:color w:val="68736D"/>
          <w:sz w:val="17"/>
        </w:rPr>
        <w:t>V1.0 对外送审版。具体功能、终端、接口、部署、服务频次、价格和售后承诺以项目文件为准；法务、营养专业负责人和客户项目范围确认后方可正式发布。</w:t>
      </w:r>
    </w:p>
    <w:sectPr w:rsidR="000E46D2" w:rsidRPr="00B60D04" w:rsidSect="006C0147">
      <w:footerReference w:type="default" r:id="rId10"/>
      <w:pgSz w:w="11906" w:h="16838"/>
      <w:pgMar w:top="652" w:right="1020" w:bottom="992" w:left="1020" w:header="425" w:footer="425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  <w:jc w:val="center"/>
    </w:pPr>
    <w:r>
      <w:rPr>
        <w:rFonts w:ascii="PingFang SC" w:hAnsi="PingFang SC" w:eastAsia="PingFang SC"/>
        <w:color w:val="68736D"/>
        <w:sz w:val="16"/>
      </w:rPr>
      <w:t xml:space="preserve">康比特智慧营养健康餐厅  ·  </w:t>
      <w:fldChar w:fldCharType="begin"/>
      <w:instrText xml:space="preserve">PAGE</w:instrText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spacing w:after="100" w:line="293" w:lineRule="auto"/>
      <w:jc w:val="both"/>
    </w:pPr>
    <w:rPr>
      <w:rFonts w:asciiTheme="minorHAnsi" w:eastAsiaTheme="minorEastAsia" w:hAnsiTheme="minorHAnsi" w:cstheme="minorBidi" w:ascii="PingFang SC" w:hAnsi="PingFang SC" w:eastAsia="PingFang SC"/>
      <w:color w:val="18231D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0" w:after="240" w:line="578" w:lineRule="auto"/>
      <w:outlineLvl w:val="0"/>
    </w:pPr>
    <w:rPr>
      <w:rFonts w:ascii="PingFang SC" w:hAnsi="PingFang SC" w:eastAsia="PingFang SC"/>
      <w:b/>
      <w:bCs/>
      <w:color w:val="194F3A"/>
      <w:kern w:val="44"/>
      <w:sz w:val="4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100" w:line="416" w:lineRule="auto"/>
      <w:outlineLvl w:val="1"/>
    </w:pPr>
    <w:rPr>
      <w:rFonts w:asciiTheme="majorHAnsi" w:eastAsiaTheme="majorEastAsia" w:hAnsiTheme="majorHAnsi" w:cstheme="majorBidi" w:ascii="PingFang SC" w:hAnsi="PingFang SC" w:eastAsia="PingFang SC"/>
      <w:b/>
      <w:bCs/>
      <w:color w:val="33745A"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80" w:after="60" w:line="416" w:lineRule="auto"/>
      <w:outlineLvl w:val="2"/>
    </w:pPr>
    <w:rPr>
      <w:rFonts w:ascii="PingFang SC" w:hAnsi="PingFang SC" w:eastAsia="PingFang SC"/>
      <w:b/>
      <w:bCs/>
      <w:color w:val="18231D"/>
      <w:sz w:val="23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pPr>
      <w:keepNext/>
      <w:spacing w:before="0" w:after="200"/>
    </w:pPr>
    <w:rPr>
      <w:rFonts w:ascii="PingFang SC" w:hAnsi="PingFang SC" w:eastAsia="PingFang SC"/>
      <w:b/>
      <w:color w:val="194F3A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