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微软雅黑" w:hAnsi="微软雅黑" w:eastAsia="微软雅黑"/>
          <w:b/>
          <w:color w:val="12324A"/>
          <w:sz w:val="48"/>
        </w:rPr>
        <w:t>国家康复辅具研究中心智慧食堂项目</w:t>
        <w:br/>
        <w:t>智慧餐厅称重系统改造</w:t>
        <w:br/>
        <w:t>投标响应文件</w:t>
      </w:r>
    </w:p>
    <w:p>
      <w:pPr>
        <w:jc w:val="center"/>
      </w:pPr>
      <w:r>
        <w:rPr>
          <w:rFonts w:ascii="微软雅黑" w:hAnsi="微软雅黑" w:eastAsia="微软雅黑"/>
          <w:b w:val="0"/>
          <w:sz w:val="26"/>
        </w:rPr>
        <w:t>采购人：北京蓝色港湾科技有限责任公司</w:t>
      </w:r>
    </w:p>
    <w:p>
      <w:pPr>
        <w:jc w:val="center"/>
      </w:pPr>
      <w:r>
        <w:rPr>
          <w:rFonts w:ascii="微软雅黑" w:hAnsi="微软雅黑" w:eastAsia="微软雅黑"/>
          <w:b w:val="0"/>
          <w:sz w:val="26"/>
        </w:rPr>
        <w:t>供应商：北京康比特运动营养科技有限公司（待最终投标主体确认）</w:t>
      </w:r>
    </w:p>
    <w:p>
      <w:pPr>
        <w:jc w:val="center"/>
      </w:pPr>
      <w:r>
        <w:rPr>
          <w:rFonts w:ascii="微软雅黑" w:hAnsi="微软雅黑" w:eastAsia="微软雅黑"/>
          <w:b w:val="0"/>
          <w:sz w:val="26"/>
        </w:rPr>
        <w:t>文件版本：正式长版编制稿 V1.0</w:t>
      </w:r>
    </w:p>
    <w:p>
      <w:pPr>
        <w:jc w:val="center"/>
      </w:pPr>
      <w:r>
        <w:rPr>
          <w:rFonts w:ascii="微软雅黑" w:hAnsi="微软雅黑" w:eastAsia="微软雅黑"/>
          <w:b w:val="0"/>
          <w:sz w:val="26"/>
        </w:rPr>
        <w:t>日期：2026年6月</w:t>
      </w:r>
    </w:p>
    <w:p>
      <w:r>
        <w:br w:type="page"/>
      </w:r>
    </w:p>
    <w:p>
      <w:pPr>
        <w:pStyle w:val="Heading1"/>
      </w:pPr>
      <w:r>
        <w:rPr>
          <w:rFonts w:ascii="微软雅黑" w:hAnsi="微软雅黑" w:eastAsia="微软雅黑"/>
          <w:b/>
          <w:color w:val="12324A"/>
          <w:sz w:val="32"/>
        </w:rPr>
        <w:t>投标文件总目录</w:t>
      </w:r>
    </w:p>
    <w:p>
      <w:r>
        <w:rPr>
          <w:rFonts w:ascii="微软雅黑" w:hAnsi="微软雅黑" w:eastAsia="微软雅黑"/>
          <w:b w:val="0"/>
          <w:sz w:val="21"/>
        </w:rPr>
        <w:t>第一册 商务响应文件</w:t>
      </w:r>
    </w:p>
    <w:p>
      <w:r>
        <w:rPr>
          <w:rFonts w:ascii="微软雅黑" w:hAnsi="微软雅黑" w:eastAsia="微软雅黑"/>
          <w:b w:val="0"/>
          <w:sz w:val="21"/>
        </w:rPr>
        <w:t>第二册 技术响应文件</w:t>
      </w:r>
    </w:p>
    <w:p>
      <w:r>
        <w:rPr>
          <w:rFonts w:ascii="微软雅黑" w:hAnsi="微软雅黑" w:eastAsia="微软雅黑"/>
          <w:b w:val="0"/>
          <w:sz w:val="21"/>
        </w:rPr>
        <w:t>第三册 项目实施、质量、安全、测试与培训方案</w:t>
      </w:r>
    </w:p>
    <w:p>
      <w:r>
        <w:rPr>
          <w:rFonts w:ascii="微软雅黑" w:hAnsi="微软雅黑" w:eastAsia="微软雅黑"/>
          <w:b w:val="0"/>
          <w:sz w:val="21"/>
        </w:rPr>
        <w:t>第四册 售后服务、质保与运维方案</w:t>
      </w:r>
    </w:p>
    <w:p>
      <w:r>
        <w:rPr>
          <w:rFonts w:ascii="微软雅黑" w:hAnsi="微软雅黑" w:eastAsia="微软雅黑"/>
          <w:b w:val="0"/>
          <w:sz w:val="21"/>
        </w:rPr>
        <w:t>第五册 附件目录、补证清单与人工审核清单</w:t>
      </w:r>
    </w:p>
    <w:p>
      <w:r>
        <w:rPr>
          <w:rFonts w:ascii="微软雅黑" w:hAnsi="微软雅黑" w:eastAsia="微软雅黑"/>
          <w:b w:val="0"/>
          <w:sz w:val="21"/>
        </w:rPr>
        <w:t>附录A 逐项技术响应明细</w:t>
      </w:r>
    </w:p>
    <w:p>
      <w:r>
        <w:rPr>
          <w:rFonts w:ascii="微软雅黑" w:hAnsi="微软雅黑" w:eastAsia="微软雅黑"/>
          <w:b w:val="0"/>
          <w:sz w:val="21"/>
        </w:rPr>
        <w:t>附录B 评分响应策略</w:t>
      </w:r>
    </w:p>
    <w:p>
      <w:r>
        <w:rPr>
          <w:rFonts w:ascii="微软雅黑" w:hAnsi="微软雅黑" w:eastAsia="微软雅黑"/>
          <w:b w:val="0"/>
          <w:sz w:val="21"/>
        </w:rPr>
        <w:t>附录C 表单与承诺函模板</w:t>
      </w:r>
    </w:p>
    <w:p>
      <w:r>
        <w:rPr>
          <w:rFonts w:ascii="微软雅黑" w:hAnsi="微软雅黑" w:eastAsia="微软雅黑"/>
          <w:b w:val="0"/>
          <w:sz w:val="21"/>
        </w:rPr>
        <w:t>附录D 主要参考历史资料</w:t>
      </w:r>
    </w:p>
    <w:p>
      <w:r>
        <w:br w:type="page"/>
      </w:r>
    </w:p>
    <w:p>
      <w:pPr>
        <w:pStyle w:val="Heading1"/>
      </w:pPr>
      <w:r>
        <w:rPr>
          <w:rFonts w:ascii="微软雅黑" w:hAnsi="微软雅黑" w:eastAsia="微软雅黑"/>
          <w:b/>
          <w:color w:val="12324A"/>
          <w:sz w:val="32"/>
        </w:rPr>
        <w:t>第一册 商务响应文件</w:t>
      </w:r>
    </w:p>
    <w:p>
      <w:pPr>
        <w:pStyle w:val="Heading2"/>
      </w:pPr>
      <w:r>
        <w:rPr>
          <w:rFonts w:ascii="微软雅黑" w:hAnsi="微软雅黑" w:eastAsia="微软雅黑"/>
          <w:b/>
          <w:color w:val="12324A"/>
          <w:sz w:val="28"/>
        </w:rPr>
        <w:t>一、投标函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我方已认真阅读并充分理解《国家康复辅具研究中心智慧食堂项目采购文件》的全部内容，愿意按照采购文件要求参与“智慧餐厅称重系统改造”采购活动。</w:t>
      </w:r>
    </w:p>
    <w:p>
      <w:r>
        <w:rPr>
          <w:rFonts w:ascii="微软雅黑" w:hAnsi="微软雅黑" w:eastAsia="微软雅黑"/>
          <w:b w:val="0"/>
          <w:sz w:val="21"/>
        </w:rPr>
        <w:t>我方承诺所提交的响应文件、资格证明文件、技术资料和商务资料真实、准确、完整。如我方成交，将按照采购文件、响应文件和合同约定完成供货、安装、调试、测试、培训、试运行、验收和质保服务。</w:t>
      </w:r>
    </w:p>
    <w:p>
      <w:r>
        <w:rPr>
          <w:rFonts w:ascii="微软雅黑" w:hAnsi="微软雅黑" w:eastAsia="微软雅黑"/>
          <w:b w:val="0"/>
          <w:sz w:val="21"/>
        </w:rPr>
        <w:t>我方承诺投标有效期为投标截止日期后90日历日，投标报价为含税总价并覆盖采购文件要求的全部费用。</w:t>
      </w:r>
    </w:p>
    <w:p>
      <w:pPr>
        <w:pStyle w:val="Heading2"/>
      </w:pPr>
      <w:r>
        <w:rPr>
          <w:rFonts w:ascii="微软雅黑" w:hAnsi="微软雅黑" w:eastAsia="微软雅黑"/>
          <w:b/>
          <w:color w:val="12324A"/>
          <w:sz w:val="28"/>
        </w:rPr>
        <w:t>二、报价一览表</w:t>
      </w:r>
    </w:p>
    <w:p>
      <w:r>
        <w:rPr>
          <w:rFonts w:ascii="微软雅黑" w:hAnsi="微软雅黑" w:eastAsia="微软雅黑"/>
          <w:b w:val="0"/>
          <w:sz w:val="21"/>
        </w:rPr>
        <w:t>本项目采购预算为15万元（含税）。正式投标报价必须不超过采购预算。当前编制稿中报价项保留待商务确认占位。</w:t>
      </w:r>
    </w:p>
    <w:p>
      <w:pPr>
        <w:pStyle w:val="Heading2"/>
      </w:pPr>
      <w:r>
        <w:rPr>
          <w:rFonts w:ascii="微软雅黑" w:hAnsi="微软雅黑" w:eastAsia="微软雅黑"/>
          <w:b/>
          <w:color w:val="12324A"/>
          <w:sz w:val="28"/>
        </w:rPr>
        <w:t>三、供应商资格与承诺</w:t>
      </w:r>
    </w:p>
    <w:p>
      <w:r>
        <w:rPr>
          <w:rFonts w:ascii="微软雅黑" w:hAnsi="微软雅黑" w:eastAsia="微软雅黑"/>
          <w:b w:val="0"/>
          <w:sz w:val="21"/>
        </w:rPr>
        <w:t>供应商应提供营业执照、信用查询截图、无重大行政处罚承诺、无利益冲突承诺、不联合体承诺、关联企业授权说明等资格证明文件，并按采购文件要求加盖公章。</w:t>
      </w:r>
    </w:p>
    <w:p>
      <w:pPr>
        <w:pStyle w:val="Heading2"/>
      </w:pPr>
      <w:r>
        <w:rPr>
          <w:rFonts w:ascii="微软雅黑" w:hAnsi="微软雅黑" w:eastAsia="微软雅黑"/>
          <w:b/>
          <w:color w:val="12324A"/>
          <w:sz w:val="28"/>
        </w:rPr>
        <w:t>四、商务响应与偏离说明</w:t>
      </w:r>
    </w:p>
    <w:p>
      <w:r>
        <w:rPr>
          <w:rFonts w:ascii="微软雅黑" w:hAnsi="微软雅黑" w:eastAsia="微软雅黑"/>
          <w:b w:val="0"/>
          <w:sz w:val="21"/>
        </w:rPr>
        <w:t>本文件按无负偏离原则组织。正式递交前应由商务负责人逐项复核付款条款、报价范围、售后响应、质保期、投标有效期和文件签章。</w:t>
      </w:r>
    </w:p>
    <w:tbl>
      <w:tblPr>
        <w:tblStyle w:val="TableGrid"/>
        <w:tblW w:type="auto" w:w="0"/>
        <w:jc w:val="center"/>
        <w:tblLook w:firstColumn="1" w:firstRow="1" w:lastColumn="0" w:lastRow="0" w:noHBand="0" w:noVBand="1" w:val="04A0"/>
      </w:tblPr>
      <w:tblGrid>
        <w:gridCol w:w="1860"/>
        <w:gridCol w:w="1860"/>
        <w:gridCol w:w="1860"/>
        <w:gridCol w:w="1860"/>
        <w:gridCol w:w="1860"/>
      </w:tblGrid>
      <w:tr>
        <w:tc>
          <w:tcPr>
            <w:tcW w:type="dxa" w:w="1860"/>
            <w:vAlign w:val="center"/>
            <w:shd w:fill="D9EAF7"/>
          </w:tcPr>
          <w:p>
            <w:r/>
            <w:r>
              <w:rPr>
                <w:rFonts w:ascii="微软雅黑" w:hAnsi="微软雅黑" w:eastAsia="微软雅黑"/>
                <w:b/>
                <w:sz w:val="18"/>
              </w:rPr>
              <w:t>序号</w:t>
            </w:r>
          </w:p>
        </w:tc>
        <w:tc>
          <w:tcPr>
            <w:tcW w:type="dxa" w:w="1860"/>
            <w:vAlign w:val="center"/>
            <w:shd w:fill="D9EAF7"/>
          </w:tcPr>
          <w:p>
            <w:r/>
            <w:r>
              <w:rPr>
                <w:rFonts w:ascii="微软雅黑" w:hAnsi="微软雅黑" w:eastAsia="微软雅黑"/>
                <w:b/>
                <w:sz w:val="18"/>
              </w:rPr>
              <w:t>商务条款</w:t>
            </w:r>
          </w:p>
        </w:tc>
        <w:tc>
          <w:tcPr>
            <w:tcW w:type="dxa" w:w="1860"/>
            <w:vAlign w:val="center"/>
            <w:shd w:fill="D9EAF7"/>
          </w:tcPr>
          <w:p>
            <w:r/>
            <w:r>
              <w:rPr>
                <w:rFonts w:ascii="微软雅黑" w:hAnsi="微软雅黑" w:eastAsia="微软雅黑"/>
                <w:b/>
                <w:sz w:val="18"/>
              </w:rPr>
              <w:t>采购要求</w:t>
            </w:r>
          </w:p>
        </w:tc>
        <w:tc>
          <w:tcPr>
            <w:tcW w:type="dxa" w:w="1860"/>
            <w:vAlign w:val="center"/>
            <w:shd w:fill="D9EAF7"/>
          </w:tcPr>
          <w:p>
            <w:r/>
            <w:r>
              <w:rPr>
                <w:rFonts w:ascii="微软雅黑" w:hAnsi="微软雅黑" w:eastAsia="微软雅黑"/>
                <w:b/>
                <w:sz w:val="18"/>
              </w:rPr>
              <w:t>响应</w:t>
            </w:r>
          </w:p>
        </w:tc>
        <w:tc>
          <w:tcPr>
            <w:tcW w:type="dxa" w:w="1860"/>
            <w:vAlign w:val="center"/>
            <w:shd w:fill="D9EAF7"/>
          </w:tcPr>
          <w:p>
            <w:r/>
            <w:r>
              <w:rPr>
                <w:rFonts w:ascii="微软雅黑" w:hAnsi="微软雅黑" w:eastAsia="微软雅黑"/>
                <w:b/>
                <w:sz w:val="18"/>
              </w:rPr>
              <w:t>备注</w:t>
            </w:r>
          </w:p>
        </w:tc>
      </w:tr>
      <w:tr>
        <w:tc>
          <w:tcPr>
            <w:tcW w:type="dxa" w:w="1860"/>
            <w:vAlign w:val="center"/>
          </w:tcPr>
          <w:p>
            <w:r/>
            <w:r>
              <w:rPr>
                <w:rFonts w:ascii="微软雅黑" w:hAnsi="微软雅黑" w:eastAsia="微软雅黑"/>
                <w:b w:val="0"/>
                <w:sz w:val="18"/>
              </w:rPr>
              <w:t>1</w:t>
            </w:r>
          </w:p>
        </w:tc>
        <w:tc>
          <w:tcPr>
            <w:tcW w:type="dxa" w:w="1860"/>
            <w:vAlign w:val="center"/>
          </w:tcPr>
          <w:p>
            <w:r/>
            <w:r>
              <w:rPr>
                <w:rFonts w:ascii="微软雅黑" w:hAnsi="微软雅黑" w:eastAsia="微软雅黑"/>
                <w:b w:val="0"/>
                <w:sz w:val="18"/>
              </w:rPr>
              <w:t>投标有效期</w:t>
            </w:r>
          </w:p>
        </w:tc>
        <w:tc>
          <w:tcPr>
            <w:tcW w:type="dxa" w:w="1860"/>
            <w:vAlign w:val="center"/>
          </w:tcPr>
          <w:p>
            <w:r/>
            <w:r>
              <w:rPr>
                <w:rFonts w:ascii="微软雅黑" w:hAnsi="微软雅黑" w:eastAsia="微软雅黑"/>
                <w:b w:val="0"/>
                <w:sz w:val="18"/>
              </w:rPr>
              <w:t>投标截止日期后90日历日</w:t>
            </w:r>
          </w:p>
        </w:tc>
        <w:tc>
          <w:tcPr>
            <w:tcW w:type="dxa" w:w="1860"/>
            <w:vAlign w:val="center"/>
          </w:tcPr>
          <w:p>
            <w:r/>
            <w:r>
              <w:rPr>
                <w:rFonts w:ascii="微软雅黑" w:hAnsi="微软雅黑" w:eastAsia="微软雅黑"/>
                <w:b w:val="0"/>
                <w:sz w:val="18"/>
              </w:rPr>
              <w:t>完全响应</w:t>
            </w:r>
          </w:p>
        </w:tc>
        <w:tc>
          <w:tcPr>
            <w:tcW w:type="dxa" w:w="1860"/>
            <w:vAlign w:val="center"/>
          </w:tcPr>
          <w:p>
            <w:r/>
            <w:r>
              <w:rPr>
                <w:rFonts w:ascii="微软雅黑" w:hAnsi="微软雅黑" w:eastAsia="微软雅黑"/>
                <w:b w:val="0"/>
                <w:sz w:val="18"/>
              </w:rPr>
              <w:t>按采购文件承诺</w:t>
            </w:r>
          </w:p>
        </w:tc>
      </w:tr>
      <w:tr>
        <w:tc>
          <w:tcPr>
            <w:tcW w:type="dxa" w:w="1860"/>
            <w:vAlign w:val="center"/>
          </w:tcPr>
          <w:p>
            <w:r/>
            <w:r>
              <w:rPr>
                <w:rFonts w:ascii="微软雅黑" w:hAnsi="微软雅黑" w:eastAsia="微软雅黑"/>
                <w:b w:val="0"/>
                <w:sz w:val="18"/>
              </w:rPr>
              <w:t>2</w:t>
            </w:r>
          </w:p>
        </w:tc>
        <w:tc>
          <w:tcPr>
            <w:tcW w:type="dxa" w:w="1860"/>
            <w:vAlign w:val="center"/>
          </w:tcPr>
          <w:p>
            <w:r/>
            <w:r>
              <w:rPr>
                <w:rFonts w:ascii="微软雅黑" w:hAnsi="微软雅黑" w:eastAsia="微软雅黑"/>
                <w:b w:val="0"/>
                <w:sz w:val="18"/>
              </w:rPr>
              <w:t>报价范围</w:t>
            </w:r>
          </w:p>
        </w:tc>
        <w:tc>
          <w:tcPr>
            <w:tcW w:type="dxa" w:w="1860"/>
            <w:vAlign w:val="center"/>
          </w:tcPr>
          <w:p>
            <w:r/>
            <w:r>
              <w:rPr>
                <w:rFonts w:ascii="微软雅黑" w:hAnsi="微软雅黑" w:eastAsia="微软雅黑"/>
                <w:b w:val="0"/>
                <w:sz w:val="18"/>
              </w:rPr>
              <w:t>含设备、运输、包装、调试、配套软件、接口、维保等</w:t>
            </w:r>
          </w:p>
        </w:tc>
        <w:tc>
          <w:tcPr>
            <w:tcW w:type="dxa" w:w="1860"/>
            <w:vAlign w:val="center"/>
          </w:tcPr>
          <w:p>
            <w:r/>
            <w:r>
              <w:rPr>
                <w:rFonts w:ascii="微软雅黑" w:hAnsi="微软雅黑" w:eastAsia="微软雅黑"/>
                <w:b w:val="0"/>
                <w:sz w:val="18"/>
              </w:rPr>
              <w:t>完全响应</w:t>
            </w:r>
          </w:p>
        </w:tc>
        <w:tc>
          <w:tcPr>
            <w:tcW w:type="dxa" w:w="1860"/>
            <w:vAlign w:val="center"/>
          </w:tcPr>
          <w:p>
            <w:r/>
            <w:r>
              <w:rPr>
                <w:rFonts w:ascii="微软雅黑" w:hAnsi="微软雅黑" w:eastAsia="微软雅黑"/>
                <w:b w:val="0"/>
                <w:sz w:val="18"/>
              </w:rPr>
              <w:t>最终报价待商务确认</w:t>
            </w:r>
          </w:p>
        </w:tc>
      </w:tr>
      <w:tr>
        <w:tc>
          <w:tcPr>
            <w:tcW w:type="dxa" w:w="1860"/>
            <w:vAlign w:val="center"/>
          </w:tcPr>
          <w:p>
            <w:r/>
            <w:r>
              <w:rPr>
                <w:rFonts w:ascii="微软雅黑" w:hAnsi="微软雅黑" w:eastAsia="微软雅黑"/>
                <w:b w:val="0"/>
                <w:sz w:val="18"/>
              </w:rPr>
              <w:t>3</w:t>
            </w:r>
          </w:p>
        </w:tc>
        <w:tc>
          <w:tcPr>
            <w:tcW w:type="dxa" w:w="1860"/>
            <w:vAlign w:val="center"/>
          </w:tcPr>
          <w:p>
            <w:r/>
            <w:r>
              <w:rPr>
                <w:rFonts w:ascii="微软雅黑" w:hAnsi="微软雅黑" w:eastAsia="微软雅黑"/>
                <w:b w:val="0"/>
                <w:sz w:val="18"/>
              </w:rPr>
              <w:t>付款方式</w:t>
            </w:r>
          </w:p>
        </w:tc>
        <w:tc>
          <w:tcPr>
            <w:tcW w:type="dxa" w:w="1860"/>
            <w:vAlign w:val="center"/>
          </w:tcPr>
          <w:p>
            <w:r/>
            <w:r>
              <w:rPr>
                <w:rFonts w:ascii="微软雅黑" w:hAnsi="微软雅黑" w:eastAsia="微软雅黑"/>
                <w:b w:val="0"/>
                <w:sz w:val="18"/>
              </w:rPr>
              <w:t>到货30%、验收20%、使用3个月45%、质保期结束5%</w:t>
            </w:r>
          </w:p>
        </w:tc>
        <w:tc>
          <w:tcPr>
            <w:tcW w:type="dxa" w:w="1860"/>
            <w:vAlign w:val="center"/>
          </w:tcPr>
          <w:p>
            <w:r/>
            <w:r>
              <w:rPr>
                <w:rFonts w:ascii="微软雅黑" w:hAnsi="微软雅黑" w:eastAsia="微软雅黑"/>
                <w:b w:val="0"/>
                <w:sz w:val="18"/>
              </w:rPr>
              <w:t>响应</w:t>
            </w:r>
          </w:p>
        </w:tc>
        <w:tc>
          <w:tcPr>
            <w:tcW w:type="dxa" w:w="1860"/>
            <w:vAlign w:val="center"/>
          </w:tcPr>
          <w:p>
            <w:r/>
            <w:r>
              <w:rPr>
                <w:rFonts w:ascii="微软雅黑" w:hAnsi="微软雅黑" w:eastAsia="微软雅黑"/>
                <w:b w:val="0"/>
                <w:sz w:val="18"/>
              </w:rPr>
              <w:t>最终以合同约定为准</w:t>
            </w:r>
          </w:p>
        </w:tc>
      </w:tr>
      <w:tr>
        <w:tc>
          <w:tcPr>
            <w:tcW w:type="dxa" w:w="1860"/>
            <w:vAlign w:val="center"/>
          </w:tcPr>
          <w:p>
            <w:r/>
            <w:r>
              <w:rPr>
                <w:rFonts w:ascii="微软雅黑" w:hAnsi="微软雅黑" w:eastAsia="微软雅黑"/>
                <w:b w:val="0"/>
                <w:sz w:val="18"/>
              </w:rPr>
              <w:t>4</w:t>
            </w:r>
          </w:p>
        </w:tc>
        <w:tc>
          <w:tcPr>
            <w:tcW w:type="dxa" w:w="1860"/>
            <w:vAlign w:val="center"/>
          </w:tcPr>
          <w:p>
            <w:r/>
            <w:r>
              <w:rPr>
                <w:rFonts w:ascii="微软雅黑" w:hAnsi="微软雅黑" w:eastAsia="微软雅黑"/>
                <w:b w:val="0"/>
                <w:sz w:val="18"/>
              </w:rPr>
              <w:t>质保期</w:t>
            </w:r>
          </w:p>
        </w:tc>
        <w:tc>
          <w:tcPr>
            <w:tcW w:type="dxa" w:w="1860"/>
            <w:vAlign w:val="center"/>
          </w:tcPr>
          <w:p>
            <w:r/>
            <w:r>
              <w:rPr>
                <w:rFonts w:ascii="微软雅黑" w:hAnsi="微软雅黑" w:eastAsia="微软雅黑"/>
                <w:b w:val="0"/>
                <w:sz w:val="18"/>
              </w:rPr>
              <w:t>不低于1年</w:t>
            </w:r>
          </w:p>
        </w:tc>
        <w:tc>
          <w:tcPr>
            <w:tcW w:type="dxa" w:w="1860"/>
            <w:vAlign w:val="center"/>
          </w:tcPr>
          <w:p>
            <w:r/>
            <w:r>
              <w:rPr>
                <w:rFonts w:ascii="微软雅黑" w:hAnsi="微软雅黑" w:eastAsia="微软雅黑"/>
                <w:b w:val="0"/>
                <w:sz w:val="18"/>
              </w:rPr>
              <w:t>完全响应</w:t>
            </w:r>
          </w:p>
        </w:tc>
        <w:tc>
          <w:tcPr>
            <w:tcW w:type="dxa" w:w="1860"/>
            <w:vAlign w:val="center"/>
          </w:tcPr>
          <w:p>
            <w:r/>
            <w:r>
              <w:rPr>
                <w:rFonts w:ascii="微软雅黑" w:hAnsi="微软雅黑" w:eastAsia="微软雅黑"/>
                <w:b w:val="0"/>
                <w:sz w:val="18"/>
              </w:rPr>
              <w:t>质保期自验收合格日起算</w:t>
            </w:r>
          </w:p>
        </w:tc>
      </w:tr>
      <w:tr>
        <w:tc>
          <w:tcPr>
            <w:tcW w:type="dxa" w:w="1860"/>
            <w:vAlign w:val="center"/>
          </w:tcPr>
          <w:p>
            <w:r/>
            <w:r>
              <w:rPr>
                <w:rFonts w:ascii="微软雅黑" w:hAnsi="微软雅黑" w:eastAsia="微软雅黑"/>
                <w:b w:val="0"/>
                <w:sz w:val="18"/>
              </w:rPr>
              <w:t>5</w:t>
            </w:r>
          </w:p>
        </w:tc>
        <w:tc>
          <w:tcPr>
            <w:tcW w:type="dxa" w:w="1860"/>
            <w:vAlign w:val="center"/>
          </w:tcPr>
          <w:p>
            <w:r/>
            <w:r>
              <w:rPr>
                <w:rFonts w:ascii="微软雅黑" w:hAnsi="微软雅黑" w:eastAsia="微软雅黑"/>
                <w:b w:val="0"/>
                <w:sz w:val="18"/>
              </w:rPr>
              <w:t>售后响应</w:t>
            </w:r>
          </w:p>
        </w:tc>
        <w:tc>
          <w:tcPr>
            <w:tcW w:type="dxa" w:w="1860"/>
            <w:vAlign w:val="center"/>
          </w:tcPr>
          <w:p>
            <w:r/>
            <w:r>
              <w:rPr>
                <w:rFonts w:ascii="微软雅黑" w:hAnsi="微软雅黑" w:eastAsia="微软雅黑"/>
                <w:b w:val="0"/>
                <w:sz w:val="18"/>
              </w:rPr>
              <w:t>7*24咨询，必要时4小时到场</w:t>
            </w:r>
          </w:p>
        </w:tc>
        <w:tc>
          <w:tcPr>
            <w:tcW w:type="dxa" w:w="1860"/>
            <w:vAlign w:val="center"/>
          </w:tcPr>
          <w:p>
            <w:r/>
            <w:r>
              <w:rPr>
                <w:rFonts w:ascii="微软雅黑" w:hAnsi="微软雅黑" w:eastAsia="微软雅黑"/>
                <w:b w:val="0"/>
                <w:sz w:val="18"/>
              </w:rPr>
              <w:t>完全响应</w:t>
            </w:r>
          </w:p>
        </w:tc>
        <w:tc>
          <w:tcPr>
            <w:tcW w:type="dxa" w:w="1860"/>
            <w:vAlign w:val="center"/>
          </w:tcPr>
          <w:p>
            <w:r/>
            <w:r>
              <w:rPr>
                <w:rFonts w:ascii="微软雅黑" w:hAnsi="微软雅黑" w:eastAsia="微软雅黑"/>
                <w:b w:val="0"/>
                <w:sz w:val="18"/>
              </w:rPr>
              <w:t>服务资源需确认</w:t>
            </w:r>
          </w:p>
        </w:tc>
      </w:tr>
    </w:tbl>
    <w:p/>
    <w:p>
      <w:r>
        <w:br w:type="page"/>
      </w:r>
    </w:p>
    <w:p>
      <w:pPr>
        <w:pStyle w:val="Heading1"/>
      </w:pPr>
      <w:r>
        <w:rPr>
          <w:rFonts w:ascii="微软雅黑" w:hAnsi="微软雅黑" w:eastAsia="微软雅黑"/>
          <w:b/>
          <w:color w:val="12324A"/>
          <w:sz w:val="32"/>
        </w:rPr>
        <w:t>第二册 技术响应文件</w:t>
      </w:r>
    </w:p>
    <w:p>
      <w:r>
        <w:rPr>
          <w:rFonts w:ascii="微软雅黑" w:hAnsi="微软雅黑" w:eastAsia="微软雅黑"/>
          <w:b w:val="0"/>
          <w:sz w:val="21"/>
        </w:rPr>
        <w:t>本项目建设内容包括智能称重设备、档口消费设备、智能绑盘机、小卖部消费设备及配套智慧食堂管理软件。系统建成后应达到减少浪费、提升职工体验、运营管理更便捷、营养健康管理看得见的目标。</w:t>
      </w:r>
    </w:p>
    <w:p>
      <w:r>
        <w:rPr>
          <w:rFonts w:ascii="微软雅黑" w:hAnsi="微软雅黑" w:eastAsia="微软雅黑"/>
          <w:b w:val="0"/>
          <w:sz w:val="21"/>
        </w:rPr>
        <w:t>方案采用管理后台、移动服务、智能终端、接口集成和数据分析五层架构。管理后台负责人员、部门、身份、卡务、账户、补贴、订单、退款、报表、营养、菜品、设备、权限和人脸管理；移动端负责职工账户、消费码、健康档案、订餐、订单和营养报告；智能终端负责称重、绑盘、消费和小卖部售卖；接口层负责与HIS、营养管理、门禁、停车等系统进行标准对接。</w:t>
      </w:r>
    </w:p>
    <w:p>
      <w:r>
        <w:rPr>
          <w:rFonts w:ascii="微软雅黑" w:hAnsi="微软雅黑" w:eastAsia="微软雅黑"/>
          <w:b w:val="0"/>
          <w:sz w:val="21"/>
        </w:rPr>
        <w:t>系统以人、盘、菜、重量、价格、营养和订单为核心数据对象，保证称重消费、托盘绑定、营养记录、账户扣费和后台报表的一致性。针对现有称重称和扫码盘，项目实施阶段应先完成设备品牌、型号、协议、码制和稳定性核验，再决定利旧对接或回收处理。</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324"/>
            <w:vAlign w:val="center"/>
            <w:shd w:fill="D9EAF7"/>
          </w:tcPr>
          <w:p>
            <w:r/>
            <w:r>
              <w:rPr>
                <w:rFonts w:ascii="微软雅黑" w:hAnsi="微软雅黑" w:eastAsia="微软雅黑"/>
                <w:b/>
                <w:sz w:val="18"/>
              </w:rPr>
              <w:t>类别</w:t>
            </w:r>
          </w:p>
        </w:tc>
        <w:tc>
          <w:tcPr>
            <w:tcW w:type="dxa" w:w="2324"/>
            <w:vAlign w:val="center"/>
            <w:shd w:fill="D9EAF7"/>
          </w:tcPr>
          <w:p>
            <w:r/>
            <w:r>
              <w:rPr>
                <w:rFonts w:ascii="微软雅黑" w:hAnsi="微软雅黑" w:eastAsia="微软雅黑"/>
                <w:b/>
                <w:sz w:val="18"/>
              </w:rPr>
              <w:t>条款数</w:t>
            </w:r>
          </w:p>
        </w:tc>
        <w:tc>
          <w:tcPr>
            <w:tcW w:type="dxa" w:w="2324"/>
            <w:vAlign w:val="center"/>
            <w:shd w:fill="D9EAF7"/>
          </w:tcPr>
          <w:p>
            <w:r/>
            <w:r>
              <w:rPr>
                <w:rFonts w:ascii="微软雅黑" w:hAnsi="微软雅黑" w:eastAsia="微软雅黑"/>
                <w:b/>
                <w:sz w:val="18"/>
              </w:rPr>
              <w:t>响应策略</w:t>
            </w:r>
          </w:p>
        </w:tc>
        <w:tc>
          <w:tcPr>
            <w:tcW w:type="dxa" w:w="2324"/>
            <w:vAlign w:val="center"/>
            <w:shd w:fill="D9EAF7"/>
          </w:tcPr>
          <w:p>
            <w:r/>
            <w:r>
              <w:rPr>
                <w:rFonts w:ascii="微软雅黑" w:hAnsi="微软雅黑" w:eastAsia="微软雅黑"/>
                <w:b/>
                <w:sz w:val="18"/>
              </w:rPr>
              <w:t>关键证明</w:t>
            </w:r>
          </w:p>
        </w:tc>
      </w:tr>
      <w:tr>
        <w:tc>
          <w:tcPr>
            <w:tcW w:type="dxa" w:w="2324"/>
            <w:vAlign w:val="center"/>
          </w:tcPr>
          <w:p>
            <w:r/>
            <w:r>
              <w:rPr>
                <w:rFonts w:ascii="微软雅黑" w:hAnsi="微软雅黑" w:eastAsia="微软雅黑"/>
                <w:b w:val="0"/>
                <w:sz w:val="18"/>
              </w:rPr>
              <w:t>付款条款</w:t>
            </w:r>
          </w:p>
        </w:tc>
        <w:tc>
          <w:tcPr>
            <w:tcW w:type="dxa" w:w="2324"/>
            <w:vAlign w:val="center"/>
          </w:tcPr>
          <w:p>
            <w:r/>
            <w:r>
              <w:rPr>
                <w:rFonts w:ascii="微软雅黑" w:hAnsi="微软雅黑" w:eastAsia="微软雅黑"/>
                <w:b w:val="0"/>
                <w:sz w:val="18"/>
              </w:rPr>
              <w:t>1</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售后服务</w:t>
            </w:r>
          </w:p>
        </w:tc>
        <w:tc>
          <w:tcPr>
            <w:tcW w:type="dxa" w:w="2324"/>
            <w:vAlign w:val="center"/>
          </w:tcPr>
          <w:p>
            <w:r/>
            <w:r>
              <w:rPr>
                <w:rFonts w:ascii="微软雅黑" w:hAnsi="微软雅黑" w:eastAsia="微软雅黑"/>
                <w:b w:val="0"/>
                <w:sz w:val="18"/>
              </w:rPr>
              <w:t>3</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接口开放</w:t>
            </w:r>
          </w:p>
        </w:tc>
        <w:tc>
          <w:tcPr>
            <w:tcW w:type="dxa" w:w="2324"/>
            <w:vAlign w:val="center"/>
          </w:tcPr>
          <w:p>
            <w:r/>
            <w:r>
              <w:rPr>
                <w:rFonts w:ascii="微软雅黑" w:hAnsi="微软雅黑" w:eastAsia="微软雅黑"/>
                <w:b w:val="0"/>
                <w:sz w:val="18"/>
              </w:rPr>
              <w:t>1</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智慧食堂管理系统（PC)</w:t>
            </w:r>
          </w:p>
        </w:tc>
        <w:tc>
          <w:tcPr>
            <w:tcW w:type="dxa" w:w="2324"/>
            <w:vAlign w:val="center"/>
          </w:tcPr>
          <w:p>
            <w:r/>
            <w:r>
              <w:rPr>
                <w:rFonts w:ascii="微软雅黑" w:hAnsi="微软雅黑" w:eastAsia="微软雅黑"/>
                <w:b w:val="0"/>
                <w:sz w:val="18"/>
              </w:rPr>
              <w:t>52</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智慧食堂管理系统（手机端）</w:t>
            </w:r>
          </w:p>
        </w:tc>
        <w:tc>
          <w:tcPr>
            <w:tcW w:type="dxa" w:w="2324"/>
            <w:vAlign w:val="center"/>
          </w:tcPr>
          <w:p>
            <w:r/>
            <w:r>
              <w:rPr>
                <w:rFonts w:ascii="微软雅黑" w:hAnsi="微软雅黑" w:eastAsia="微软雅黑"/>
                <w:b w:val="0"/>
                <w:sz w:val="18"/>
              </w:rPr>
              <w:t>16</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智能硬件-利旧事项</w:t>
            </w:r>
          </w:p>
        </w:tc>
        <w:tc>
          <w:tcPr>
            <w:tcW w:type="dxa" w:w="2324"/>
            <w:vAlign w:val="center"/>
          </w:tcPr>
          <w:p>
            <w:r/>
            <w:r>
              <w:rPr>
                <w:rFonts w:ascii="微软雅黑" w:hAnsi="微软雅黑" w:eastAsia="微软雅黑"/>
                <w:b w:val="0"/>
                <w:sz w:val="18"/>
              </w:rPr>
              <w:t>1</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智能硬件-双屏消费机</w:t>
            </w:r>
          </w:p>
        </w:tc>
        <w:tc>
          <w:tcPr>
            <w:tcW w:type="dxa" w:w="2324"/>
            <w:vAlign w:val="center"/>
          </w:tcPr>
          <w:p>
            <w:r/>
            <w:r>
              <w:rPr>
                <w:rFonts w:ascii="微软雅黑" w:hAnsi="微软雅黑" w:eastAsia="微软雅黑"/>
                <w:b w:val="0"/>
                <w:sz w:val="18"/>
              </w:rPr>
              <w:t>24</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智能硬件-托盘</w:t>
            </w:r>
          </w:p>
        </w:tc>
        <w:tc>
          <w:tcPr>
            <w:tcW w:type="dxa" w:w="2324"/>
            <w:vAlign w:val="center"/>
          </w:tcPr>
          <w:p>
            <w:r/>
            <w:r>
              <w:rPr>
                <w:rFonts w:ascii="微软雅黑" w:hAnsi="微软雅黑" w:eastAsia="微软雅黑"/>
                <w:b w:val="0"/>
                <w:sz w:val="18"/>
              </w:rPr>
              <w:t>1</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智能硬件-智能称重设备</w:t>
            </w:r>
          </w:p>
        </w:tc>
        <w:tc>
          <w:tcPr>
            <w:tcW w:type="dxa" w:w="2324"/>
            <w:vAlign w:val="center"/>
          </w:tcPr>
          <w:p>
            <w:r/>
            <w:r>
              <w:rPr>
                <w:rFonts w:ascii="微软雅黑" w:hAnsi="微软雅黑" w:eastAsia="微软雅黑"/>
                <w:b w:val="0"/>
                <w:sz w:val="18"/>
              </w:rPr>
              <w:t>22</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智能硬件-智能绑盘机</w:t>
            </w:r>
          </w:p>
        </w:tc>
        <w:tc>
          <w:tcPr>
            <w:tcW w:type="dxa" w:w="2324"/>
            <w:vAlign w:val="center"/>
          </w:tcPr>
          <w:p>
            <w:r/>
            <w:r>
              <w:rPr>
                <w:rFonts w:ascii="微软雅黑" w:hAnsi="微软雅黑" w:eastAsia="微软雅黑"/>
                <w:b w:val="0"/>
                <w:sz w:val="18"/>
              </w:rPr>
              <w:t>18</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智能硬件-称重消费机</w:t>
            </w:r>
          </w:p>
        </w:tc>
        <w:tc>
          <w:tcPr>
            <w:tcW w:type="dxa" w:w="2324"/>
            <w:vAlign w:val="center"/>
          </w:tcPr>
          <w:p>
            <w:r/>
            <w:r>
              <w:rPr>
                <w:rFonts w:ascii="微软雅黑" w:hAnsi="微软雅黑" w:eastAsia="微软雅黑"/>
                <w:b w:val="0"/>
                <w:sz w:val="18"/>
              </w:rPr>
              <w:t>12</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r>
        <w:tc>
          <w:tcPr>
            <w:tcW w:type="dxa" w:w="2324"/>
            <w:vAlign w:val="center"/>
          </w:tcPr>
          <w:p>
            <w:r/>
            <w:r>
              <w:rPr>
                <w:rFonts w:ascii="微软雅黑" w:hAnsi="微软雅黑" w:eastAsia="微软雅黑"/>
                <w:b w:val="0"/>
                <w:sz w:val="18"/>
              </w:rPr>
              <w:t>违约责任</w:t>
            </w:r>
          </w:p>
        </w:tc>
        <w:tc>
          <w:tcPr>
            <w:tcW w:type="dxa" w:w="2324"/>
            <w:vAlign w:val="center"/>
          </w:tcPr>
          <w:p>
            <w:r/>
            <w:r>
              <w:rPr>
                <w:rFonts w:ascii="微软雅黑" w:hAnsi="微软雅黑" w:eastAsia="微软雅黑"/>
                <w:b w:val="0"/>
                <w:sz w:val="18"/>
              </w:rPr>
              <w:t>1</w:t>
            </w:r>
          </w:p>
        </w:tc>
        <w:tc>
          <w:tcPr>
            <w:tcW w:type="dxa" w:w="2324"/>
            <w:vAlign w:val="center"/>
          </w:tcPr>
          <w:p>
            <w:r/>
            <w:r>
              <w:rPr>
                <w:rFonts w:ascii="微软雅黑" w:hAnsi="微软雅黑" w:eastAsia="微软雅黑"/>
                <w:b w:val="0"/>
                <w:sz w:val="18"/>
              </w:rPr>
              <w:t>逐项完全响应，详见附录A</w:t>
            </w:r>
          </w:p>
        </w:tc>
        <w:tc>
          <w:tcPr>
            <w:tcW w:type="dxa" w:w="2324"/>
            <w:vAlign w:val="center"/>
          </w:tcPr>
          <w:p>
            <w:r/>
            <w:r>
              <w:rPr>
                <w:rFonts w:ascii="微软雅黑" w:hAnsi="微软雅黑" w:eastAsia="微软雅黑"/>
                <w:b w:val="0"/>
                <w:sz w:val="18"/>
              </w:rPr>
              <w:t>检测报告、软著、设备参数、截图、验收记录</w:t>
            </w:r>
          </w:p>
        </w:tc>
      </w:tr>
    </w:tbl>
    <w:p/>
    <w:p>
      <w:r>
        <w:br w:type="page"/>
      </w:r>
    </w:p>
    <w:p>
      <w:pPr>
        <w:pStyle w:val="Heading1"/>
      </w:pPr>
      <w:r>
        <w:rPr>
          <w:rFonts w:ascii="微软雅黑" w:hAnsi="微软雅黑" w:eastAsia="微软雅黑"/>
          <w:b/>
          <w:color w:val="12324A"/>
          <w:sz w:val="32"/>
        </w:rPr>
        <w:t>第三册 项目实施、质量、安全、测试与培训方案</w:t>
      </w:r>
    </w:p>
    <w:p>
      <w:pPr>
        <w:pStyle w:val="Heading2"/>
      </w:pPr>
      <w:r>
        <w:rPr>
          <w:rFonts w:ascii="微软雅黑" w:hAnsi="微软雅黑" w:eastAsia="微软雅黑"/>
          <w:b/>
          <w:color w:val="12324A"/>
          <w:sz w:val="28"/>
        </w:rPr>
        <w:t>项目组织</w:t>
      </w:r>
    </w:p>
    <w:p>
      <w:r>
        <w:rPr>
          <w:rFonts w:ascii="微软雅黑" w:hAnsi="微软雅黑" w:eastAsia="微软雅黑"/>
          <w:b w:val="0"/>
          <w:sz w:val="21"/>
        </w:rPr>
        <w:t>设项目经理、技术负责人、实施工程师、接口联调工程师、培训负责人、售后负责人和商务协调人，按计划、进度、质量、风险、沟通和验收六类事项进行管理。</w:t>
      </w:r>
    </w:p>
    <w:p>
      <w:r>
        <w:rPr>
          <w:rFonts w:ascii="微软雅黑" w:hAnsi="微软雅黑" w:eastAsia="微软雅黑"/>
          <w:b w:val="0"/>
          <w:sz w:val="21"/>
        </w:rPr>
        <w:t>设项目经理、技术负责人、实施工程师、接口联调工程师、培训负责人、售后负责人和商务协调人，按计划、进度、质量、风险、沟通和验收六类事项进行管理。</w:t>
      </w:r>
    </w:p>
    <w:p>
      <w:r>
        <w:rPr>
          <w:rFonts w:ascii="微软雅黑" w:hAnsi="微软雅黑" w:eastAsia="微软雅黑"/>
          <w:b w:val="0"/>
          <w:sz w:val="21"/>
        </w:rPr>
        <w:t>设项目经理、技术负责人、实施工程师、接口联调工程师、培训负责人、售后负责人和商务协调人，按计划、进度、质量、风险、沟通和验收六类事项进行管理。</w:t>
      </w:r>
    </w:p>
    <w:p>
      <w:r>
        <w:rPr>
          <w:rFonts w:ascii="微软雅黑" w:hAnsi="微软雅黑" w:eastAsia="微软雅黑"/>
          <w:b w:val="0"/>
          <w:sz w:val="21"/>
        </w:rPr>
        <w:t>设项目经理、技术负责人、实施工程师、接口联调工程师、培训负责人、售后负责人和商务协调人，按计划、进度、质量、风险、沟通和验收六类事项进行管理。</w:t>
      </w:r>
    </w:p>
    <w:p>
      <w:pPr>
        <w:pStyle w:val="Heading2"/>
      </w:pPr>
      <w:r>
        <w:rPr>
          <w:rFonts w:ascii="微软雅黑" w:hAnsi="微软雅黑" w:eastAsia="微软雅黑"/>
          <w:b/>
          <w:color w:val="12324A"/>
          <w:sz w:val="28"/>
        </w:rPr>
        <w:t>实施阶段</w:t>
      </w:r>
    </w:p>
    <w:p>
      <w:r>
        <w:rPr>
          <w:rFonts w:ascii="微软雅黑" w:hAnsi="微软雅黑" w:eastAsia="微软雅黑"/>
          <w:b w:val="0"/>
          <w:sz w:val="21"/>
        </w:rPr>
        <w:t>实施分为项目启动、现场勘查、详细设计、设备到货、软硬件部署、基础数据准备、接口联调、系统测试、试运行、培训、验收和质保移交十二个阶段。</w:t>
      </w:r>
    </w:p>
    <w:p>
      <w:r>
        <w:rPr>
          <w:rFonts w:ascii="微软雅黑" w:hAnsi="微软雅黑" w:eastAsia="微软雅黑"/>
          <w:b w:val="0"/>
          <w:sz w:val="21"/>
        </w:rPr>
        <w:t>实施分为项目启动、现场勘查、详细设计、设备到货、软硬件部署、基础数据准备、接口联调、系统测试、试运行、培训、验收和质保移交十二个阶段。</w:t>
      </w:r>
    </w:p>
    <w:p>
      <w:r>
        <w:rPr>
          <w:rFonts w:ascii="微软雅黑" w:hAnsi="微软雅黑" w:eastAsia="微软雅黑"/>
          <w:b w:val="0"/>
          <w:sz w:val="21"/>
        </w:rPr>
        <w:t>实施分为项目启动、现场勘查、详细设计、设备到货、软硬件部署、基础数据准备、接口联调、系统测试、试运行、培训、验收和质保移交十二个阶段。</w:t>
      </w:r>
    </w:p>
    <w:p>
      <w:r>
        <w:rPr>
          <w:rFonts w:ascii="微软雅黑" w:hAnsi="微软雅黑" w:eastAsia="微软雅黑"/>
          <w:b w:val="0"/>
          <w:sz w:val="21"/>
        </w:rPr>
        <w:t>实施分为项目启动、现场勘查、详细设计、设备到货、软硬件部署、基础数据准备、接口联调、系统测试、试运行、培训、验收和质保移交十二个阶段。</w:t>
      </w:r>
    </w:p>
    <w:p>
      <w:pPr>
        <w:pStyle w:val="Heading2"/>
      </w:pPr>
      <w:r>
        <w:rPr>
          <w:rFonts w:ascii="微软雅黑" w:hAnsi="微软雅黑" w:eastAsia="微软雅黑"/>
          <w:b/>
          <w:color w:val="12324A"/>
          <w:sz w:val="28"/>
        </w:rPr>
        <w:t>现场勘查</w:t>
      </w:r>
    </w:p>
    <w:p>
      <w:r>
        <w:rPr>
          <w:rFonts w:ascii="微软雅黑" w:hAnsi="微软雅黑" w:eastAsia="微软雅黑"/>
          <w:b w:val="0"/>
          <w:sz w:val="21"/>
        </w:rPr>
        <w:t>现场勘查覆盖餐厅动线、档口布局、称重点位、电源网络、现有称重称、扫码盘、托盘、就餐峰值、餐别时段、支付方式和接口环境。</w:t>
      </w:r>
    </w:p>
    <w:p>
      <w:r>
        <w:rPr>
          <w:rFonts w:ascii="微软雅黑" w:hAnsi="微软雅黑" w:eastAsia="微软雅黑"/>
          <w:b w:val="0"/>
          <w:sz w:val="21"/>
        </w:rPr>
        <w:t>现场勘查覆盖餐厅动线、档口布局、称重点位、电源网络、现有称重称、扫码盘、托盘、就餐峰值、餐别时段、支付方式和接口环境。</w:t>
      </w:r>
    </w:p>
    <w:p>
      <w:r>
        <w:rPr>
          <w:rFonts w:ascii="微软雅黑" w:hAnsi="微软雅黑" w:eastAsia="微软雅黑"/>
          <w:b w:val="0"/>
          <w:sz w:val="21"/>
        </w:rPr>
        <w:t>现场勘查覆盖餐厅动线、档口布局、称重点位、电源网络、现有称重称、扫码盘、托盘、就餐峰值、餐别时段、支付方式和接口环境。</w:t>
      </w:r>
    </w:p>
    <w:p>
      <w:r>
        <w:rPr>
          <w:rFonts w:ascii="微软雅黑" w:hAnsi="微软雅黑" w:eastAsia="微软雅黑"/>
          <w:b w:val="0"/>
          <w:sz w:val="21"/>
        </w:rPr>
        <w:t>现场勘查覆盖餐厅动线、档口布局、称重点位、电源网络、现有称重称、扫码盘、托盘、就餐峰值、餐别时段、支付方式和接口环境。</w:t>
      </w:r>
    </w:p>
    <w:p>
      <w:pPr>
        <w:pStyle w:val="Heading2"/>
      </w:pPr>
      <w:r>
        <w:rPr>
          <w:rFonts w:ascii="微软雅黑" w:hAnsi="微软雅黑" w:eastAsia="微软雅黑"/>
          <w:b/>
          <w:color w:val="12324A"/>
          <w:sz w:val="28"/>
        </w:rPr>
        <w:t>测试验收</w:t>
      </w:r>
    </w:p>
    <w:p>
      <w:r>
        <w:rPr>
          <w:rFonts w:ascii="微软雅黑" w:hAnsi="微软雅黑" w:eastAsia="微软雅黑"/>
          <w:b w:val="0"/>
          <w:sz w:val="21"/>
        </w:rPr>
        <w:t>测试覆盖人员、卡务、人脸、托盘绑定、称重消费、档口消费、小卖部消费、订单同步、补贴、报表、营养分析、断网同步、压秤报警、防逃费、接口和权限。</w:t>
      </w:r>
    </w:p>
    <w:p>
      <w:r>
        <w:rPr>
          <w:rFonts w:ascii="微软雅黑" w:hAnsi="微软雅黑" w:eastAsia="微软雅黑"/>
          <w:b w:val="0"/>
          <w:sz w:val="21"/>
        </w:rPr>
        <w:t>测试覆盖人员、卡务、人脸、托盘绑定、称重消费、档口消费、小卖部消费、订单同步、补贴、报表、营养分析、断网同步、压秤报警、防逃费、接口和权限。</w:t>
      </w:r>
    </w:p>
    <w:p>
      <w:r>
        <w:rPr>
          <w:rFonts w:ascii="微软雅黑" w:hAnsi="微软雅黑" w:eastAsia="微软雅黑"/>
          <w:b w:val="0"/>
          <w:sz w:val="21"/>
        </w:rPr>
        <w:t>测试覆盖人员、卡务、人脸、托盘绑定、称重消费、档口消费、小卖部消费、订单同步、补贴、报表、营养分析、断网同步、压秤报警、防逃费、接口和权限。</w:t>
      </w:r>
    </w:p>
    <w:p>
      <w:r>
        <w:rPr>
          <w:rFonts w:ascii="微软雅黑" w:hAnsi="微软雅黑" w:eastAsia="微软雅黑"/>
          <w:b w:val="0"/>
          <w:sz w:val="21"/>
        </w:rPr>
        <w:t>测试覆盖人员、卡务、人脸、托盘绑定、称重消费、档口消费、小卖部消费、订单同步、补贴、报表、营养分析、断网同步、压秤报警、防逃费、接口和权限。</w:t>
      </w:r>
    </w:p>
    <w:p>
      <w:pPr>
        <w:pStyle w:val="Heading2"/>
      </w:pPr>
      <w:r>
        <w:rPr>
          <w:rFonts w:ascii="微软雅黑" w:hAnsi="微软雅黑" w:eastAsia="微软雅黑"/>
          <w:b/>
          <w:color w:val="12324A"/>
          <w:sz w:val="28"/>
        </w:rPr>
        <w:t>培训交付</w:t>
      </w:r>
    </w:p>
    <w:p>
      <w:r>
        <w:rPr>
          <w:rFonts w:ascii="微软雅黑" w:hAnsi="微软雅黑" w:eastAsia="微软雅黑"/>
          <w:b w:val="0"/>
          <w:sz w:val="21"/>
        </w:rPr>
        <w:t>培训面向管理员、后勤运营、财务审核、档口人员、运维人员和售后对接人，形成培训课件、签到表和常见问题清单。</w:t>
      </w:r>
    </w:p>
    <w:p>
      <w:r>
        <w:rPr>
          <w:rFonts w:ascii="微软雅黑" w:hAnsi="微软雅黑" w:eastAsia="微软雅黑"/>
          <w:b w:val="0"/>
          <w:sz w:val="21"/>
        </w:rPr>
        <w:t>培训面向管理员、后勤运营、财务审核、档口人员、运维人员和售后对接人，形成培训课件、签到表和常见问题清单。</w:t>
      </w:r>
    </w:p>
    <w:p>
      <w:r>
        <w:rPr>
          <w:rFonts w:ascii="微软雅黑" w:hAnsi="微软雅黑" w:eastAsia="微软雅黑"/>
          <w:b w:val="0"/>
          <w:sz w:val="21"/>
        </w:rPr>
        <w:t>培训面向管理员、后勤运营、财务审核、档口人员、运维人员和售后对接人，形成培训课件、签到表和常见问题清单。</w:t>
      </w:r>
    </w:p>
    <w:p>
      <w:r>
        <w:rPr>
          <w:rFonts w:ascii="微软雅黑" w:hAnsi="微软雅黑" w:eastAsia="微软雅黑"/>
          <w:b w:val="0"/>
          <w:sz w:val="21"/>
        </w:rPr>
        <w:t>培训面向管理员、后勤运营、财务审核、档口人员、运维人员和售后对接人，形成培训课件、签到表和常见问题清单。</w:t>
      </w:r>
    </w:p>
    <w:p>
      <w:r>
        <w:br w:type="page"/>
      </w:r>
    </w:p>
    <w:p>
      <w:pPr>
        <w:pStyle w:val="Heading1"/>
      </w:pPr>
      <w:r>
        <w:rPr>
          <w:rFonts w:ascii="微软雅黑" w:hAnsi="微软雅黑" w:eastAsia="微软雅黑"/>
          <w:b/>
          <w:color w:val="12324A"/>
          <w:sz w:val="32"/>
        </w:rPr>
        <w:t>第四册 售后服务、质保与运维方案</w:t>
      </w:r>
    </w:p>
    <w:p>
      <w:pPr>
        <w:pStyle w:val="Heading2"/>
      </w:pPr>
      <w:r>
        <w:rPr>
          <w:rFonts w:ascii="微软雅黑" w:hAnsi="微软雅黑" w:eastAsia="微软雅黑"/>
          <w:b/>
          <w:color w:val="12324A"/>
          <w:sz w:val="28"/>
        </w:rPr>
        <w:t>质保承诺</w:t>
      </w:r>
    </w:p>
    <w:p>
      <w:r>
        <w:rPr>
          <w:rFonts w:ascii="微软雅黑" w:hAnsi="微软雅黑" w:eastAsia="微软雅黑"/>
          <w:b w:val="0"/>
          <w:sz w:val="21"/>
        </w:rPr>
        <w:t>产品质保期不低于1年，自产品验收合格之日起计算。质保期内出现非人为或不可抗力造成的质量问题，由供应商免费维修或更换。</w:t>
      </w:r>
    </w:p>
    <w:p>
      <w:r>
        <w:rPr>
          <w:rFonts w:ascii="微软雅黑" w:hAnsi="微软雅黑" w:eastAsia="微软雅黑"/>
          <w:b w:val="0"/>
          <w:sz w:val="21"/>
        </w:rPr>
        <w:t>产品质保期不低于1年，自产品验收合格之日起计算。质保期内出现非人为或不可抗力造成的质量问题，由供应商免费维修或更换。</w:t>
      </w:r>
    </w:p>
    <w:p>
      <w:r>
        <w:rPr>
          <w:rFonts w:ascii="微软雅黑" w:hAnsi="微软雅黑" w:eastAsia="微软雅黑"/>
          <w:b w:val="0"/>
          <w:sz w:val="21"/>
        </w:rPr>
        <w:t>产品质保期不低于1年，自产品验收合格之日起计算。质保期内出现非人为或不可抗力造成的质量问题，由供应商免费维修或更换。</w:t>
      </w:r>
    </w:p>
    <w:p>
      <w:r>
        <w:rPr>
          <w:rFonts w:ascii="微软雅黑" w:hAnsi="微软雅黑" w:eastAsia="微软雅黑"/>
          <w:b w:val="0"/>
          <w:sz w:val="21"/>
        </w:rPr>
        <w:t>产品质保期不低于1年，自产品验收合格之日起计算。质保期内出现非人为或不可抗力造成的质量问题，由供应商免费维修或更换。</w:t>
      </w:r>
    </w:p>
    <w:p>
      <w:pPr>
        <w:pStyle w:val="Heading2"/>
      </w:pPr>
      <w:r>
        <w:rPr>
          <w:rFonts w:ascii="微软雅黑" w:hAnsi="微软雅黑" w:eastAsia="微软雅黑"/>
          <w:b/>
          <w:color w:val="12324A"/>
          <w:sz w:val="28"/>
        </w:rPr>
        <w:t>响应机制</w:t>
      </w:r>
    </w:p>
    <w:p>
      <w:r>
        <w:rPr>
          <w:rFonts w:ascii="微软雅黑" w:hAnsi="微软雅黑" w:eastAsia="微软雅黑"/>
          <w:b w:val="0"/>
          <w:sz w:val="21"/>
        </w:rPr>
        <w:t>提供7*24小时技术咨询服务。电话支持不能排除故障时，按采购文件要求派工程师携带备件提供现场维修。</w:t>
      </w:r>
    </w:p>
    <w:p>
      <w:r>
        <w:rPr>
          <w:rFonts w:ascii="微软雅黑" w:hAnsi="微软雅黑" w:eastAsia="微软雅黑"/>
          <w:b w:val="0"/>
          <w:sz w:val="21"/>
        </w:rPr>
        <w:t>提供7*24小时技术咨询服务。电话支持不能排除故障时，按采购文件要求派工程师携带备件提供现场维修。</w:t>
      </w:r>
    </w:p>
    <w:p>
      <w:r>
        <w:rPr>
          <w:rFonts w:ascii="微软雅黑" w:hAnsi="微软雅黑" w:eastAsia="微软雅黑"/>
          <w:b w:val="0"/>
          <w:sz w:val="21"/>
        </w:rPr>
        <w:t>提供7*24小时技术咨询服务。电话支持不能排除故障时，按采购文件要求派工程师携带备件提供现场维修。</w:t>
      </w:r>
    </w:p>
    <w:p>
      <w:r>
        <w:rPr>
          <w:rFonts w:ascii="微软雅黑" w:hAnsi="微软雅黑" w:eastAsia="微软雅黑"/>
          <w:b w:val="0"/>
          <w:sz w:val="21"/>
        </w:rPr>
        <w:t>提供7*24小时技术咨询服务。电话支持不能排除故障时，按采购文件要求派工程师携带备件提供现场维修。</w:t>
      </w:r>
    </w:p>
    <w:p>
      <w:pPr>
        <w:pStyle w:val="Heading2"/>
      </w:pPr>
      <w:r>
        <w:rPr>
          <w:rFonts w:ascii="微软雅黑" w:hAnsi="微软雅黑" w:eastAsia="微软雅黑"/>
          <w:b/>
          <w:color w:val="12324A"/>
          <w:sz w:val="28"/>
        </w:rPr>
        <w:t>备品备件</w:t>
      </w:r>
    </w:p>
    <w:p>
      <w:r>
        <w:rPr>
          <w:rFonts w:ascii="微软雅黑" w:hAnsi="微软雅黑" w:eastAsia="微软雅黑"/>
          <w:b w:val="0"/>
          <w:sz w:val="21"/>
        </w:rPr>
        <w:t>建立与智能称重设备、绑盘机、消费机、扫码模块、读卡模块、网络配件和电源相关的备品备件清单。</w:t>
      </w:r>
    </w:p>
    <w:p>
      <w:r>
        <w:rPr>
          <w:rFonts w:ascii="微软雅黑" w:hAnsi="微软雅黑" w:eastAsia="微软雅黑"/>
          <w:b w:val="0"/>
          <w:sz w:val="21"/>
        </w:rPr>
        <w:t>建立与智能称重设备、绑盘机、消费机、扫码模块、读卡模块、网络配件和电源相关的备品备件清单。</w:t>
      </w:r>
    </w:p>
    <w:p>
      <w:r>
        <w:rPr>
          <w:rFonts w:ascii="微软雅黑" w:hAnsi="微软雅黑" w:eastAsia="微软雅黑"/>
          <w:b w:val="0"/>
          <w:sz w:val="21"/>
        </w:rPr>
        <w:t>建立与智能称重设备、绑盘机、消费机、扫码模块、读卡模块、网络配件和电源相关的备品备件清单。</w:t>
      </w:r>
    </w:p>
    <w:p>
      <w:r>
        <w:rPr>
          <w:rFonts w:ascii="微软雅黑" w:hAnsi="微软雅黑" w:eastAsia="微软雅黑"/>
          <w:b w:val="0"/>
          <w:sz w:val="21"/>
        </w:rPr>
        <w:t>建立与智能称重设备、绑盘机、消费机、扫码模块、读卡模块、网络配件和电源相关的备品备件清单。</w:t>
      </w:r>
    </w:p>
    <w:p>
      <w:pPr>
        <w:pStyle w:val="Heading2"/>
      </w:pPr>
      <w:r>
        <w:rPr>
          <w:rFonts w:ascii="微软雅黑" w:hAnsi="微软雅黑" w:eastAsia="微软雅黑"/>
          <w:b/>
          <w:color w:val="12324A"/>
          <w:sz w:val="28"/>
        </w:rPr>
        <w:t>软件升级</w:t>
      </w:r>
    </w:p>
    <w:p>
      <w:r>
        <w:rPr>
          <w:rFonts w:ascii="微软雅黑" w:hAnsi="微软雅黑" w:eastAsia="微软雅黑"/>
          <w:b w:val="0"/>
          <w:sz w:val="21"/>
        </w:rPr>
        <w:t>质保期内提供必要的软件问题修复和升级服务，升级前评估影响，升级后执行核心流程回归验证。</w:t>
      </w:r>
    </w:p>
    <w:p>
      <w:r>
        <w:rPr>
          <w:rFonts w:ascii="微软雅黑" w:hAnsi="微软雅黑" w:eastAsia="微软雅黑"/>
          <w:b w:val="0"/>
          <w:sz w:val="21"/>
        </w:rPr>
        <w:t>质保期内提供必要的软件问题修复和升级服务，升级前评估影响，升级后执行核心流程回归验证。</w:t>
      </w:r>
    </w:p>
    <w:p>
      <w:r>
        <w:rPr>
          <w:rFonts w:ascii="微软雅黑" w:hAnsi="微软雅黑" w:eastAsia="微软雅黑"/>
          <w:b w:val="0"/>
          <w:sz w:val="21"/>
        </w:rPr>
        <w:t>质保期内提供必要的软件问题修复和升级服务，升级前评估影响，升级后执行核心流程回归验证。</w:t>
      </w:r>
    </w:p>
    <w:p>
      <w:r>
        <w:rPr>
          <w:rFonts w:ascii="微软雅黑" w:hAnsi="微软雅黑" w:eastAsia="微软雅黑"/>
          <w:b w:val="0"/>
          <w:sz w:val="21"/>
        </w:rPr>
        <w:t>质保期内提供必要的软件问题修复和升级服务，升级前评估影响，升级后执行核心流程回归验证。</w:t>
      </w:r>
    </w:p>
    <w:p>
      <w:pPr>
        <w:pStyle w:val="Heading2"/>
      </w:pPr>
      <w:r>
        <w:rPr>
          <w:rFonts w:ascii="微软雅黑" w:hAnsi="微软雅黑" w:eastAsia="微软雅黑"/>
          <w:b/>
          <w:color w:val="12324A"/>
          <w:sz w:val="28"/>
        </w:rPr>
        <w:t>问题闭环</w:t>
      </w:r>
    </w:p>
    <w:p>
      <w:r>
        <w:rPr>
          <w:rFonts w:ascii="微软雅黑" w:hAnsi="微软雅黑" w:eastAsia="微软雅黑"/>
          <w:b w:val="0"/>
          <w:sz w:val="21"/>
        </w:rPr>
        <w:t>问题按受理、分类、定位、处理、复测、确认、归档流程闭环，重大问题形成专项报告。</w:t>
      </w:r>
    </w:p>
    <w:p>
      <w:r>
        <w:rPr>
          <w:rFonts w:ascii="微软雅黑" w:hAnsi="微软雅黑" w:eastAsia="微软雅黑"/>
          <w:b w:val="0"/>
          <w:sz w:val="21"/>
        </w:rPr>
        <w:t>问题按受理、分类、定位、处理、复测、确认、归档流程闭环，重大问题形成专项报告。</w:t>
      </w:r>
    </w:p>
    <w:p>
      <w:r>
        <w:rPr>
          <w:rFonts w:ascii="微软雅黑" w:hAnsi="微软雅黑" w:eastAsia="微软雅黑"/>
          <w:b w:val="0"/>
          <w:sz w:val="21"/>
        </w:rPr>
        <w:t>问题按受理、分类、定位、处理、复测、确认、归档流程闭环，重大问题形成专项报告。</w:t>
      </w:r>
    </w:p>
    <w:p>
      <w:r>
        <w:rPr>
          <w:rFonts w:ascii="微软雅黑" w:hAnsi="微软雅黑" w:eastAsia="微软雅黑"/>
          <w:b w:val="0"/>
          <w:sz w:val="21"/>
        </w:rPr>
        <w:t>问题按受理、分类、定位、处理、复测、确认、归档流程闭环，重大问题形成专项报告。</w:t>
      </w:r>
    </w:p>
    <w:p>
      <w:r>
        <w:br w:type="page"/>
      </w:r>
    </w:p>
    <w:p>
      <w:pPr>
        <w:pStyle w:val="Heading1"/>
      </w:pPr>
      <w:r>
        <w:rPr>
          <w:rFonts w:ascii="微软雅黑" w:hAnsi="微软雅黑" w:eastAsia="微软雅黑"/>
          <w:b/>
          <w:color w:val="12324A"/>
          <w:sz w:val="32"/>
        </w:rPr>
        <w:t>第五册 附件目录、补证清单与人工审核清单</w:t>
      </w:r>
    </w:p>
    <w:tbl>
      <w:tblPr>
        <w:tblStyle w:val="TableGrid"/>
        <w:tblW w:type="auto" w:w="0"/>
        <w:jc w:val="center"/>
        <w:tblLook w:firstColumn="1" w:firstRow="1" w:lastColumn="0" w:lastRow="0" w:noHBand="0" w:noVBand="1" w:val="04A0"/>
      </w:tblPr>
      <w:tblGrid>
        <w:gridCol w:w="2324"/>
        <w:gridCol w:w="2324"/>
        <w:gridCol w:w="2324"/>
        <w:gridCol w:w="2324"/>
      </w:tblGrid>
      <w:tr>
        <w:tc>
          <w:tcPr>
            <w:tcW w:type="dxa" w:w="2324"/>
            <w:vAlign w:val="center"/>
            <w:shd w:fill="D9EAF7"/>
          </w:tcPr>
          <w:p>
            <w:r/>
            <w:r>
              <w:rPr>
                <w:rFonts w:ascii="微软雅黑" w:hAnsi="微软雅黑" w:eastAsia="微软雅黑"/>
                <w:b/>
                <w:sz w:val="18"/>
              </w:rPr>
              <w:t>序号</w:t>
            </w:r>
          </w:p>
        </w:tc>
        <w:tc>
          <w:tcPr>
            <w:tcW w:type="dxa" w:w="2324"/>
            <w:vAlign w:val="center"/>
            <w:shd w:fill="D9EAF7"/>
          </w:tcPr>
          <w:p>
            <w:r/>
            <w:r>
              <w:rPr>
                <w:rFonts w:ascii="微软雅黑" w:hAnsi="微软雅黑" w:eastAsia="微软雅黑"/>
                <w:b/>
                <w:sz w:val="18"/>
              </w:rPr>
              <w:t>附件名称</w:t>
            </w:r>
          </w:p>
        </w:tc>
        <w:tc>
          <w:tcPr>
            <w:tcW w:type="dxa" w:w="2324"/>
            <w:vAlign w:val="center"/>
            <w:shd w:fill="D9EAF7"/>
          </w:tcPr>
          <w:p>
            <w:r/>
            <w:r>
              <w:rPr>
                <w:rFonts w:ascii="微软雅黑" w:hAnsi="微软雅黑" w:eastAsia="微软雅黑"/>
                <w:b/>
                <w:sz w:val="18"/>
              </w:rPr>
              <w:t>用途</w:t>
            </w:r>
          </w:p>
        </w:tc>
        <w:tc>
          <w:tcPr>
            <w:tcW w:type="dxa" w:w="2324"/>
            <w:vAlign w:val="center"/>
            <w:shd w:fill="D9EAF7"/>
          </w:tcPr>
          <w:p>
            <w:r/>
            <w:r>
              <w:rPr>
                <w:rFonts w:ascii="微软雅黑" w:hAnsi="微软雅黑" w:eastAsia="微软雅黑"/>
                <w:b/>
                <w:sz w:val="18"/>
              </w:rPr>
              <w:t>状态</w:t>
            </w:r>
          </w:p>
        </w:tc>
      </w:tr>
      <w:tr>
        <w:tc>
          <w:tcPr>
            <w:tcW w:type="dxa" w:w="2324"/>
            <w:vAlign w:val="center"/>
          </w:tcPr>
          <w:p>
            <w:r/>
            <w:r>
              <w:rPr>
                <w:rFonts w:ascii="微软雅黑" w:hAnsi="微软雅黑" w:eastAsia="微软雅黑"/>
                <w:b w:val="0"/>
                <w:sz w:val="18"/>
              </w:rPr>
              <w:t>1</w:t>
            </w:r>
          </w:p>
        </w:tc>
        <w:tc>
          <w:tcPr>
            <w:tcW w:type="dxa" w:w="2324"/>
            <w:vAlign w:val="center"/>
          </w:tcPr>
          <w:p>
            <w:r/>
            <w:r>
              <w:rPr>
                <w:rFonts w:ascii="微软雅黑" w:hAnsi="微软雅黑" w:eastAsia="微软雅黑"/>
                <w:b w:val="0"/>
                <w:sz w:val="18"/>
              </w:rPr>
              <w:t>营业执照复印件</w:t>
            </w:r>
          </w:p>
        </w:tc>
        <w:tc>
          <w:tcPr>
            <w:tcW w:type="dxa" w:w="2324"/>
            <w:vAlign w:val="center"/>
          </w:tcPr>
          <w:p>
            <w:r/>
            <w:r>
              <w:rPr>
                <w:rFonts w:ascii="微软雅黑" w:hAnsi="微软雅黑" w:eastAsia="微软雅黑"/>
                <w:b w:val="0"/>
                <w:sz w:val="18"/>
              </w:rPr>
              <w:t>资格审查</w:t>
            </w:r>
          </w:p>
        </w:tc>
        <w:tc>
          <w:tcPr>
            <w:tcW w:type="dxa" w:w="2324"/>
            <w:vAlign w:val="center"/>
          </w:tcPr>
          <w:p>
            <w:r/>
            <w:r>
              <w:rPr>
                <w:rFonts w:ascii="微软雅黑" w:hAnsi="微软雅黑" w:eastAsia="微软雅黑"/>
                <w:b w:val="0"/>
                <w:sz w:val="18"/>
              </w:rPr>
              <w:t>待补盖章件</w:t>
            </w:r>
          </w:p>
        </w:tc>
      </w:tr>
      <w:tr>
        <w:tc>
          <w:tcPr>
            <w:tcW w:type="dxa" w:w="2324"/>
            <w:vAlign w:val="center"/>
          </w:tcPr>
          <w:p>
            <w:r/>
            <w:r>
              <w:rPr>
                <w:rFonts w:ascii="微软雅黑" w:hAnsi="微软雅黑" w:eastAsia="微软雅黑"/>
                <w:b w:val="0"/>
                <w:sz w:val="18"/>
              </w:rPr>
              <w:t>2</w:t>
            </w:r>
          </w:p>
        </w:tc>
        <w:tc>
          <w:tcPr>
            <w:tcW w:type="dxa" w:w="2324"/>
            <w:vAlign w:val="center"/>
          </w:tcPr>
          <w:p>
            <w:r/>
            <w:r>
              <w:rPr>
                <w:rFonts w:ascii="微软雅黑" w:hAnsi="微软雅黑" w:eastAsia="微软雅黑"/>
                <w:b w:val="0"/>
                <w:sz w:val="18"/>
              </w:rPr>
              <w:t>信用查询截图</w:t>
            </w:r>
          </w:p>
        </w:tc>
        <w:tc>
          <w:tcPr>
            <w:tcW w:type="dxa" w:w="2324"/>
            <w:vAlign w:val="center"/>
          </w:tcPr>
          <w:p>
            <w:r/>
            <w:r>
              <w:rPr>
                <w:rFonts w:ascii="微软雅黑" w:hAnsi="微软雅黑" w:eastAsia="微软雅黑"/>
                <w:b w:val="0"/>
                <w:sz w:val="18"/>
              </w:rPr>
              <w:t>资格审查</w:t>
            </w:r>
          </w:p>
        </w:tc>
        <w:tc>
          <w:tcPr>
            <w:tcW w:type="dxa" w:w="2324"/>
            <w:vAlign w:val="center"/>
          </w:tcPr>
          <w:p>
            <w:r/>
            <w:r>
              <w:rPr>
                <w:rFonts w:ascii="微软雅黑" w:hAnsi="微软雅黑" w:eastAsia="微软雅黑"/>
                <w:b w:val="0"/>
                <w:sz w:val="18"/>
              </w:rPr>
              <w:t>待补最新截图</w:t>
            </w:r>
          </w:p>
        </w:tc>
      </w:tr>
      <w:tr>
        <w:tc>
          <w:tcPr>
            <w:tcW w:type="dxa" w:w="2324"/>
            <w:vAlign w:val="center"/>
          </w:tcPr>
          <w:p>
            <w:r/>
            <w:r>
              <w:rPr>
                <w:rFonts w:ascii="微软雅黑" w:hAnsi="微软雅黑" w:eastAsia="微软雅黑"/>
                <w:b w:val="0"/>
                <w:sz w:val="18"/>
              </w:rPr>
              <w:t>3</w:t>
            </w:r>
          </w:p>
        </w:tc>
        <w:tc>
          <w:tcPr>
            <w:tcW w:type="dxa" w:w="2324"/>
            <w:vAlign w:val="center"/>
          </w:tcPr>
          <w:p>
            <w:r/>
            <w:r>
              <w:rPr>
                <w:rFonts w:ascii="微软雅黑" w:hAnsi="微软雅黑" w:eastAsia="微软雅黑"/>
                <w:b w:val="0"/>
                <w:sz w:val="18"/>
              </w:rPr>
              <w:t>检测报告或检验报告</w:t>
            </w:r>
          </w:p>
        </w:tc>
        <w:tc>
          <w:tcPr>
            <w:tcW w:type="dxa" w:w="2324"/>
            <w:vAlign w:val="center"/>
          </w:tcPr>
          <w:p>
            <w:r/>
            <w:r>
              <w:rPr>
                <w:rFonts w:ascii="微软雅黑" w:hAnsi="微软雅黑" w:eastAsia="微软雅黑"/>
                <w:b w:val="0"/>
                <w:sz w:val="18"/>
              </w:rPr>
              <w:t>技术支撑</w:t>
            </w:r>
          </w:p>
        </w:tc>
        <w:tc>
          <w:tcPr>
            <w:tcW w:type="dxa" w:w="2324"/>
            <w:vAlign w:val="center"/>
          </w:tcPr>
          <w:p>
            <w:r/>
            <w:r>
              <w:rPr>
                <w:rFonts w:ascii="微软雅黑" w:hAnsi="微软雅黑" w:eastAsia="微软雅黑"/>
                <w:b w:val="0"/>
                <w:sz w:val="18"/>
              </w:rPr>
              <w:t>按功能项补齐</w:t>
            </w:r>
          </w:p>
        </w:tc>
      </w:tr>
      <w:tr>
        <w:tc>
          <w:tcPr>
            <w:tcW w:type="dxa" w:w="2324"/>
            <w:vAlign w:val="center"/>
          </w:tcPr>
          <w:p>
            <w:r/>
            <w:r>
              <w:rPr>
                <w:rFonts w:ascii="微软雅黑" w:hAnsi="微软雅黑" w:eastAsia="微软雅黑"/>
                <w:b w:val="0"/>
                <w:sz w:val="18"/>
              </w:rPr>
              <w:t>4</w:t>
            </w:r>
          </w:p>
        </w:tc>
        <w:tc>
          <w:tcPr>
            <w:tcW w:type="dxa" w:w="2324"/>
            <w:vAlign w:val="center"/>
          </w:tcPr>
          <w:p>
            <w:r/>
            <w:r>
              <w:rPr>
                <w:rFonts w:ascii="微软雅黑" w:hAnsi="微软雅黑" w:eastAsia="微软雅黑"/>
                <w:b w:val="0"/>
                <w:sz w:val="18"/>
              </w:rPr>
              <w:t>软件著作权证书</w:t>
            </w:r>
          </w:p>
        </w:tc>
        <w:tc>
          <w:tcPr>
            <w:tcW w:type="dxa" w:w="2324"/>
            <w:vAlign w:val="center"/>
          </w:tcPr>
          <w:p>
            <w:r/>
            <w:r>
              <w:rPr>
                <w:rFonts w:ascii="微软雅黑" w:hAnsi="微软雅黑" w:eastAsia="微软雅黑"/>
                <w:b w:val="0"/>
                <w:sz w:val="18"/>
              </w:rPr>
              <w:t>技术支撑</w:t>
            </w:r>
          </w:p>
        </w:tc>
        <w:tc>
          <w:tcPr>
            <w:tcW w:type="dxa" w:w="2324"/>
            <w:vAlign w:val="center"/>
          </w:tcPr>
          <w:p>
            <w:r/>
            <w:r>
              <w:rPr>
                <w:rFonts w:ascii="微软雅黑" w:hAnsi="微软雅黑" w:eastAsia="微软雅黑"/>
                <w:b w:val="0"/>
                <w:sz w:val="18"/>
              </w:rPr>
              <w:t>待补公众号/小程序、人脸安全、营养膳食相关证书</w:t>
            </w:r>
          </w:p>
        </w:tc>
      </w:tr>
      <w:tr>
        <w:tc>
          <w:tcPr>
            <w:tcW w:type="dxa" w:w="2324"/>
            <w:vAlign w:val="center"/>
          </w:tcPr>
          <w:p>
            <w:r/>
            <w:r>
              <w:rPr>
                <w:rFonts w:ascii="微软雅黑" w:hAnsi="微软雅黑" w:eastAsia="微软雅黑"/>
                <w:b w:val="0"/>
                <w:sz w:val="18"/>
              </w:rPr>
              <w:t>5</w:t>
            </w:r>
          </w:p>
        </w:tc>
        <w:tc>
          <w:tcPr>
            <w:tcW w:type="dxa" w:w="2324"/>
            <w:vAlign w:val="center"/>
          </w:tcPr>
          <w:p>
            <w:r/>
            <w:r>
              <w:rPr>
                <w:rFonts w:ascii="微软雅黑" w:hAnsi="微软雅黑" w:eastAsia="微软雅黑"/>
                <w:b w:val="0"/>
                <w:sz w:val="18"/>
              </w:rPr>
              <w:t>设备品牌型号和厂家授权</w:t>
            </w:r>
          </w:p>
        </w:tc>
        <w:tc>
          <w:tcPr>
            <w:tcW w:type="dxa" w:w="2324"/>
            <w:vAlign w:val="center"/>
          </w:tcPr>
          <w:p>
            <w:r/>
            <w:r>
              <w:rPr>
                <w:rFonts w:ascii="微软雅黑" w:hAnsi="微软雅黑" w:eastAsia="微软雅黑"/>
                <w:b w:val="0"/>
                <w:sz w:val="18"/>
              </w:rPr>
              <w:t>硬件支撑</w:t>
            </w:r>
          </w:p>
        </w:tc>
        <w:tc>
          <w:tcPr>
            <w:tcW w:type="dxa" w:w="2324"/>
            <w:vAlign w:val="center"/>
          </w:tcPr>
          <w:p>
            <w:r/>
            <w:r>
              <w:rPr>
                <w:rFonts w:ascii="微软雅黑" w:hAnsi="微软雅黑" w:eastAsia="微软雅黑"/>
                <w:b w:val="0"/>
                <w:sz w:val="18"/>
              </w:rPr>
              <w:t>待确认</w:t>
            </w:r>
          </w:p>
        </w:tc>
      </w:tr>
      <w:tr>
        <w:tc>
          <w:tcPr>
            <w:tcW w:type="dxa" w:w="2324"/>
            <w:vAlign w:val="center"/>
          </w:tcPr>
          <w:p>
            <w:r/>
            <w:r>
              <w:rPr>
                <w:rFonts w:ascii="微软雅黑" w:hAnsi="微软雅黑" w:eastAsia="微软雅黑"/>
                <w:b w:val="0"/>
                <w:sz w:val="18"/>
              </w:rPr>
              <w:t>6</w:t>
            </w:r>
          </w:p>
        </w:tc>
        <w:tc>
          <w:tcPr>
            <w:tcW w:type="dxa" w:w="2324"/>
            <w:vAlign w:val="center"/>
          </w:tcPr>
          <w:p>
            <w:r/>
            <w:r>
              <w:rPr>
                <w:rFonts w:ascii="微软雅黑" w:hAnsi="微软雅黑" w:eastAsia="微软雅黑"/>
                <w:b w:val="0"/>
                <w:sz w:val="18"/>
              </w:rPr>
              <w:t>近三年类似业绩证明</w:t>
            </w:r>
          </w:p>
        </w:tc>
        <w:tc>
          <w:tcPr>
            <w:tcW w:type="dxa" w:w="2324"/>
            <w:vAlign w:val="center"/>
          </w:tcPr>
          <w:p>
            <w:r/>
            <w:r>
              <w:rPr>
                <w:rFonts w:ascii="微软雅黑" w:hAnsi="微软雅黑" w:eastAsia="微软雅黑"/>
                <w:b w:val="0"/>
                <w:sz w:val="18"/>
              </w:rPr>
              <w:t>商务评分</w:t>
            </w:r>
          </w:p>
        </w:tc>
        <w:tc>
          <w:tcPr>
            <w:tcW w:type="dxa" w:w="2324"/>
            <w:vAlign w:val="center"/>
          </w:tcPr>
          <w:p>
            <w:r/>
            <w:r>
              <w:rPr>
                <w:rFonts w:ascii="微软雅黑" w:hAnsi="微软雅黑" w:eastAsia="微软雅黑"/>
                <w:b w:val="0"/>
                <w:sz w:val="18"/>
              </w:rPr>
              <w:t>建议至少4份</w:t>
            </w:r>
          </w:p>
        </w:tc>
      </w:tr>
      <w:tr>
        <w:tc>
          <w:tcPr>
            <w:tcW w:type="dxa" w:w="2324"/>
            <w:vAlign w:val="center"/>
          </w:tcPr>
          <w:p>
            <w:r/>
            <w:r>
              <w:rPr>
                <w:rFonts w:ascii="微软雅黑" w:hAnsi="微软雅黑" w:eastAsia="微软雅黑"/>
                <w:b w:val="0"/>
                <w:sz w:val="18"/>
              </w:rPr>
              <w:t>7</w:t>
            </w:r>
          </w:p>
        </w:tc>
        <w:tc>
          <w:tcPr>
            <w:tcW w:type="dxa" w:w="2324"/>
            <w:vAlign w:val="center"/>
          </w:tcPr>
          <w:p>
            <w:r/>
            <w:r>
              <w:rPr>
                <w:rFonts w:ascii="微软雅黑" w:hAnsi="微软雅黑" w:eastAsia="微软雅黑"/>
                <w:b w:val="0"/>
                <w:sz w:val="18"/>
              </w:rPr>
              <w:t>售后服务能力证明</w:t>
            </w:r>
          </w:p>
        </w:tc>
        <w:tc>
          <w:tcPr>
            <w:tcW w:type="dxa" w:w="2324"/>
            <w:vAlign w:val="center"/>
          </w:tcPr>
          <w:p>
            <w:r/>
            <w:r>
              <w:rPr>
                <w:rFonts w:ascii="微软雅黑" w:hAnsi="微软雅黑" w:eastAsia="微软雅黑"/>
                <w:b w:val="0"/>
                <w:sz w:val="18"/>
              </w:rPr>
              <w:t>售后支撑</w:t>
            </w:r>
          </w:p>
        </w:tc>
        <w:tc>
          <w:tcPr>
            <w:tcW w:type="dxa" w:w="2324"/>
            <w:vAlign w:val="center"/>
          </w:tcPr>
          <w:p>
            <w:r/>
            <w:r>
              <w:rPr>
                <w:rFonts w:ascii="微软雅黑" w:hAnsi="微软雅黑" w:eastAsia="微软雅黑"/>
                <w:b w:val="0"/>
                <w:sz w:val="18"/>
              </w:rPr>
              <w:t>待确认</w:t>
            </w:r>
          </w:p>
        </w:tc>
      </w:tr>
    </w:tbl>
    <w:p/>
    <w:p>
      <w:r>
        <w:br w:type="page"/>
      </w:r>
    </w:p>
    <w:p>
      <w:pPr>
        <w:pStyle w:val="Heading1"/>
      </w:pPr>
      <w:r>
        <w:rPr>
          <w:rFonts w:ascii="微软雅黑" w:hAnsi="微软雅黑" w:eastAsia="微软雅黑"/>
          <w:b/>
          <w:color w:val="12324A"/>
          <w:sz w:val="32"/>
        </w:rPr>
        <w:t>附录A 逐项技术响应明细</w:t>
      </w:r>
    </w:p>
    <w:p>
      <w:pPr>
        <w:pStyle w:val="Heading2"/>
      </w:pPr>
      <w:r>
        <w:rPr>
          <w:rFonts w:ascii="微软雅黑" w:hAnsi="微软雅黑" w:eastAsia="微软雅黑"/>
          <w:b/>
          <w:color w:val="12324A"/>
          <w:sz w:val="28"/>
        </w:rPr>
        <w:t>SW-001 智慧食堂管理系统（PC)：机构人员管理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1.机构人员管理：支持人员信息新增、编辑、批量导入/导出及多维度筛选，可查看人员账户及档案信息。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SW-002 智慧食堂管理系统（PC)：卡务全流程管理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2.卡务全流程管理：支持卡片全生命周期管理，可批量发卡，查看操作记录，挂失/冻结后禁止消费，补卡后原卡失效。</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SW-003 智慧食堂管理系统（PC)：部门架构管理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3.部门架构管理：支持多级部门搭建，有人员关联的部门为末级，无人员关联可删除。</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SW-004 智慧食堂管理系统（PC)：身份管理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4.身份管理：可自定义人员身份类别，为消费策略制定提供依据。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SW-005 智慧食堂管理系统（PC)：现金充值管理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5.现金充值管理：支持多渠道线下充值，数据实时同步至小程序，可查询统计充值记录。</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SW-006 智慧食堂管理系统（PC)：补贴充值管理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6.补贴充值管理：支持手动、批量导入、规则自动三种补贴发放方式，可设置补贴相关参数。</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SW-007 智慧食堂管理系统（PC)：补贴审核机制</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7.补贴审核机制：支持二级/三级审核，通过权限配置保障补贴发放合规。</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SW-008 智慧食堂管理系统（PC)：消费订单管理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8.消费订单管理：统一管理线上线下消费订单，可查看详情、批量导出，支持退款审核。</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SW-009 智慧食堂管理系统（PC)：充值订单管理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9.充值订单管理：统一查询、统计、导出线上线下充值订单，展示完整充值信息。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SW-010 智慧食堂管理系统（PC)：提现订单管理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10.提现订单管理：可查询手机端线上提现订单全记录及核心状态信息。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SW-011 智慧食堂管理系统（PC)：退款订单管理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11.退款订单管理：支持退款审核，可筛选、查询、追溯退款订单。</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SW-012 智慧食堂管理系统（PC)：餐厅收入汇总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12.餐厅收入汇总：包含两大核心报表，支持多维度筛选及数据导出，统计营收相关数据。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SW-013 智慧食堂管理系统（PC)：菜品营养统计</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13.菜品营养统计：可统计菜品相关各类数据，支持多维度筛选。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SW-014 智慧食堂管理系统（PC)：消费汇总统计</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14.消费汇总统计：支持多维度消费订单汇总，可筛选统计核心指标并导出数据。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SW-015 智慧食堂管理系统（PC)：菜品销量报表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15.菜品销量报表：按日期、档口统计菜品销量，支持筛选导出，为经营提供支撑。</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SW-016 智慧食堂管理系统（PC)：个体膳食监控</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16.个体膳食监控：可检索人员查看膳食营养分析，支持日期灵活选择，多维度分析并可视化对标推荐值。（投标人需提供产品测试检测报告或检验报告并加盖公章）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SW-017 智慧食堂管理系统（PC)：团体膳食监控</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17.团体膳食监控：可按部门/项目筛选人员，支持日期设置，多维度汇总分析，可区分摄入充足度人群。（投标人需提供产品测试检测报告或检验报告并加盖公章）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SW-018 智慧食堂管理系统（PC)：消费策略管理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18.消费策略管理：可自定义消费策略，支持多种策略类型及优先级设置，未设置策略按原价结算。</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SW-019 智慧食堂管理系统（PC)：消费限制管理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19.消费限制管理：可设置就餐范围及次数限制，支持按部门批量设置，可启用/停用规则。</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SW-020 智慧食堂管理系统（PC)：餐厅分析</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20.餐厅分析：可查看菜谱库、菜品库营养数据，多维度分析，支持报告打印及数据导出。</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SW-021 智慧食堂管理系统（PC)：菜谱管理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21.菜谱管理：支持手动、智能两种菜谱生成方式，智能排菜可自定义规则并按周期生成。</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SW-022 智慧食堂管理系统（PC)：菜品管理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22.菜品管理：支持菜品全流程管理，可录入相关信息、检索筛选，停用菜品不进入备选库。</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SW-023 智慧食堂管理系统（PC)：食物成分管理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23.食物成分管理：内置标准化数据库，支持快速查询，为营养计算提供支撑。</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SW-024 智慧食堂管理系统（PC)：远程菜品推送</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24.远程菜品推送：可远程为终端设备排菜，保存后设备端自动同步。</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SW-025 智慧食堂管理系统（PC)：电子价签管理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25.电子价签管理：PC端与设备端联动，绑定设备编号配置菜品，设备端自动展示相关信息。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SW-026 智慧食堂管理系统（PC)：电子菜牌管理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26.电子菜牌管理：绑定档口设备，可上传自定义菜谱图，支持多日设置，无图片时显示默认图。</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SW-027 智慧食堂管理系统（PC)：餐厅基础设置</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27.餐厅基础设置：支持区域、餐厅、档口、小卖铺等架构设置，可配置各层级基础信息及订餐相关规则。</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SW-028 智慧食堂管理系统（PC)：账号管理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28.账号管理：支持系统用户账号全流程管理，包含账号核心信息配置。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SW-029 智慧食堂管理系统（PC)：角色权限管理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29.角色权限管理：支持自定义角色，采用RBAC模型，实现细粒度权限管控。</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SW-030 智慧食堂管理系统（PC)：人脸管理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30.人脸管理：包含人脸识别记录查询及人脸库管理，可核对、删除人脸数据。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SW-031 智慧食堂管理系统（PC)：具备线上订餐功能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31.具备线上订餐功能，称重、档口、小卖部等多种形式售卖。</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SW-032 智慧食堂管理系统（PC)：系统应具备菜品画像功能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32.系统应具备菜品画像功能，管理员可查看单个菜品的数据统计，包括但不限于：菜品制作次数、购买人数、复购率等。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SW-033 智慧食堂管理系统（PC)：应支持订单明细统计</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33.应支持订单明细统计，并能明确各订单的支付用户、就餐餐别、 订单商品等信息。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SW-034 智慧食堂管理系统（PC)：应支持设置不同的餐别</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34.应支持设置不同的餐别，每个餐别可设置不同的就餐时段，并且后台可查询每一餐的消费情况。</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SW-035 智慧食堂管理系统（PC)：应具备托盘回收时间设定及自动结算功能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35.应具备托盘回收时间设定及自动结算功能，实现无感支付。</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SW-036 智慧食堂管理系统（PC)：应具备用户手动解绑的设置功能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36.应具备用户手动解绑的设置功能，提高托盘利用率。</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SW-037 智慧食堂管理系统（PC)：支持限制用户每次餐别的消费次数、最高消费金额、最低消费金</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37.支持限制用户每次餐别的消费次数、最高消费金额、最低消费金额、称重上限等功能。</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SW-038 智慧食堂管理系统（PC)：支持后台营养分析功能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38.支持后台营养分析功能，并为用户通过公众号推送该次消费的营养数据信息。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SW-039 智慧食堂管理系统（PC)：支持与前端设备实现菜品同步</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39.支持与前端设备实现菜品同步。</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SW-040 智慧食堂管理系统（PC)：支持会员信息管理功能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40.支持会员信息管理功能，包括但不限于：设置会员福利、人脸信息更换、人脸信息解绑、会员信息导出等。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SW-041 智慧食堂管理系统（PC)：支持后台查看会员实时钱包信息</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41.支持后台查看会员实时钱包信息。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SW-042 智慧食堂管理系统（PC)：支持查看会员对应订单信息</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42.支持查看会员对应订单信息，包括但不限于订单菜品、消费重量、原价、优惠价、实收金额、消费门店、餐别类型等。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SW-043 智慧食堂管理系统（PC)：支持用户使用多种钱包类型</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43.支持用户使用多种钱包类型，包括但不限于：授信额度、个人充值、线上补贴、福利钱包、信用透支等。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SW-044 智慧食堂管理系统（PC)：支持多种会员优惠方式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44.支持多种会员优惠方式，包括但不限于：充值福利、满减、满折、限时折扣、优惠券、会员积分、刷卡补贴等。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SW-045 智慧食堂管理系统（PC)：支持多门店、多企业管理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45.支持多门店、多企业管理。</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SW-046 智慧食堂管理系统（PC)：会员排餐应能与员工排餐分别独立进行设置</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46.会员排餐应能与员工排餐分别独立进行设置，会员用户与员工用户应显示出不同排餐计划。</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SW-047 智慧食堂管理系统（PC)：系统应具备就餐效率分析功能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47.系统应具备就餐效率分析功能，管理员可查看指定餐别的用餐数据。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SW-048 智慧食堂管理系统（PC)：支持排餐中设置例外菜</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48.支持排餐中设置例外菜，排餐计划设置完成后，应能加入额外菜品到排餐计划里；（投标人需提供产品测试检测报告或检验报告并加盖公章）。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SW-049 智慧食堂管理系统（PC)：可对企业内部员工的消费进行限额</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49.可对企业内部员工的消费进行限额，包括限额餐别、适用人员、扣费类型和执行周期；（投标人需提供产品测试检测报告或检验报告并加盖公章）。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SW-050 智慧食堂管理系统（PC)：支持低金额禁止绑盘功能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50.支持低金额禁止绑盘功能，可设置在用户余额不足指定金额时禁止绑定托盘。（投标人需提供产品测试检测报告或检验报告并加盖公章）.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SW-051 智慧食堂管理系统（PC)：软件终身免费升级</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51.软件终身免费升级。</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SW-052 智慧食堂管理系统（PC)：端口开放</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52. 端口开放，免费进行二次开发，实现与医院HIS系统、营养管理系统对接，同时实现与中心院内各楼门禁管理系统、院内停车管理系统等对接。</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SW-053 智慧食堂管理系统（手机端）：支持微信扫码、支付宝、小程序快速进入系统</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1.支持微信扫码、支付宝、小程序快速进入系统，提供账号密码、手机号验证码多种登录方式，适配企业级用户管理场景。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SW-054 智慧食堂管理系统（手机端）：支持现金账户与补贴账户双账户管理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2.支持现金账户与补贴账户双账户管理，可完成自定义金额/固定金额充值、余额提现、账单明细查询功能；支持动态刷新消费二维码，实现线下就餐刷码支付，消费码每分钟自动刷新，保障支付安全。</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SW-055 智慧食堂管理系统（手机端）：支持用户基础身体信息录入与管理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3.支持用户基础身体信息录入与管理，包含性别、昵称、出生年月、身高、当前体重、初始体重、绑定手机号等核心指标，支持信息随时编辑与系统实时同步更新。</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SW-056 智慧食堂管理系统（手机端）：支持用户健康专项信息录入</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4.支持用户健康专项信息录入，包含疾病史（糖尿病、高血压、高血脂、高尿酸等）、运动习惯、食物过敏史、食物忌口、饮食口味偏好等内容，系统可基于该信息自动规避饮食禁忌，生成适配性的饮食、运动建议，作为个性化推荐的核心依据。（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SW-057 智慧食堂管理系统（手机端）：支持手动录入、营养秤智能设备自动上传两种饮食数据采集方式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5.支持手动录入、营养秤智能设备自动上传两种饮食数据采集方式，可按早餐及早加餐、午餐及午加餐、晚餐及晚加餐分餐次记录等，点击餐次可查看单餐摄入营养详细分析。（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SW-058 智慧食堂管理系统（手机端）：系统可自动生成营养日报</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6.系统可自动生成营养日报，包含当日餐单完整展示、蛋白质/脂肪/碳水化合物三大供能营养素摄入分析、各餐次营养与热量占比分析；食材分类不少于6类，可统计当日摄入菜品数量、食材种类并完成食物均衡评估；可分析不少于10种营养素的摄入比例，同步监测钠、嘌呤、饱和脂肪酸、血糖生成负荷（GL）等指标，对异常指标进行明确提示并给出饮食调整建议。（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SW-059 智慧食堂管理系统（手机端）：系统可自动生成阶段营养报告（周报）</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7.系统可自动生成阶段营养报告（周报），精准统计该时间段内早餐、午餐、晚餐的就餐次数并给出专业饮食建议；可分析用户常选菜品的烹调方式与饮食喜好，对不健康烹调方式进行风险提示；食材分类不少于9类，可展示周期内摄入食材种类及在同类用户中的排名情况，指导用户优化膳食结构。（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SW-060 智慧食堂管理系统（手机端）：支持目标体重自定义设置</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8.支持目标体重自定义设置，系统可根据用户初始体重、目标体重及个人基础信息，自动生成个性化体重管理方案，配套推送28天分阶段运动计划与饮食计划，支持计划详情随时查看与动态调整。（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SW-061 智慧食堂管理系统（手机端）：支持手动录入、体脂秤自动同步两种体重数据采集方式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9.支持手动录入、体脂秤自动同步两种体重数据采集方式，可同步BMI、体脂率、骨骼肌率、内脏脂肪等级、身体年龄等多项身体指标，数据采集精准、同步实时。（投标人需提供产品测试检测报告或检验报告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SW-062 智慧食堂管理系统（手机端）：支持线上订餐功能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10.支持线上订餐功能，可查看可订餐餐厅列表、餐厅介绍与营业时间，选择餐厅与订餐时间段后，可进入菜品选购页面完成选餐与线上支付；支持线上充值、体现、查询明细等功能。</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SW-063 智慧食堂管理系统（手机端）：支持全订单生命周期管理</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11.支持全订单生命周期管理，可按待支付、待评价、已评价分类筛选查看订单，每笔订单展示就餐时间、订单号、消费金额、菜品数量、订单状态等核心信息。</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SW-064 智慧食堂管理系统（手机端）：已支付完成的订单可发起评价</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12.已支付完成的订单可发起评价，支持餐厅环境、服务态度星级评分，菜品口味、咸淡、辣度等单项维度评分，以及文字建议与意见提交。</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SW-065 智慧食堂管理系统（手机端）：投标人需提供公众号或小程序系统类的有效计算机软件著作权登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13.投标人需提供公众号或小程序系统类的有效计算机软件著作权登记证书复印件并加盖公章。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SW-066 智慧食堂管理系统（手机端）：为保证用户注册数据安全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14.为保证用户注册数据安全，投标人需提供具有保障人脸安全认证类的有效计算机软件著作权登记证书复印件并加盖公章。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SW-067 智慧食堂管理系统（手机端）：展示每周菜谱</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15.展示每周菜谱</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SW-068 智慧食堂管理系统（手机端）：投标人需具备并提供营养膳食管理系统相关计算机软件著作权登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16、投标人需具备并提供营养膳食管理系统相关计算机软件著作权登记证书复印件并加盖公章。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完全响应。投标人承诺提供满足采购文件要求的对应功能、配置、服务或证明材料；涉及附件证明的，按正式投标文件附件补齐。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7"/>
              </w:rPr>
              <w:t>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验收时由采购人指定管理员登录后台，按测试用例完成新增、查询、编辑、导入、导出、权限控制和数据展示核验，形成截图和测试记录。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HW-069 智能硬件-智能称重设备：支持自助式取餐计重</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1.支持自助式取餐计重，支持快速识别餐盘及用餐者信息，读取菜品营养信息，并反馈智慧营养健康餐厅管理系统。。、</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HW-070 智能硬件-智能称重设备：设备支持显示菜品营养数据</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2.设备支持显示菜品营养数据，包含能量、三大营养素及菜品标签，并根据人员基本信息提供摄入建议。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HW-071 智能硬件-智能称重设备：CPU</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3.CPU： 四核 1.8GHZ以上。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HW-072 智能硬件-智能称重设备：系统</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4.系统：Android 7.1以上。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HW-073 智能硬件-智能称重设备：运行内存</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5.运行内存：2G以上。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HW-074 智能硬件-智能称重设备：存储内存</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6.存储内存： 8G以上。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HW-075 智能硬件-智能称重设备：液晶屏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7.液晶屏：8 英寸 1280*800 分辨率以上。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HW-076 智能硬件-智能称重设备：喇叭</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8.喇叭：2W8Ω。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HW-077 智能硬件-智能称重设备：触摸屏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9.触摸屏：G+G 电容式触摸屏。</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HW-078 智能硬件-智能称重设备：称重范围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10.称重范围：5g-30kg，精度：1g。</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HW-079 智能硬件-智能称重设备：扫码模块</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11.扫码模块：高精度定制扫码头（扫托盘）。</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HW-080 智能硬件-智能称重设备：指示报警灯</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12.指示报警灯：配备指示灯，支持颜色可调，具备声光报警功能。</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HW-081 智能硬件-智能称重设备：通讯方式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13.通讯方式：支持10/100Mbps自适应以太网，支持Wi-Fi，支持蓝牙4.0或以上版本。</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HW-082 智能硬件-智能称重设备：外接接口</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14.外接接口：至少提供1个RJ45网络接口、1个USB接口。</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HW-083 智能硬件-智能称重设备：加菜自动计算</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15.加菜自动计算。</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HW-084 智能硬件-智能称重设备：异常报警</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16.异常报警：支持余额不足、托盘未绑定、未放置托盘、压秤等异常取餐时触发声光报警，并支持界面文字提示。</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HW-085 智能硬件-智能称重设备：支持断网时可读取本地数据完成取餐操作</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17.支持断网时可读取本地数据完成取餐操作，联网后数据自动同步至后台。（须提供功能截图并加盖公章）。</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需在正式附件中提供对应证书、检测报告、检验报告、功能截图或加盖公章证明材料。</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HW-086 智能硬件-智能称重设备：要求设备识盘时间小于1s</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18.要求设备识盘时间小于1s，计量精度5g。</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HW-087 智能硬件-智能称重设备：支持通过刷管理卡及输入账号密码的方式登录进入设备管理界面</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19.支持通过刷管理卡及输入账号密码的方式登录进入设备管理界面。</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HW-088 智能硬件-智能称重设备：支持防逃费功能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20.支持防逃费功能，可设置首次重量变化时不进行餐盘数据读取，并根据设备上次稳定的重量数据进行打菜计重。</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HW-089 智能硬件-智能称重设备：支持压秤报警功能</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21.支持压秤报警功能，当在未读取到托盘信息的时候，秤的重量发生波动，设备应能自动发出警报，支持自定义压秤报警时长。</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HW-090 智能硬件-智能称重设备：支持设备离线模式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22.支持设备离线模式，可在断网后进入离线模式，并在网络恢复后同步离线记录的数据。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HW-091 智能硬件-智能绑盘机：通过人脸/卡/条形码/二维码进行身份识别</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1.通过人脸/卡/条形码/二维码进行身份识别，托盘身份绑定。</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HW-092 智能硬件-智能绑盘机：设备搭配有线/无线网络、电源等</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2.设备搭配有线/无线网络、电源等。</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HW-093 智能硬件-智能绑盘机：CPU</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3.CPU：四核，主频可达 2.0GHZ以上。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HW-094 智能硬件-智能绑盘机：存储内存</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4.存储内存：2 + 8G以上。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HW-095 智能硬件-智能绑盘机：系统</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5.系统：Android 7.1以上。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HW-096 智能硬件-智能绑盘机：液晶屏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6.液晶屏：15.6 寸 IPS 高清屏以上。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HW-097 智能硬件-智能绑盘机：触摸屏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7.触摸屏：G + G 电容式触摸屏。</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HW-098 智能硬件-智能绑盘机：分辨率</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8.分辨率：1920*1080以上。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HW-099 智能硬件-智能绑盘机：摄像头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9.摄像头：抗逆光宽动态摄像头200万像素以上。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HW-100 智能硬件-智能绑盘机：读卡器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10.读卡器：支持 IC/ID 卡。</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HW-101 智能硬件-智能绑盘机：扫码器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11.扫码器：条码扫码器：像素100万以上。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HW-102 智能硬件-智能绑盘机：二维码扫码器</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12.二维码扫码器：像素30万以上。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HW-103 智能硬件-智能绑盘机：联网方式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13.联网方式：RJ45 网口、内置 WIFI。</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HW-104 智能硬件-智能绑盘机：对外接口</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14.对外接口：USB*1以上。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HW-105 智能硬件-智能绑盘机：支持通过进入设置页面对人脸识别、人脸信息、服务器配置、设</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15.支持通过进入设置页面对人脸识别、人脸信息、服务器配置、设备配置、服务开启/关闭等信息进行设置或查询。</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HW-106 智能硬件-智能绑盘机：支持自动和手动同步服务端的人员名单</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16.支持自动和手动同步服务端的人员名单，支持同步用户人脸照片信息、卡片数据。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HW-107 智能硬件-智能绑盘机：支持配置托盘绑定方式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17.支持配置托盘绑定方式，支持多种不同组合的绑定方式。</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HW-108 智能硬件-智能绑盘机：支持读卡器、扫码器参数配置与维护</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18.支持读卡器、扫码器参数配置与维护。</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HW-109 智能硬件-双屏消费机：支持刷卡、人脸、二维码消费</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1.支持刷卡、人脸、二维码消费，支持人脸消费后触屏确认，防止误刷误扣。</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HW-110 智能硬件-双屏消费机：采用触摸按键输出</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2.采用触摸按键输出。</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HW-111 智能硬件-双屏消费机：可实现金额消费、固定消费、卡内时段消费、以及图文显示菜品</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3.可实现金额消费、固定消费、卡内时段消费、以及图文显示菜品，可做微信订餐取餐机使用。</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HW-112 智能硬件-双屏消费机：双目活体人脸识别</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4.双目活体人脸识别，使人脸识别更加精准，防止误刷。</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HW-113 智能硬件-双屏消费机：标配20000个脸库</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5.标配20000个脸库，可扩展到80000人脸库以上。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HW-114 智能硬件-双屏消费机：CPU</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6. CPU：RK3568，Android系统11， 四核 主频2.0GHz 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HW-115 智能硬件-双屏消费机：FLASH存储器容量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7. FLASH存储器容量：4G以上，SDRAM存储器容量：32G以上。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HW-116 智能硬件-双屏消费机：显示屏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8. 显示屏：双11.6寸屏，操作屏带触摸输入以上。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HW-117 智能硬件-双屏消费机：通讯方式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9. 通讯方式：标配TCP/IP、WIFI，选配4G。</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HW-118 智能硬件-双屏消费机：卡操作距离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10. 卡操作距离：&lt;5CM。</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HW-119 智能硬件-双屏消费机：工作频率</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11. 工作频率：13.56MHz。</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HW-120 智能硬件-双屏消费机：人脸识别消费时间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12. 人脸识别消费时间：&lt;1.0S。</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HW-121 智能硬件-双屏消费机：卡读写时间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13. 卡读写时间：&lt;0.5S 。</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HW-122 智能硬件-双屏消费机：断网收银</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14. 断网收银：断网情况下，商户仍可正常交易收银，保障商户的经营，避免商户损失。</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HW-123 智能硬件-双屏消费机：菜品推荐</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15. 菜品推荐：将热销菜品单独设置推荐，方便菜品的快速查找，提高收银效率。</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HW-124 智能硬件-双屏消费机：语音播报</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16. 语音播报：无须任何外设，通过系统语音播报可掌握顾客付款情况，同时避免漏单。</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HW-125 智能硬件-双屏消费机：整单优惠</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17. 整单优惠：支持整单优惠、整单折扣，便于商家人为控制熟客优惠，提高系统灵活度。</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HW-126 智能硬件-双屏消费机：价格调整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18. 价格调整：可进行临时改价，适用于价格波动比较大或者熟客比较多的商户。</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HW-127 智能硬件-双屏消费机：订单查询</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19. 订单查询：可显示当前设备所有的订单数据，及可进行退款等管理操作。</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HW-128 智能硬件-双屏消费机：跨天盘点</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20. 跨天盘点，支持盘点跨天作业，当天盘点未完成的，第二天营业结束后还可以继续盘点，不会因第二天的销售数据而导致盘点错乱。</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HW-129 智能硬件-双屏消费机：商品分类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21.商品分类：支持多层级商品分类，报表支持多层级分类纬度做商品分析</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HW-130 智能硬件-双屏消费机：促销方式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22.促销方式：支持多种常见的促销方式，如N件折、返券、满减等活动，活动支持按品类和商品设置。</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HW-131 智能硬件-双屏消费机：商品变价</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23.商品变价：除标品外，需支持生鲜水果的临时改价功能，用于日常变价。</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HW-132 智能硬件-双屏消费机：报表查询</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24.报表查询：支持查看销售流水、商品汇总、支付汇总、未上传订单、日汇总。</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HW-133 智能硬件-称重消费机：支持刷卡、人脸、二维码消费</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1.支持刷卡、人脸、二维码消费，支持人脸消费后触屏确认，防止误刷误扣</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HW-134 智能硬件-称重消费机：双目活体人脸识别</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2.双目活体人脸识别，使人脸识别更加精准，防止误刷</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HW-135 智能硬件-称重消费机：工作环境</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3.工作环境：-10℃ ～ 50℃ 相对湿度为10% ～90%</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HW-136 智能硬件-称重消费机：CPU</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4.CPU：RK3568，Android系统11， 四核 主频2.0GHz 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HW-137 智能硬件-称重消费机：FLASH存储器容量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5.FLASH存储器容量：4G，SDRAM存储器容量：32G以上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HW-138 智能硬件-称重消费机：显示屏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6.显示屏：双11.6寸触摸屏，操作屏带触摸输入以上</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HW-139 智能硬件-称重消费机：通讯方式</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7.通讯方式：标配TCP/IP、WIFI，选配4G</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HW-140 智能硬件-称重消费机：卡操作距离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8.卡操作距离：&lt;5CM</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HW-141 智能硬件-称重消费机：工作频率</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9.工作频率：13.56MHz</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HW-142 智能硬件-称重消费机：人脸识别消费时间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10.人脸识别消费时间：&lt;1.0S</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HW-143 智能硬件-称重消费机：卡读写时间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11.卡读写时间：&lt;0.5S</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HW-144 智能硬件-称重消费机：电子秤采用高精度AD转换芯片</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7"/>
              </w:rPr>
              <w:t>12.电子秤采用高精度AD转换芯片，具有99次累计，超载及欠压报警，单价储存功能，15kg（检定分度数：3000，检定分度值： 5g，最小平量：100g) / 30KG（检定分度数：3000，检定分度值：10g，最小平量：200g)</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需提供最终设备品牌型号、厂家参数页、产品彩页或厂家授权文件。</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HW-145 智能硬件-托盘：白色PP平托盘带码</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1.白色PP平托盘带码，和现有的保持一直，现有的盘子利旧</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HW-146 智能硬件-利旧事项：现有称重称7台、扫码盘子100个与新系统对接或原价收回</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1.现有称重称7台、扫码盘子100个与新系统对接或原价收回</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完全响应。投标人承诺按采购文件要求提供或适配对应硬件能力；最终品牌型号、参数证明和授权文件以正式附件为准。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通过智能终端、设备通讯、后台设备管理和业务规则配置实现。设备到场后完成编号、网络、账号、菜品、托盘、人员、人脸/卡/码和离线策略配置，再进行现场联调。</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验收时按设备逐台完成开机、联网、身份识别、交易/称重、异常报警、离线同步和后台数据一致性测试，形成设备验收记录。</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SV-001 售后服务：产品质保期不低于1年</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产品质保期不低于1年，自产品验收合格之日起开始计算。</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承诺质保期不低于1年，质保期内非人为或不可抗力质量问题由供应商免费维修或更换。</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通过项目实施、制度配置、接口联调、培训和验收材料归档实现，并由项目负责人统一协调采购人、供应商和第三方系统。</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验收时按采购文件、实施计划、测试计划和问题闭环表逐项确认。</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SV-002 售后服务：提供7*24小时快速响应技术咨询服务</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提供7*24小时快速响应技术咨询服务。</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建立7*24小时服务响应渠道，记录问题、分级处理并形成闭环。</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通过项目实施、制度配置、接口联调、培训和验收材料归档实现，并由项目负责人统一协调采购人、供应商和第三方系统。</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验收时按采购文件、实施计划、测试计划和问题闭环表逐项确认。</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SV-003 售后服务：电话支持不能排除故障时</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电话支持不能排除故障时，工程师携带备件4小时以内到达现场。</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配置项目服务负责人、备品备件清单和现场响应机制；正式承诺前需确认本地服务资源。</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通过项目实施、制度配置、接口联调、培训和验收材料归档实现，并由项目负责人统一协调采购人、供应商和第三方系统。</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验收时按采购文件、实施计划、测试计划和问题闭环表逐项确认。</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SV-004 付款条款：设备到达现场支付30%</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设备到达现场支付30%，验收合格支付20%，使用3个月无质量问题支付45%，质保期结束无质量问题10日内支付5%。</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商务响应按采购文件执行，最终以合同约定为准。</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通过项目实施、制度配置、接口联调、培训和验收材料归档实现，并由项目负责人统一协调采购人、供应商和第三方系统。</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验收时按采购文件、实施计划、测试计划和问题闭环表逐项确认。</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SV-005 违约责任：逾期交付或测试验收不合格按采购文件约定承担违约责任</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逾期交付或测试验收不合格按采购文件约定承担违约责任。</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项目实施计划设置交付节点、测试节点和问题闭环，降低逾期和返工风险。</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通过项目实施、制度配置、接口联调、培训和验收材料归档实现，并由项目负责人统一协调采购人、供应商和第三方系统。</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验收时按采购文件、实施计划、测试计划和问题闭环表逐项确认。</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2"/>
      </w:pPr>
      <w:r>
        <w:rPr>
          <w:rFonts w:ascii="微软雅黑" w:hAnsi="微软雅黑" w:eastAsia="微软雅黑"/>
          <w:b/>
          <w:color w:val="12324A"/>
          <w:sz w:val="28"/>
        </w:rPr>
        <w:t>SV-006 接口开放：免费进行二次开发</w:t>
      </w:r>
    </w:p>
    <w:tbl>
      <w:tblPr>
        <w:tblStyle w:val="TableGrid"/>
        <w:tblW w:type="auto" w:w="0"/>
        <w:jc w:val="center"/>
        <w:tblLook w:firstColumn="1" w:firstRow="1" w:lastColumn="0" w:lastRow="0" w:noHBand="0" w:noVBand="1" w:val="04A0"/>
      </w:tblPr>
      <w:tblGrid>
        <w:gridCol w:w="4649"/>
        <w:gridCol w:w="4649"/>
      </w:tblGrid>
      <w:tr>
        <w:tc>
          <w:tcPr>
            <w:tcW w:type="dxa" w:w="4649"/>
            <w:vAlign w:val="center"/>
            <w:shd w:fill="D9EAF7"/>
          </w:tcPr>
          <w:p>
            <w:r/>
            <w:r>
              <w:rPr>
                <w:rFonts w:ascii="微软雅黑" w:hAnsi="微软雅黑" w:eastAsia="微软雅黑"/>
                <w:b/>
                <w:sz w:val="18"/>
              </w:rPr>
              <w:t>项目</w:t>
            </w:r>
          </w:p>
        </w:tc>
        <w:tc>
          <w:tcPr>
            <w:tcW w:type="dxa" w:w="4649"/>
            <w:vAlign w:val="center"/>
            <w:shd w:fill="D9EAF7"/>
          </w:tcPr>
          <w:p>
            <w:r/>
            <w:r>
              <w:rPr>
                <w:rFonts w:ascii="微软雅黑" w:hAnsi="微软雅黑" w:eastAsia="微软雅黑"/>
                <w:b/>
                <w:sz w:val="18"/>
              </w:rPr>
              <w:t>内容</w:t>
            </w:r>
          </w:p>
        </w:tc>
      </w:tr>
      <w:tr>
        <w:tc>
          <w:tcPr>
            <w:tcW w:type="dxa" w:w="4649"/>
            <w:vAlign w:val="center"/>
          </w:tcPr>
          <w:p>
            <w:r/>
            <w:r>
              <w:rPr>
                <w:rFonts w:ascii="微软雅黑" w:hAnsi="微软雅黑" w:eastAsia="微软雅黑"/>
                <w:b w:val="0"/>
                <w:sz w:val="18"/>
              </w:rPr>
              <w:t>采购要求</w:t>
            </w:r>
          </w:p>
        </w:tc>
        <w:tc>
          <w:tcPr>
            <w:tcW w:type="dxa" w:w="4649"/>
            <w:vAlign w:val="center"/>
          </w:tcPr>
          <w:p>
            <w:r/>
            <w:r>
              <w:rPr>
                <w:rFonts w:ascii="微软雅黑" w:hAnsi="微软雅黑" w:eastAsia="微软雅黑"/>
                <w:b w:val="0"/>
                <w:sz w:val="18"/>
              </w:rPr>
              <w:t>免费进行二次开发，实现与医院HIS系统、营养管理系统、门禁、停车等对接。</w:t>
            </w:r>
          </w:p>
        </w:tc>
      </w:tr>
      <w:tr>
        <w:tc>
          <w:tcPr>
            <w:tcW w:type="dxa" w:w="4649"/>
            <w:vAlign w:val="center"/>
          </w:tcPr>
          <w:p>
            <w:r/>
            <w:r>
              <w:rPr>
                <w:rFonts w:ascii="微软雅黑" w:hAnsi="微软雅黑" w:eastAsia="微软雅黑"/>
                <w:b w:val="0"/>
                <w:sz w:val="18"/>
              </w:rPr>
              <w:t>响应承诺</w:t>
            </w:r>
          </w:p>
        </w:tc>
        <w:tc>
          <w:tcPr>
            <w:tcW w:type="dxa" w:w="4649"/>
            <w:vAlign w:val="center"/>
          </w:tcPr>
          <w:p>
            <w:r/>
            <w:r>
              <w:rPr>
                <w:rFonts w:ascii="微软雅黑" w:hAnsi="微软雅黑" w:eastAsia="微软雅黑"/>
                <w:b w:val="0"/>
                <w:sz w:val="18"/>
              </w:rPr>
              <w:t>在采购人及第三方系统提供接口文档、联调环境、测试账号、网络策略和验收标准的前提下，完成标准接口对接；非标准范围另行确认。</w:t>
            </w:r>
          </w:p>
        </w:tc>
      </w:tr>
      <w:tr>
        <w:tc>
          <w:tcPr>
            <w:tcW w:type="dxa" w:w="4649"/>
            <w:vAlign w:val="center"/>
          </w:tcPr>
          <w:p>
            <w:r/>
            <w:r>
              <w:rPr>
                <w:rFonts w:ascii="微软雅黑" w:hAnsi="微软雅黑" w:eastAsia="微软雅黑"/>
                <w:b w:val="0"/>
                <w:sz w:val="18"/>
              </w:rPr>
              <w:t>实现方式</w:t>
            </w:r>
          </w:p>
        </w:tc>
        <w:tc>
          <w:tcPr>
            <w:tcW w:type="dxa" w:w="4649"/>
            <w:vAlign w:val="center"/>
          </w:tcPr>
          <w:p>
            <w:r/>
            <w:r>
              <w:rPr>
                <w:rFonts w:ascii="微软雅黑" w:hAnsi="微软雅黑" w:eastAsia="微软雅黑"/>
                <w:b w:val="0"/>
                <w:sz w:val="18"/>
              </w:rPr>
              <w:t>通过项目实施、制度配置、接口联调、培训和验收材料归档实现，并由项目负责人统一协调采购人、供应商和第三方系统。</w:t>
            </w:r>
          </w:p>
        </w:tc>
      </w:tr>
      <w:tr>
        <w:tc>
          <w:tcPr>
            <w:tcW w:type="dxa" w:w="4649"/>
            <w:vAlign w:val="center"/>
          </w:tcPr>
          <w:p>
            <w:r/>
            <w:r>
              <w:rPr>
                <w:rFonts w:ascii="微软雅黑" w:hAnsi="微软雅黑" w:eastAsia="微软雅黑"/>
                <w:b w:val="0"/>
                <w:sz w:val="18"/>
              </w:rPr>
              <w:t>验收方式</w:t>
            </w:r>
          </w:p>
        </w:tc>
        <w:tc>
          <w:tcPr>
            <w:tcW w:type="dxa" w:w="4649"/>
            <w:vAlign w:val="center"/>
          </w:tcPr>
          <w:p>
            <w:r/>
            <w:r>
              <w:rPr>
                <w:rFonts w:ascii="微软雅黑" w:hAnsi="微软雅黑" w:eastAsia="微软雅黑"/>
                <w:b w:val="0"/>
                <w:sz w:val="18"/>
              </w:rPr>
              <w:t>验收时按采购文件、实施计划、测试计划和问题闭环表逐项确认。</w:t>
            </w:r>
          </w:p>
        </w:tc>
      </w:tr>
      <w:tr>
        <w:tc>
          <w:tcPr>
            <w:tcW w:type="dxa" w:w="4649"/>
            <w:vAlign w:val="center"/>
          </w:tcPr>
          <w:p>
            <w:r/>
            <w:r>
              <w:rPr>
                <w:rFonts w:ascii="微软雅黑" w:hAnsi="微软雅黑" w:eastAsia="微软雅黑"/>
                <w:b w:val="0"/>
                <w:sz w:val="18"/>
              </w:rPr>
              <w:t>需补证明材料</w:t>
            </w:r>
          </w:p>
        </w:tc>
        <w:tc>
          <w:tcPr>
            <w:tcW w:type="dxa" w:w="4649"/>
            <w:vAlign w:val="center"/>
          </w:tcPr>
          <w:p>
            <w:r/>
            <w:r>
              <w:rPr>
                <w:rFonts w:ascii="微软雅黑" w:hAnsi="微软雅黑" w:eastAsia="微软雅黑"/>
                <w:b w:val="0"/>
                <w:sz w:val="18"/>
              </w:rPr>
              <w:t>可通过系统功能说明、实施记录、测试记录、截图和验收记录支撑。</w:t>
            </w:r>
          </w:p>
        </w:tc>
      </w:tr>
    </w:tbl>
    <w:p/>
    <w:p>
      <w:r>
        <w:rPr>
          <w:rFonts w:ascii="微软雅黑" w:hAnsi="微软雅黑" w:eastAsia="微软雅黑"/>
          <w:b w:val="0"/>
          <w:sz w:val="21"/>
        </w:rPr>
        <w:t>本项正式递交前应由产品、硬件或实施负责人复核响应表述与附件材料是否一致，确保不存在负偏离或无法证明的承诺。</w:t>
      </w:r>
    </w:p>
    <w:p>
      <w:r>
        <w:br w:type="page"/>
      </w:r>
    </w:p>
    <w:p>
      <w:pPr>
        <w:pStyle w:val="Heading1"/>
      </w:pPr>
      <w:r>
        <w:rPr>
          <w:rFonts w:ascii="微软雅黑" w:hAnsi="微软雅黑" w:eastAsia="微软雅黑"/>
          <w:b/>
          <w:color w:val="12324A"/>
          <w:sz w:val="32"/>
        </w:rPr>
        <w:t>附录B 评分响应策略</w:t>
      </w:r>
    </w:p>
    <w:tbl>
      <w:tblPr>
        <w:tblStyle w:val="TableGrid"/>
        <w:tblW w:type="auto" w:w="0"/>
        <w:jc w:val="center"/>
        <w:tblLook w:firstColumn="1" w:firstRow="1" w:lastColumn="0" w:lastRow="0" w:noHBand="0" w:noVBand="1" w:val="04A0"/>
      </w:tblPr>
      <w:tblGrid>
        <w:gridCol w:w="1860"/>
        <w:gridCol w:w="1860"/>
        <w:gridCol w:w="1860"/>
        <w:gridCol w:w="1860"/>
        <w:gridCol w:w="1860"/>
      </w:tblGrid>
      <w:tr>
        <w:tc>
          <w:tcPr>
            <w:tcW w:type="dxa" w:w="1860"/>
            <w:vAlign w:val="center"/>
            <w:shd w:fill="D9EAF7"/>
          </w:tcPr>
          <w:p>
            <w:r/>
            <w:r>
              <w:rPr>
                <w:rFonts w:ascii="微软雅黑" w:hAnsi="微软雅黑" w:eastAsia="微软雅黑"/>
                <w:b/>
                <w:sz w:val="18"/>
              </w:rPr>
              <w:t>序号</w:t>
            </w:r>
          </w:p>
        </w:tc>
        <w:tc>
          <w:tcPr>
            <w:tcW w:type="dxa" w:w="1860"/>
            <w:vAlign w:val="center"/>
            <w:shd w:fill="D9EAF7"/>
          </w:tcPr>
          <w:p>
            <w:r/>
            <w:r>
              <w:rPr>
                <w:rFonts w:ascii="微软雅黑" w:hAnsi="微软雅黑" w:eastAsia="微软雅黑"/>
                <w:b/>
                <w:sz w:val="18"/>
              </w:rPr>
              <w:t>评分项</w:t>
            </w:r>
          </w:p>
        </w:tc>
        <w:tc>
          <w:tcPr>
            <w:tcW w:type="dxa" w:w="1860"/>
            <w:vAlign w:val="center"/>
            <w:shd w:fill="D9EAF7"/>
          </w:tcPr>
          <w:p>
            <w:r/>
            <w:r>
              <w:rPr>
                <w:rFonts w:ascii="微软雅黑" w:hAnsi="微软雅黑" w:eastAsia="微软雅黑"/>
                <w:b/>
                <w:sz w:val="18"/>
              </w:rPr>
              <w:t>评分说明</w:t>
            </w:r>
          </w:p>
        </w:tc>
        <w:tc>
          <w:tcPr>
            <w:tcW w:type="dxa" w:w="1860"/>
            <w:vAlign w:val="center"/>
            <w:shd w:fill="D9EAF7"/>
          </w:tcPr>
          <w:p>
            <w:r/>
            <w:r>
              <w:rPr>
                <w:rFonts w:ascii="微软雅黑" w:hAnsi="微软雅黑" w:eastAsia="微软雅黑"/>
                <w:b/>
                <w:sz w:val="18"/>
              </w:rPr>
              <w:t>分值</w:t>
            </w:r>
          </w:p>
        </w:tc>
        <w:tc>
          <w:tcPr>
            <w:tcW w:type="dxa" w:w="1860"/>
            <w:vAlign w:val="center"/>
            <w:shd w:fill="D9EAF7"/>
          </w:tcPr>
          <w:p>
            <w:r/>
            <w:r>
              <w:rPr>
                <w:rFonts w:ascii="微软雅黑" w:hAnsi="微软雅黑" w:eastAsia="微软雅黑"/>
                <w:b/>
                <w:sz w:val="18"/>
              </w:rPr>
              <w:t>响应策略</w:t>
            </w:r>
          </w:p>
        </w:tc>
      </w:tr>
      <w:tr>
        <w:tc>
          <w:tcPr>
            <w:tcW w:type="dxa" w:w="1860"/>
            <w:vAlign w:val="center"/>
          </w:tcPr>
          <w:p>
            <w:r/>
            <w:r>
              <w:rPr>
                <w:rFonts w:ascii="微软雅黑" w:hAnsi="微软雅黑" w:eastAsia="微软雅黑"/>
                <w:b w:val="0"/>
                <w:sz w:val="18"/>
              </w:rPr>
              <w:t>价格部分 / （30分）</w:t>
            </w:r>
          </w:p>
        </w:tc>
        <w:tc>
          <w:tcPr>
            <w:tcW w:type="dxa" w:w="1860"/>
            <w:vAlign w:val="center"/>
          </w:tcPr>
          <w:p>
            <w:r/>
            <w:r>
              <w:rPr>
                <w:rFonts w:ascii="微软雅黑" w:hAnsi="微软雅黑" w:eastAsia="微软雅黑"/>
                <w:b w:val="0"/>
                <w:sz w:val="18"/>
              </w:rPr>
              <w:t>投标报价 / （30分）</w:t>
            </w:r>
          </w:p>
        </w:tc>
        <w:tc>
          <w:tcPr>
            <w:tcW w:type="dxa" w:w="1860"/>
            <w:vAlign w:val="center"/>
          </w:tcPr>
          <w:p>
            <w:r/>
            <w:r>
              <w:rPr>
                <w:rFonts w:ascii="微软雅黑" w:hAnsi="微软雅黑" w:eastAsia="微软雅黑"/>
                <w:b w:val="0"/>
                <w:sz w:val="17"/>
              </w:rPr>
              <w:t>评审基准价为所有有效报价的算术平均数（四舍五入保留两位小数）。 / 3、报价评分标准：服务商报价等于评标基准价的，得满分 30； / 4、有效报价每高于评标基准价一个百分点扣 1 分，每低于评标基准价一个百分点扣 0.5分，扣完为止，具体得分按插入法计算。 / 高于评标基准价得分=30-∣评审报价-评审基准报价∣/评审基准报价×100×1 / 低于评标基准价得分=30－∣评审基准价－投标报价∣/评审基准报价×100×0.5 / 所有数字四舍五入，保留两位小数。</w:t>
            </w:r>
          </w:p>
        </w:tc>
        <w:tc>
          <w:tcPr>
            <w:tcW w:type="dxa" w:w="1860"/>
            <w:vAlign w:val="center"/>
          </w:tcPr>
          <w:p>
            <w:r/>
            <w:r>
              <w:rPr>
                <w:rFonts w:ascii="微软雅黑" w:hAnsi="微软雅黑" w:eastAsia="微软雅黑"/>
                <w:b w:val="0"/>
                <w:sz w:val="18"/>
              </w:rPr>
              <w:t>30分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商务部分 / （13分）</w:t>
            </w:r>
          </w:p>
        </w:tc>
        <w:tc>
          <w:tcPr>
            <w:tcW w:type="dxa" w:w="1860"/>
            <w:vAlign w:val="center"/>
          </w:tcPr>
          <w:p>
            <w:r/>
            <w:r>
              <w:rPr>
                <w:rFonts w:ascii="微软雅黑" w:hAnsi="微软雅黑" w:eastAsia="微软雅黑"/>
                <w:b w:val="0"/>
                <w:sz w:val="18"/>
              </w:rPr>
              <w:t>类似业绩 / （8分）</w:t>
            </w:r>
          </w:p>
        </w:tc>
        <w:tc>
          <w:tcPr>
            <w:tcW w:type="dxa" w:w="1860"/>
            <w:vAlign w:val="center"/>
          </w:tcPr>
          <w:p>
            <w:r/>
            <w:r>
              <w:rPr>
                <w:rFonts w:ascii="微软雅黑" w:hAnsi="微软雅黑" w:eastAsia="微软雅黑"/>
                <w:b w:val="0"/>
                <w:sz w:val="18"/>
              </w:rPr>
              <w:t>近3年（2023年9月1日至今）已完成的智慧食堂类似项目业绩，每一个得2分，最多8分</w:t>
            </w:r>
          </w:p>
        </w:tc>
        <w:tc>
          <w:tcPr>
            <w:tcW w:type="dxa" w:w="1860"/>
            <w:vAlign w:val="center"/>
          </w:tcPr>
          <w:p>
            <w:r/>
            <w:r>
              <w:rPr>
                <w:rFonts w:ascii="微软雅黑" w:hAnsi="微软雅黑" w:eastAsia="微软雅黑"/>
                <w:b w:val="0"/>
                <w:sz w:val="18"/>
              </w:rPr>
              <w:t>0-8分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商务部分 / （13分）</w:t>
            </w:r>
          </w:p>
        </w:tc>
        <w:tc>
          <w:tcPr>
            <w:tcW w:type="dxa" w:w="1860"/>
            <w:vAlign w:val="center"/>
          </w:tcPr>
          <w:p>
            <w:r/>
            <w:r>
              <w:rPr>
                <w:rFonts w:ascii="微软雅黑" w:hAnsi="微软雅黑" w:eastAsia="微软雅黑"/>
                <w:b w:val="0"/>
                <w:sz w:val="18"/>
              </w:rPr>
              <w:t>企业资质 / （5分）</w:t>
            </w:r>
          </w:p>
        </w:tc>
        <w:tc>
          <w:tcPr>
            <w:tcW w:type="dxa" w:w="1860"/>
            <w:vAlign w:val="center"/>
          </w:tcPr>
          <w:p>
            <w:r/>
            <w:r>
              <w:rPr>
                <w:rFonts w:ascii="微软雅黑" w:hAnsi="微软雅黑" w:eastAsia="微软雅黑"/>
                <w:b w:val="0"/>
                <w:sz w:val="18"/>
              </w:rPr>
              <w:t>具有膳食营养相关、以及与本项目相关的软件著作权证书，膳食营养相关每有一项得1分，加满5分为止。</w:t>
            </w:r>
          </w:p>
        </w:tc>
        <w:tc>
          <w:tcPr>
            <w:tcW w:type="dxa" w:w="1860"/>
            <w:vAlign w:val="center"/>
          </w:tcPr>
          <w:p>
            <w:r/>
            <w:r>
              <w:rPr>
                <w:rFonts w:ascii="微软雅黑" w:hAnsi="微软雅黑" w:eastAsia="微软雅黑"/>
                <w:b w:val="0"/>
                <w:sz w:val="18"/>
              </w:rPr>
              <w:t>0-5分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系统功能 / (10分)</w:t>
            </w:r>
          </w:p>
        </w:tc>
        <w:tc>
          <w:tcPr>
            <w:tcW w:type="dxa" w:w="1860"/>
            <w:vAlign w:val="center"/>
          </w:tcPr>
          <w:p>
            <w:r/>
            <w:r>
              <w:rPr>
                <w:rFonts w:ascii="微软雅黑" w:hAnsi="微软雅黑" w:eastAsia="微软雅黑"/>
                <w:b w:val="0"/>
                <w:sz w:val="18"/>
              </w:rPr>
              <w:t>满足要求功能的:得3分； / 高于要求功能的:得4-7分； / 功能最强大得满分:得10分。</w:t>
            </w:r>
          </w:p>
        </w:tc>
        <w:tc>
          <w:tcPr>
            <w:tcW w:type="dxa" w:w="1860"/>
            <w:vAlign w:val="center"/>
          </w:tcPr>
          <w:p>
            <w:r/>
            <w:r>
              <w:rPr>
                <w:rFonts w:ascii="微软雅黑" w:hAnsi="微软雅黑" w:eastAsia="微软雅黑"/>
                <w:b w:val="0"/>
                <w:sz w:val="18"/>
              </w:rPr>
              <w:t>3-10分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设备配置 / (8分)</w:t>
            </w:r>
          </w:p>
        </w:tc>
        <w:tc>
          <w:tcPr>
            <w:tcW w:type="dxa" w:w="1860"/>
            <w:vAlign w:val="center"/>
          </w:tcPr>
          <w:p>
            <w:r/>
            <w:r>
              <w:rPr>
                <w:rFonts w:ascii="微软雅黑" w:hAnsi="微软雅黑" w:eastAsia="微软雅黑"/>
                <w:b w:val="0"/>
                <w:sz w:val="18"/>
              </w:rPr>
              <w:t>1.设备参数满足技术要求的，得3分； / 2.设备参数，高于需要的参数得4-6分； / 3.配置最高者得满分，得8分。</w:t>
            </w:r>
          </w:p>
        </w:tc>
        <w:tc>
          <w:tcPr>
            <w:tcW w:type="dxa" w:w="1860"/>
            <w:vAlign w:val="center"/>
          </w:tcPr>
          <w:p>
            <w:r/>
            <w:r>
              <w:rPr>
                <w:rFonts w:ascii="微软雅黑" w:hAnsi="微软雅黑" w:eastAsia="微软雅黑"/>
                <w:b w:val="0"/>
                <w:sz w:val="18"/>
              </w:rPr>
              <w:t>3-8分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后备服务（10分）</w:t>
            </w:r>
          </w:p>
        </w:tc>
        <w:tc>
          <w:tcPr>
            <w:tcW w:type="dxa" w:w="1860"/>
            <w:vAlign w:val="center"/>
          </w:tcPr>
          <w:p>
            <w:r/>
            <w:r>
              <w:rPr>
                <w:rFonts w:ascii="微软雅黑" w:hAnsi="微软雅黑" w:eastAsia="微软雅黑"/>
                <w:b w:val="0"/>
                <w:sz w:val="18"/>
              </w:rPr>
              <w:t>报价里含增效服务报价如（进销存管理系统和设备报价、保温柜报价等）系统、设备完善、价格最低者得10分，系统不完善设备不全得2-8分；无增效服务的不得分。</w:t>
            </w:r>
          </w:p>
        </w:tc>
        <w:tc>
          <w:tcPr>
            <w:tcW w:type="dxa" w:w="1860"/>
            <w:vAlign w:val="center"/>
          </w:tcPr>
          <w:p>
            <w:r/>
            <w:r>
              <w:rPr>
                <w:rFonts w:ascii="微软雅黑" w:hAnsi="微软雅黑" w:eastAsia="微软雅黑"/>
                <w:b w:val="0"/>
                <w:sz w:val="18"/>
              </w:rPr>
              <w:t>0-10分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售后服务 / (5分)</w:t>
            </w:r>
          </w:p>
        </w:tc>
        <w:tc>
          <w:tcPr>
            <w:tcW w:type="dxa" w:w="1860"/>
            <w:vAlign w:val="center"/>
          </w:tcPr>
          <w:p>
            <w:r/>
            <w:r>
              <w:rPr>
                <w:rFonts w:ascii="微软雅黑" w:hAnsi="微软雅黑" w:eastAsia="微软雅黑"/>
                <w:b w:val="0"/>
                <w:sz w:val="17"/>
              </w:rPr>
              <w:t>售后服务方案的针对性、完整性评审: / 能够结合使用特征，提出详细的售后方案；负责人明确，3年7*24小时，打电话3小时到达现场24小时能排除故障:得5分； / 能够结合部分使用特征，提出具有一定针对性的售后方案；负责人明确，2年7*24小时，打电话3小时到达现场48小时能处理:得3分； / 不能基本结合使用特征，方案有遗漏；负责人不明确等:得1分； / 未提供具体售后服务方案的:0分。</w:t>
            </w:r>
          </w:p>
        </w:tc>
        <w:tc>
          <w:tcPr>
            <w:tcW w:type="dxa" w:w="1860"/>
            <w:vAlign w:val="center"/>
          </w:tcPr>
          <w:p>
            <w:r/>
            <w:r>
              <w:rPr>
                <w:rFonts w:ascii="微软雅黑" w:hAnsi="微软雅黑" w:eastAsia="微软雅黑"/>
                <w:b w:val="0"/>
                <w:sz w:val="18"/>
              </w:rPr>
              <w:t>0-5分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培训方案 / (5分)</w:t>
            </w:r>
          </w:p>
        </w:tc>
        <w:tc>
          <w:tcPr>
            <w:tcW w:type="dxa" w:w="1860"/>
            <w:vAlign w:val="center"/>
          </w:tcPr>
          <w:p>
            <w:r/>
            <w:r>
              <w:rPr>
                <w:rFonts w:ascii="微软雅黑" w:hAnsi="微软雅黑" w:eastAsia="微软雅黑"/>
                <w:b w:val="0"/>
                <w:sz w:val="17"/>
              </w:rPr>
              <w:t>提供的培训方案内容完整、详实可行、重点清晰，具有针对性且完全符合采购需求，得5分; / 提供的方案内容有欠缺，能够满足采购需求，得3分; / 供应商提供的方案有欠缺，不能满足采购需求，得 1分; / 未提供具体培训方案的:0分。</w:t>
            </w:r>
          </w:p>
        </w:tc>
        <w:tc>
          <w:tcPr>
            <w:tcW w:type="dxa" w:w="1860"/>
            <w:vAlign w:val="center"/>
          </w:tcPr>
          <w:p>
            <w:r/>
            <w:r>
              <w:rPr>
                <w:rFonts w:ascii="微软雅黑" w:hAnsi="微软雅黑" w:eastAsia="微软雅黑"/>
                <w:b w:val="0"/>
                <w:sz w:val="18"/>
              </w:rPr>
              <w:t>0-5分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付款方式（12分）</w:t>
            </w:r>
          </w:p>
        </w:tc>
        <w:tc>
          <w:tcPr>
            <w:tcW w:type="dxa" w:w="1860"/>
            <w:vAlign w:val="center"/>
          </w:tcPr>
          <w:p>
            <w:r/>
            <w:r>
              <w:rPr>
                <w:rFonts w:ascii="微软雅黑" w:hAnsi="微软雅黑" w:eastAsia="微软雅黑"/>
                <w:b w:val="0"/>
                <w:sz w:val="17"/>
              </w:rPr>
              <w:t>设备到现场支付合同总价款的30%，设备调试合格支付合同总价款的20%，使用3个月后无质量问题，支付总价款的45%，得4分； / 设备到现场支付合同总价款的30%，设备调试合格后支付合同总价款的20%，使用时间4-6个月无质量问题，支付总价款的45%，得6分， / 设备到现场支付合同总价款的30%，设备调试合格后支付合同总价款的20%，使用时间最长的无质量问题，支付总价款的45%，得12分。</w:t>
            </w:r>
          </w:p>
        </w:tc>
        <w:tc>
          <w:tcPr>
            <w:tcW w:type="dxa" w:w="1860"/>
            <w:vAlign w:val="center"/>
          </w:tcPr>
          <w:p>
            <w:r/>
            <w:r>
              <w:rPr>
                <w:rFonts w:ascii="微软雅黑" w:hAnsi="微软雅黑" w:eastAsia="微软雅黑"/>
                <w:b w:val="0"/>
                <w:sz w:val="18"/>
              </w:rPr>
              <w:t>4-12分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技术部分 / （57分）</w:t>
            </w:r>
          </w:p>
        </w:tc>
        <w:tc>
          <w:tcPr>
            <w:tcW w:type="dxa" w:w="1860"/>
            <w:vAlign w:val="center"/>
          </w:tcPr>
          <w:p>
            <w:r/>
            <w:r>
              <w:rPr>
                <w:rFonts w:ascii="微软雅黑" w:hAnsi="微软雅黑" w:eastAsia="微软雅黑"/>
                <w:b w:val="0"/>
                <w:sz w:val="18"/>
              </w:rPr>
              <w:t>质保期（7分）</w:t>
            </w:r>
          </w:p>
        </w:tc>
        <w:tc>
          <w:tcPr>
            <w:tcW w:type="dxa" w:w="1860"/>
            <w:vAlign w:val="center"/>
          </w:tcPr>
          <w:p>
            <w:r/>
            <w:r>
              <w:rPr>
                <w:rFonts w:ascii="微软雅黑" w:hAnsi="微软雅黑" w:eastAsia="微软雅黑"/>
                <w:b w:val="0"/>
                <w:sz w:val="18"/>
              </w:rPr>
              <w:t>质保一年3分、质保二年5分、质保三年7分。</w:t>
            </w:r>
          </w:p>
        </w:tc>
        <w:tc>
          <w:tcPr>
            <w:tcW w:type="dxa" w:w="1860"/>
            <w:vAlign w:val="center"/>
          </w:tcPr>
          <w:p>
            <w:r/>
            <w:r>
              <w:rPr>
                <w:rFonts w:ascii="微软雅黑" w:hAnsi="微软雅黑" w:eastAsia="微软雅黑"/>
                <w:b w:val="0"/>
                <w:sz w:val="18"/>
              </w:rPr>
              <w:t>3-7分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r>
        <w:tc>
          <w:tcPr>
            <w:tcW w:type="dxa" w:w="1860"/>
            <w:vAlign w:val="center"/>
          </w:tcPr>
          <w:p>
            <w:r/>
            <w:r>
              <w:rPr>
                <w:rFonts w:ascii="微软雅黑" w:hAnsi="微软雅黑" w:eastAsia="微软雅黑"/>
                <w:b w:val="0"/>
                <w:sz w:val="18"/>
              </w:rPr>
              <w:t>总计</w:t>
            </w:r>
          </w:p>
        </w:tc>
        <w:tc>
          <w:tcPr>
            <w:tcW w:type="dxa" w:w="1860"/>
            <w:vAlign w:val="center"/>
          </w:tcPr>
          <w:p>
            <w:r/>
            <w:r>
              <w:rPr>
                <w:rFonts w:ascii="微软雅黑" w:hAnsi="微软雅黑" w:eastAsia="微软雅黑"/>
                <w:b w:val="0"/>
                <w:sz w:val="18"/>
              </w:rPr>
              <w:t>总计</w:t>
            </w:r>
          </w:p>
        </w:tc>
        <w:tc>
          <w:tcPr>
            <w:tcW w:type="dxa" w:w="1860"/>
            <w:vAlign w:val="center"/>
          </w:tcPr>
          <w:p>
            <w:r/>
            <w:r>
              <w:rPr>
                <w:rFonts w:ascii="微软雅黑" w:hAnsi="微软雅黑" w:eastAsia="微软雅黑"/>
                <w:b w:val="0"/>
                <w:sz w:val="18"/>
              </w:rPr>
              <w:t>总计</w:t>
            </w:r>
          </w:p>
        </w:tc>
        <w:tc>
          <w:tcPr>
            <w:tcW w:type="dxa" w:w="1860"/>
            <w:vAlign w:val="center"/>
          </w:tcPr>
          <w:p>
            <w:r/>
            <w:r>
              <w:rPr>
                <w:rFonts w:ascii="微软雅黑" w:hAnsi="微软雅黑" w:eastAsia="微软雅黑"/>
                <w:b w:val="0"/>
                <w:sz w:val="18"/>
              </w:rPr>
              <w:t>100分</w:t>
            </w:r>
          </w:p>
        </w:tc>
        <w:tc>
          <w:tcPr>
            <w:tcW w:type="dxa" w:w="1860"/>
            <w:vAlign w:val="center"/>
          </w:tcPr>
          <w:p>
            <w:r/>
            <w:r>
              <w:rPr>
                <w:rFonts w:ascii="微软雅黑" w:hAnsi="微软雅黑" w:eastAsia="微软雅黑"/>
                <w:b w:val="0"/>
                <w:sz w:val="18"/>
              </w:rPr>
              <w:t>按采购文件要求提供材料，报价、业绩、技术方案和售后服务优先补盖章证明。</w:t>
            </w:r>
          </w:p>
        </w:tc>
      </w:tr>
    </w:tbl>
    <w:p/>
    <w:p>
      <w:r>
        <w:br w:type="page"/>
      </w:r>
    </w:p>
    <w:p>
      <w:pPr>
        <w:pStyle w:val="Heading1"/>
      </w:pPr>
      <w:r>
        <w:rPr>
          <w:rFonts w:ascii="微软雅黑" w:hAnsi="微软雅黑" w:eastAsia="微软雅黑"/>
          <w:b/>
          <w:color w:val="12324A"/>
          <w:sz w:val="32"/>
        </w:rPr>
        <w:t>附录C 表单与承诺函模板</w:t>
      </w:r>
    </w:p>
    <w:p>
      <w:pPr>
        <w:pStyle w:val="Heading2"/>
      </w:pPr>
      <w:r>
        <w:rPr>
          <w:rFonts w:ascii="微软雅黑" w:hAnsi="微软雅黑" w:eastAsia="微软雅黑"/>
          <w:b/>
          <w:color w:val="12324A"/>
          <w:sz w:val="28"/>
        </w:rPr>
        <w:t>独立法人及良好商业信誉承诺函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我司为中华人民共和国境内合法注册的独立法人，具有独立承担民事责任的能力，遵守国家有关法律、法规，具有良好的商业信誉。</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无重大行政处罚承诺书</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我司当前未处于限制开展生产经营活动、责令停产停业、责令关闭、限制从业等重大行政处罚期内。</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信用记录承诺函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我司当前未被列入税收违法黑名单、失信被执行人名单、政府采购严重违法失信行为记录名单或严重违法失信名单。</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不联合体投标承诺函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我司承诺不以联合体形式参加本项目投标。</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无利益冲突承诺函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我司与采购人不存在利益冲突，不存在损害采购人合法利益和声誉的情形，不存在针对采购人的重大诚信问题。</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投标有效期承诺函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我司承诺本项目投标有效期为投标截止日期后90日历日。</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质保期承诺函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我司承诺本项目产品质保期不低于1年，自产品验收合格之日起开始计算。</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售后服务承诺函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我司承诺提供7*24小时技术咨询服务，并按采购文件要求提供现场维修和备品备件支持。</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p>
      <w:r>
        <w:br w:type="page"/>
      </w:r>
    </w:p>
    <w:p>
      <w:pPr>
        <w:pStyle w:val="Heading2"/>
      </w:pPr>
      <w:r>
        <w:rPr>
          <w:rFonts w:ascii="微软雅黑" w:hAnsi="微软雅黑" w:eastAsia="微软雅黑"/>
          <w:b/>
          <w:color w:val="12324A"/>
          <w:sz w:val="28"/>
        </w:rPr>
        <w:t>资料真实性承诺函</w:t>
      </w:r>
    </w:p>
    <w:p>
      <w:r>
        <w:rPr>
          <w:rFonts w:ascii="微软雅黑" w:hAnsi="微软雅黑" w:eastAsia="微软雅黑"/>
          <w:b w:val="0"/>
          <w:sz w:val="21"/>
        </w:rPr>
        <w:t>致：北京蓝色港湾科技有限责任公司</w:t>
      </w:r>
    </w:p>
    <w:p>
      <w:r>
        <w:rPr>
          <w:rFonts w:ascii="微软雅黑" w:hAnsi="微软雅黑" w:eastAsia="微软雅黑"/>
          <w:b w:val="0"/>
          <w:sz w:val="21"/>
        </w:rPr>
        <w:t>我司承诺本项目响应文件所提供的全部资料真实、准确、完整，如有虚假，自愿承担由此产生的全部责任。</w:t>
      </w:r>
    </w:p>
    <w:p>
      <w:r>
        <w:rPr>
          <w:rFonts w:ascii="微软雅黑" w:hAnsi="微软雅黑" w:eastAsia="微软雅黑"/>
          <w:b w:val="0"/>
          <w:sz w:val="21"/>
        </w:rPr>
        <w:t>供应商名称：（公章）</w:t>
      </w:r>
    </w:p>
    <w:p>
      <w:r>
        <w:rPr>
          <w:rFonts w:ascii="微软雅黑" w:hAnsi="微软雅黑" w:eastAsia="微软雅黑"/>
          <w:b w:val="0"/>
          <w:sz w:val="21"/>
        </w:rPr>
        <w:t>法定代表人或法人授权代表：（签字或签章）</w:t>
      </w:r>
    </w:p>
    <w:p>
      <w:r>
        <w:rPr>
          <w:rFonts w:ascii="微软雅黑" w:hAnsi="微软雅黑" w:eastAsia="微软雅黑"/>
          <w:b w:val="0"/>
          <w:sz w:val="21"/>
        </w:rPr>
        <w:t>日期：    年    月    日</w:t>
      </w:r>
    </w:p>
    <w:sectPr w:rsidR="00FC693F" w:rsidRPr="0006063C" w:rsidSect="00034616">
      <w:footerReference w:type="default" r:id="rId9"/>
      <w:pgSz w:w="11906" w:h="16838"/>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国家康复辅具研究中心智慧餐厅称重系统改造投标响应文件</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微软雅黑" w:hAnsi="微软雅黑" w:eastAsia="微软雅黑"/>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微软雅黑" w:hAnsi="微软雅黑" w:eastAsia="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微软雅黑" w:hAnsi="微软雅黑" w:eastAsia="微软雅黑"/>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微软雅黑" w:hAnsi="微软雅黑" w:eastAsia="微软雅黑"/>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