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998E0">
      <w:pPr>
        <w:spacing w:before="0" w:after="80" w:line="252" w:lineRule="auto"/>
        <w:jc w:val="center"/>
      </w:pPr>
      <w:r>
        <w:rPr>
          <w:rFonts w:ascii="宋体" w:hAnsi="宋体" w:eastAsia="宋体"/>
          <w:b/>
          <w:sz w:val="32"/>
        </w:rPr>
        <w:t>软件测试需求明细列表：智慧营养健康餐厅</w:t>
      </w:r>
      <w:bookmarkStart w:id="0" w:name="_GoBack"/>
      <w:bookmarkEnd w:id="0"/>
    </w:p>
    <w:p w14:paraId="6943D875">
      <w:pPr>
        <w:pStyle w:val="3"/>
        <w:spacing w:before="0" w:after="80" w:line="252" w:lineRule="auto"/>
      </w:pPr>
      <w:r>
        <w:rPr>
          <w:rFonts w:ascii="宋体" w:hAnsi="宋体" w:eastAsia="宋体"/>
          <w:b/>
          <w:sz w:val="24"/>
        </w:rPr>
        <w:t>一、项目基本信息</w:t>
      </w:r>
    </w:p>
    <w:tbl>
      <w:tblPr>
        <w:tblStyle w:val="33"/>
        <w:tblW w:w="3332" w:type="pct"/>
        <w:jc w:val="center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8239"/>
      </w:tblGrid>
      <w:tr w14:paraId="0C15ED08">
        <w:trPr>
          <w:cantSplit/>
          <w:tblHeader/>
          <w:jc w:val="center"/>
        </w:trPr>
        <w:tc>
          <w:tcPr>
            <w:tcW w:w="2295" w:type="dxa"/>
            <w:shd w:val="clear" w:color="auto" w:fill="DDEBE6"/>
            <w:vAlign w:val="center"/>
          </w:tcPr>
          <w:p w14:paraId="556D6429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4"/>
              </w:rPr>
              <w:t>字段</w:t>
            </w:r>
          </w:p>
        </w:tc>
        <w:tc>
          <w:tcPr>
            <w:tcW w:w="8241" w:type="dxa"/>
            <w:shd w:val="clear" w:color="auto" w:fill="DDEBE6"/>
            <w:vAlign w:val="center"/>
          </w:tcPr>
          <w:p w14:paraId="1A1807AA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4"/>
              </w:rPr>
              <w:t>填写内容</w:t>
            </w:r>
          </w:p>
        </w:tc>
      </w:tr>
      <w:tr w14:paraId="2357F72F">
        <w:trPr>
          <w:cantSplit/>
          <w:jc w:val="center"/>
        </w:trPr>
        <w:tc>
          <w:tcPr>
            <w:tcW w:w="2295" w:type="dxa"/>
            <w:shd w:val="clear" w:color="auto" w:fill="FFFFFF"/>
            <w:vAlign w:val="center"/>
          </w:tcPr>
          <w:p w14:paraId="0A0285A7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项目名称</w:t>
            </w:r>
          </w:p>
        </w:tc>
        <w:tc>
          <w:tcPr>
            <w:tcW w:w="8241" w:type="dxa"/>
            <w:shd w:val="clear" w:color="auto" w:fill="FFFFFF"/>
            <w:vAlign w:val="center"/>
          </w:tcPr>
          <w:p w14:paraId="4D5181C2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康比特智慧营养健康餐厅管理系统 V1.0 软件测试</w:t>
            </w:r>
          </w:p>
        </w:tc>
      </w:tr>
      <w:tr w14:paraId="4DB6A361">
        <w:trPr>
          <w:cantSplit/>
          <w:jc w:val="center"/>
        </w:trPr>
        <w:tc>
          <w:tcPr>
            <w:tcW w:w="2295" w:type="dxa"/>
            <w:shd w:val="clear" w:color="auto" w:fill="FFFFFF"/>
            <w:vAlign w:val="center"/>
          </w:tcPr>
          <w:p w14:paraId="49AB47A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委托单位</w:t>
            </w:r>
          </w:p>
        </w:tc>
        <w:tc>
          <w:tcPr>
            <w:tcW w:w="8241" w:type="dxa"/>
            <w:shd w:val="clear" w:color="auto" w:fill="FFFFFF"/>
            <w:vAlign w:val="center"/>
          </w:tcPr>
          <w:p w14:paraId="7ADAB7FA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北京康比特体育科技股份有限公司</w:t>
            </w:r>
          </w:p>
        </w:tc>
      </w:tr>
      <w:tr w14:paraId="02A7431D">
        <w:trPr>
          <w:cantSplit/>
          <w:jc w:val="center"/>
        </w:trPr>
        <w:tc>
          <w:tcPr>
            <w:tcW w:w="2295" w:type="dxa"/>
            <w:shd w:val="clear" w:color="auto" w:fill="FFFFFF"/>
            <w:vAlign w:val="center"/>
          </w:tcPr>
          <w:p w14:paraId="4500F3FD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生产单位</w:t>
            </w:r>
          </w:p>
        </w:tc>
        <w:tc>
          <w:tcPr>
            <w:tcW w:w="8241" w:type="dxa"/>
            <w:shd w:val="clear" w:color="auto" w:fill="FFFFFF"/>
            <w:vAlign w:val="center"/>
          </w:tcPr>
          <w:p w14:paraId="61C7FBA4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北京康比特体育科技股份有限公司</w:t>
            </w:r>
          </w:p>
        </w:tc>
      </w:tr>
      <w:tr w14:paraId="1DD9F216">
        <w:trPr>
          <w:cantSplit/>
          <w:jc w:val="center"/>
        </w:trPr>
        <w:tc>
          <w:tcPr>
            <w:tcW w:w="2295" w:type="dxa"/>
            <w:shd w:val="clear" w:color="auto" w:fill="FFFFFF"/>
            <w:vAlign w:val="center"/>
          </w:tcPr>
          <w:p w14:paraId="35C72961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联系人/联系方式</w:t>
            </w:r>
          </w:p>
        </w:tc>
        <w:tc>
          <w:tcPr>
            <w:tcW w:w="8241" w:type="dxa"/>
            <w:shd w:val="clear" w:color="auto" w:fill="FFFFFF"/>
            <w:vAlign w:val="center"/>
          </w:tcPr>
          <w:p w14:paraId="7BEFA72A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4"/>
              </w:rPr>
              <w:t>联系人：康比特项目负责人；电话：010-50949378；邮箱：lvlifu@chinacpt.com</w:t>
            </w:r>
          </w:p>
        </w:tc>
      </w:tr>
    </w:tbl>
    <w:p w14:paraId="269546D1">
      <w:pPr>
        <w:pStyle w:val="3"/>
        <w:spacing w:before="0" w:after="80" w:line="252" w:lineRule="auto"/>
      </w:pPr>
      <w:r>
        <w:rPr>
          <w:rFonts w:ascii="宋体" w:hAnsi="宋体" w:eastAsia="宋体"/>
          <w:b/>
          <w:sz w:val="24"/>
        </w:rPr>
        <w:t>二、确定测试内容</w:t>
      </w:r>
    </w:p>
    <w:tbl>
      <w:tblPr>
        <w:tblStyle w:val="33"/>
        <w:tblW w:w="5000" w:type="pct"/>
        <w:jc w:val="center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3952"/>
        <w:gridCol w:w="3952"/>
        <w:gridCol w:w="3952"/>
      </w:tblGrid>
      <w:tr w14:paraId="0C2A13B6">
        <w:trPr>
          <w:cantSplit/>
          <w:tblHeader/>
          <w:jc w:val="center"/>
        </w:trPr>
        <w:tc>
          <w:tcPr>
            <w:tcW w:w="1984" w:type="dxa"/>
            <w:shd w:val="clear" w:color="auto" w:fill="DDEBE6"/>
            <w:vAlign w:val="center"/>
          </w:tcPr>
          <w:p w14:paraId="37112BC6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测试项</w:t>
            </w:r>
          </w:p>
        </w:tc>
        <w:tc>
          <w:tcPr>
            <w:tcW w:w="1701" w:type="dxa"/>
            <w:shd w:val="clear" w:color="auto" w:fill="DDEBE6"/>
            <w:vAlign w:val="center"/>
          </w:tcPr>
          <w:p w14:paraId="1AE26491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确定选择</w:t>
            </w:r>
          </w:p>
        </w:tc>
        <w:tc>
          <w:tcPr>
            <w:tcW w:w="4819" w:type="dxa"/>
            <w:shd w:val="clear" w:color="auto" w:fill="DDEBE6"/>
            <w:vAlign w:val="center"/>
          </w:tcPr>
          <w:p w14:paraId="248BCC04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理由</w:t>
            </w:r>
          </w:p>
        </w:tc>
        <w:tc>
          <w:tcPr>
            <w:tcW w:w="6917" w:type="dxa"/>
            <w:shd w:val="clear" w:color="auto" w:fill="DDEBE6"/>
            <w:vAlign w:val="center"/>
          </w:tcPr>
          <w:p w14:paraId="4083F9BB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执行口径</w:t>
            </w:r>
          </w:p>
        </w:tc>
      </w:tr>
      <w:tr w14:paraId="692404B1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610E498D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产品说明要求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1ED913E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勾选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59C49DAF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需产品说明、功能说明、用户手册或需求说明作为测试依据。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66F9E929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测试依据固定为产品说明书、功能说明书、用户手册、部署手册、接口文档，版本 V1.0。</w:t>
            </w:r>
          </w:p>
        </w:tc>
      </w:tr>
      <w:tr w14:paraId="7800D3B8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335A97F5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功能性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59CD417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勾选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144DBD2D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系统模块多、角色多、接口多，功能性是核心。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013BE2E5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测试范围覆盖平台基础、餐厅经营、账户卡务、消费策略、订单、硬件接入、AI 营养、食安进销存、报表看板、外部接口和数据安全。</w:t>
            </w:r>
          </w:p>
        </w:tc>
      </w:tr>
      <w:tr w14:paraId="3F0BEC51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47FA2E4C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性能效率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23A65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勾选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4FD96EE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订单、设备、报表、AI、接口均有性能场景。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15720182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性能指标按第四部分表格执行。</w:t>
            </w:r>
          </w:p>
        </w:tc>
      </w:tr>
      <w:tr w14:paraId="730840E8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2DADF005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兼容性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E8A3F2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勾选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60C8C077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PC、移动端、微信/H5、设备端、国产化环境均纳入。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7728C99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环境固定为 Chrome/Edge、微信/H5/小程序、Windows/国产操作系统、标准设备/Mock。</w:t>
            </w:r>
          </w:p>
        </w:tc>
      </w:tr>
      <w:tr w14:paraId="7EEDB422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7970D4D3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用户文档集要求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64F6A5B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勾选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027A0DEA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报告要求文档与功能一致。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01B4DE92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提交用户手册、部署手册、接口文档、测试环境说明和数据字典。</w:t>
            </w:r>
          </w:p>
        </w:tc>
      </w:tr>
      <w:tr w14:paraId="4B2DC29A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0350DA81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易用性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A918E4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勾选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6B9F9235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后台表单、移动端、设备配置需要基础易用性。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3D84B0A9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覆盖表单、菜单、错误提示、导入导出、移动端流程和设备配置。</w:t>
            </w:r>
          </w:p>
        </w:tc>
      </w:tr>
      <w:tr w14:paraId="5C02E25C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2529A0A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可靠性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828EB7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勾选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35AEBFE2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金额、设备、回调、导出、定时任务需异常恢复。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2358B6DC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覆盖异常恢复、幂等、重试、数据回滚、日志定位和定时任务。</w:t>
            </w:r>
          </w:p>
        </w:tc>
      </w:tr>
      <w:tr w14:paraId="4500170D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23A91F7F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信息安全性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01CAB0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勾选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72DD504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涉及个人信息、健康、支付/补贴、接口权限。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18136E6C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包含身份鉴别、权限隔离、接口鉴权、参数校验、敏感数据脱敏、导出控制、日志审计和黑盒漏洞扫描；不包含源码审计。</w:t>
            </w:r>
          </w:p>
        </w:tc>
      </w:tr>
      <w:tr w14:paraId="3A304D4F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69FD83B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可移植性/维护性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3FF4B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勾选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6ECE7624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私有化、国产化、运维日志、配置、备份等均纳入。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4BE695F7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覆盖私有化部署、配置分离、备份恢复、日志、任务调度和证书替换；国产化环境按兼容性场景验证。</w:t>
            </w:r>
          </w:p>
        </w:tc>
      </w:tr>
    </w:tbl>
    <w:p w14:paraId="703A53C0">
      <w:pPr>
        <w:pStyle w:val="3"/>
        <w:spacing w:before="0" w:after="80" w:line="252" w:lineRule="auto"/>
      </w:pPr>
      <w:r>
        <w:rPr>
          <w:rFonts w:ascii="宋体" w:hAnsi="宋体" w:eastAsia="宋体"/>
          <w:b/>
          <w:sz w:val="24"/>
        </w:rPr>
        <w:t>三、功能需求明细</w:t>
      </w:r>
    </w:p>
    <w:tbl>
      <w:tblPr>
        <w:tblStyle w:val="33"/>
        <w:tblW w:w="5000" w:type="pct"/>
        <w:jc w:val="center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3952"/>
        <w:gridCol w:w="3952"/>
        <w:gridCol w:w="3952"/>
      </w:tblGrid>
      <w:tr w14:paraId="246494BC">
        <w:trPr>
          <w:cantSplit/>
          <w:tblHeader/>
          <w:jc w:val="center"/>
        </w:trPr>
        <w:tc>
          <w:tcPr>
            <w:tcW w:w="1984" w:type="dxa"/>
            <w:shd w:val="clear" w:color="auto" w:fill="DDEBE6"/>
            <w:vAlign w:val="center"/>
          </w:tcPr>
          <w:p w14:paraId="312C73D6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一级功能</w:t>
            </w:r>
          </w:p>
        </w:tc>
        <w:tc>
          <w:tcPr>
            <w:tcW w:w="2268" w:type="dxa"/>
            <w:shd w:val="clear" w:color="auto" w:fill="DDEBE6"/>
            <w:vAlign w:val="center"/>
          </w:tcPr>
          <w:p w14:paraId="6EF60BD2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二级功能</w:t>
            </w:r>
          </w:p>
        </w:tc>
        <w:tc>
          <w:tcPr>
            <w:tcW w:w="6520" w:type="dxa"/>
            <w:shd w:val="clear" w:color="auto" w:fill="DDEBE6"/>
            <w:vAlign w:val="center"/>
          </w:tcPr>
          <w:p w14:paraId="4CCF3161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三级功能/测试点</w:t>
            </w:r>
          </w:p>
        </w:tc>
        <w:tc>
          <w:tcPr>
            <w:tcW w:w="4649" w:type="dxa"/>
            <w:shd w:val="clear" w:color="auto" w:fill="DDEBE6"/>
            <w:vAlign w:val="center"/>
          </w:tcPr>
          <w:p w14:paraId="6F64E953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功能说明</w:t>
            </w:r>
          </w:p>
        </w:tc>
      </w:tr>
      <w:tr w14:paraId="62A7803F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224B185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平台基础与系统管理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B49CD9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登录与身份认证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7FD0BF09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账号密码登录、登录态保持、退出登录、密码策略、登录失败提示、验证码/短信验证码（启用）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5733CB05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确保不同角色可安全登录，异常登录被阻断并有日志。</w:t>
            </w:r>
          </w:p>
        </w:tc>
      </w:tr>
      <w:tr w14:paraId="525F1374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41247C1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平台基础与系统管理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DA19F73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角色权限管理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68E38785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菜单权限、按钮权限、数据权限、角色分配、管理员分权、权限变更日志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303C536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验证跨角色、跨餐厅、跨门店、跨业务数据不能越权访问。</w:t>
            </w:r>
          </w:p>
        </w:tc>
      </w:tr>
      <w:tr w14:paraId="355F6409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42C8B8D2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平台基础与系统管理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D01745F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组织与基础资料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6005225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单位、部门、人员、身份类别、餐厅、档口、餐线、餐次等基础资料维护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1868E81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支撑人员账户、订单归属、消费策略和报表统计。</w:t>
            </w:r>
          </w:p>
        </w:tc>
      </w:tr>
      <w:tr w14:paraId="5D8679A5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07195D2C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餐厅经营管理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F147E7A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菜品管理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1482A28E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菜品新增、编辑、上下架、分类、图片、价格、营养素、过敏原/标签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3D155E05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功能名称与 PC 菜品管理、移动端展示、设备端同步保持一致。</w:t>
            </w:r>
          </w:p>
        </w:tc>
      </w:tr>
      <w:tr w14:paraId="66ACD170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170A028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餐厅经营管理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10BFED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菜谱/排餐管理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223E8E4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周期菜谱、餐次菜谱、排餐、例外菜、称重台排菜、设备同步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6F3DD39B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验证菜谱在后台、移动端、电子菜牌/称重设备上的一致性。</w:t>
            </w:r>
          </w:p>
        </w:tc>
      </w:tr>
      <w:tr w14:paraId="06B2D2A8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092CE64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餐厅经营管理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424A29C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餐厅/档口设置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13D6803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餐厅信息、档口信息、营业时间、餐别、支付方式、配送/自取规则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271E60F9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覆盖多餐厅、多档口、多企业场景。</w:t>
            </w:r>
          </w:p>
        </w:tc>
      </w:tr>
      <w:tr w14:paraId="31D47BCE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0DDDCE8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账户与卡务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8347A72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人员档案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29801964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员工/会员/学生等人员档案、部门、手机号、身份类别、状态、导入导出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7B032D51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验证在职/离职、部门变更、历史订单归属等边界。</w:t>
            </w:r>
          </w:p>
        </w:tc>
      </w:tr>
      <w:tr w14:paraId="7CA8DF4C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33AC6E63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账户与卡务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CF8FC0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卡/码/脸账户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4A06B9CC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餐卡、二维码、人脸、账户绑定、解绑、挂失、补卡、设备识别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1E0C4415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涉及个人信息和人脸数据时需验证授权、权限和脱敏。</w:t>
            </w:r>
          </w:p>
        </w:tc>
      </w:tr>
      <w:tr w14:paraId="0EAFAA30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39E1617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账户与卡务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C72030B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现金账户与补贴账户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167813D9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充值、退款、补贴发放、补贴使用、余额查询、流水、对账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54B2553A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重点验证金额精度、重复提交、退款回滚、对账一致性。</w:t>
            </w:r>
          </w:p>
        </w:tc>
      </w:tr>
      <w:tr w14:paraId="323AD669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1F419307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营销与消费策略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7F8BF1D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消费策略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6D649647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优惠、折扣、补贴、计次、限额、消费限制、访客餐/加班餐等规则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64EE1B65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验证策略优先级、有效期、适用人群和异常边界。</w:t>
            </w:r>
          </w:p>
        </w:tc>
      </w:tr>
      <w:tr w14:paraId="0E652111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287DB25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订单管理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E6ABB2B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称重/刷卡/扫码/刷脸消费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069605F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设备上传订单、菜品重量/份数、价格、营养、支付、扣款、打印小票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348FCDD4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重点验证不重复扣款、订单幂等、设备异常可追溯。</w:t>
            </w:r>
          </w:p>
        </w:tc>
      </w:tr>
      <w:tr w14:paraId="62FC0D40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290FBF34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订单管理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444C5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线上订餐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41764F7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菜谱展示、下单、支付、取消、取餐、评价、售后/退款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4BD92D5F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验证移动端和 PC 订单状态一致。</w:t>
            </w:r>
          </w:p>
        </w:tc>
      </w:tr>
      <w:tr w14:paraId="693E9B54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7721F4D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订单管理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71626D1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订单退款与异常处理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6C05453C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退款申请、审核、原路退/账户退、异常订单补偿、冲正/补单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3F9A5F4B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金额类高风险，必须覆盖异常、重复、超时和权限。</w:t>
            </w:r>
          </w:p>
        </w:tc>
      </w:tr>
      <w:tr w14:paraId="685BF0B2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3D578EDA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订单管理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46EAB55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消费订单查询与导出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7156635F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订单筛选、详情、退款状态、支付状态、餐厅/档口/设备/人员筛选、异步导出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6BAD607A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验证大数据量导出、权限隔离、导出日志和字段口径。</w:t>
            </w:r>
          </w:p>
        </w:tc>
      </w:tr>
      <w:tr w14:paraId="2073E860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2CAC22DB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智能硬件接入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ED740D7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消费机/称重台/膳食智能台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3EA05C4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设备注册、参数配置、菜品同步、订单上传、心跳、设备日志、离线补传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1A9AF6B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验证设备协议、网络异常、重复上传、防重放和恢复。</w:t>
            </w:r>
          </w:p>
        </w:tc>
      </w:tr>
      <w:tr w14:paraId="09D1F967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0A23BF6D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智能硬件接入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C1EA2F1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打印机/电子菜牌/取餐柜/售卖柜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1319F00A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打印任务、电子菜牌展示、取餐码/柜门控制、售卖柜出货结果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1FF658EC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验证下游失败可观测且不破坏主订单。</w:t>
            </w:r>
          </w:p>
        </w:tc>
      </w:tr>
      <w:tr w14:paraId="5205E0BD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3E27EE7D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AI 与营养健康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6CDC7B7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菜品营养标签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1717FF04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热量、蛋白质、脂肪、碳水等营养信息维护和展示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1F6E6DEF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验证营养字段口径、展示端一致性和空值处理。</w:t>
            </w:r>
          </w:p>
        </w:tc>
      </w:tr>
      <w:tr w14:paraId="1CD45605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5E340347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AI 与营养健康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FD7F63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AI 菜品识别/智能排菜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774F8BF9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菜品图片识别、识别结果维护、智能排菜确定、人工复核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52AE45C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AI 输出纳入人工复核闭环，不作为无人工审核的绝对结论。</w:t>
            </w:r>
          </w:p>
        </w:tc>
      </w:tr>
      <w:tr w14:paraId="57086996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4CBD7372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AI 与营养健康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A4AB9E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个体/团体膳食监控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03E38A59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个人饮食记录、目标体重、营养日报/周报、团体监控、阶段报告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41F40AA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涉及健康数据，验证授权、脱敏、非医疗声明。</w:t>
            </w:r>
          </w:p>
        </w:tc>
      </w:tr>
      <w:tr w14:paraId="02632CD8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50CB231C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食安与进销存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ED5761E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供应商与采购管理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4019F68F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供应商、商品、采购计划、验收、入库、出库、库存、价格异常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2B8677D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验证单据流转、库存扣减、权限和报表一致性。</w:t>
            </w:r>
          </w:p>
        </w:tc>
      </w:tr>
      <w:tr w14:paraId="2EB7E744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7BB6A345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食安与进销存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DAEAE19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食安台账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631FC463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晨检、留样、消毒、农残、废弃物、陪餐、整改闭环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56FF6A0C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验证责任人、发生时间、证据材料、处理状态四字段。</w:t>
            </w:r>
          </w:p>
        </w:tc>
      </w:tr>
      <w:tr w14:paraId="72E9564E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2167C2C1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报表与看板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99B39AB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经营报表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68ABAE84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营业额、客单价、就餐人次、菜品热度、时段流量、补贴、退款、设备在线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69F41F7A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验证指标计算口径、刷新频率、导出权限和数据一致性。</w:t>
            </w:r>
          </w:p>
        </w:tc>
      </w:tr>
      <w:tr w14:paraId="71EACF3B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093F37AE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报表与看板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FD4BD4C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营养/食安/运营综合看板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0E16CE3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营养结构、食安预警、设备状态、库存预警、大屏展示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7A267849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验证不同角色看到的数据范围和指标口径。</w:t>
            </w:r>
          </w:p>
        </w:tc>
      </w:tr>
      <w:tr w14:paraId="7163EB8E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3D795682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外部接口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48CB6F5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第三方支付/银行/一卡通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5EB4C62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充值、支付结果、订单查询、对账、异常订单、回调、签名验签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61A936C9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验证超时、重复通知、金额不一致、回调幂等。</w:t>
            </w:r>
          </w:p>
        </w:tc>
      </w:tr>
      <w:tr w14:paraId="7E1C45DA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3508B432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外部接口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25CAA73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企微/钉钉/客户中台/监管平台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112EE0C7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人员同步、组织同步、消息通知、监管数据回流、接口日志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6F13BFC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验证字段最小化、调用频控、认证、失败重试和日志。</w:t>
            </w:r>
          </w:p>
        </w:tc>
      </w:tr>
      <w:tr w14:paraId="2E7560AA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1748B10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接口与数据安全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13981E2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接口鉴权与审计</w:t>
            </w:r>
          </w:p>
        </w:tc>
        <w:tc>
          <w:tcPr>
            <w:tcW w:w="6520" w:type="dxa"/>
            <w:shd w:val="clear" w:color="auto" w:fill="FFFFFF"/>
            <w:vAlign w:val="center"/>
          </w:tcPr>
          <w:p w14:paraId="4E1399D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Access-Token/cookie/签名、接口权限、参数校验、调用日志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29423F4D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覆盖缺失鉴权、无效鉴权、越权访问、非法参数。</w:t>
            </w:r>
          </w:p>
        </w:tc>
      </w:tr>
    </w:tbl>
    <w:p w14:paraId="35A060A6">
      <w:pPr>
        <w:pStyle w:val="3"/>
        <w:spacing w:before="0" w:after="80" w:line="252" w:lineRule="auto"/>
      </w:pPr>
      <w:r>
        <w:rPr>
          <w:rFonts w:ascii="宋体" w:hAnsi="宋体" w:eastAsia="宋体"/>
          <w:b/>
          <w:sz w:val="24"/>
        </w:rPr>
        <w:t>四、性能和质量特性补充</w:t>
      </w:r>
    </w:p>
    <w:tbl>
      <w:tblPr>
        <w:tblStyle w:val="33"/>
        <w:tblW w:w="5000" w:type="pct"/>
        <w:jc w:val="center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3952"/>
        <w:gridCol w:w="3952"/>
        <w:gridCol w:w="3952"/>
      </w:tblGrid>
      <w:tr w14:paraId="003817DD">
        <w:trPr>
          <w:cantSplit/>
          <w:tblHeader/>
          <w:jc w:val="center"/>
        </w:trPr>
        <w:tc>
          <w:tcPr>
            <w:tcW w:w="1984" w:type="dxa"/>
            <w:shd w:val="clear" w:color="auto" w:fill="DDEBE6"/>
            <w:vAlign w:val="center"/>
          </w:tcPr>
          <w:p w14:paraId="0E0CF261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场景</w:t>
            </w:r>
          </w:p>
        </w:tc>
        <w:tc>
          <w:tcPr>
            <w:tcW w:w="2835" w:type="dxa"/>
            <w:shd w:val="clear" w:color="auto" w:fill="DDEBE6"/>
            <w:vAlign w:val="center"/>
          </w:tcPr>
          <w:p w14:paraId="736AD453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指标要求</w:t>
            </w:r>
          </w:p>
        </w:tc>
        <w:tc>
          <w:tcPr>
            <w:tcW w:w="4649" w:type="dxa"/>
            <w:shd w:val="clear" w:color="auto" w:fill="DDEBE6"/>
            <w:vAlign w:val="center"/>
          </w:tcPr>
          <w:p w14:paraId="5AB24B03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说明</w:t>
            </w:r>
          </w:p>
        </w:tc>
        <w:tc>
          <w:tcPr>
            <w:tcW w:w="5953" w:type="dxa"/>
            <w:shd w:val="clear" w:color="auto" w:fill="DDEBE6"/>
            <w:vAlign w:val="center"/>
          </w:tcPr>
          <w:p w14:paraId="272B9C2A">
            <w:pPr>
              <w:spacing w:before="0" w:after="0" w:line="240" w:lineRule="auto"/>
              <w:jc w:val="center"/>
            </w:pPr>
            <w:r>
              <w:rPr>
                <w:rFonts w:ascii="宋体" w:hAnsi="宋体" w:eastAsia="宋体"/>
                <w:b/>
                <w:sz w:val="13"/>
              </w:rPr>
              <w:t>确定参数</w:t>
            </w:r>
          </w:p>
        </w:tc>
      </w:tr>
      <w:tr w14:paraId="305A5CB9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3D159067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登录与首页加载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04DE532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普通用户/管理员登录、首页仪表盘加载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0D2B042A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P95 响应 3 秒内；异常提示清晰；并发用户数按 100 人执行。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4142C0BF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并发用户数 100；服务器配置按 8 台服务器/虚拟机；基础数据量：人员 10 万、订单 100 万。</w:t>
            </w:r>
          </w:p>
        </w:tc>
      </w:tr>
      <w:tr w14:paraId="6E4B9F77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1568412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PC 查询类接口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ED3A6FF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订单、人员、菜品、库存、报表查询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12AE3AFE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常规查询 P95 3 秒内；复杂报表 P95 10 秒内；超大数据量使用异步导出。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34E47B7A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数据量：人员 10 万、菜品 5,000、订单 100 万、库存流水 50 万；分页默认 20/50/100。</w:t>
            </w:r>
          </w:p>
        </w:tc>
      </w:tr>
      <w:tr w14:paraId="326F9CC6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79EF06B2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消费/支付/设备订单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5F71EB2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刷卡/扫码/刷脸/称重消费、第三方回调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789EB7D9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单笔交易 P95 2 秒内；重复提交不重复扣款；失败有日志和补偿记录。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2F7946E4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设备协议按 HTTPS/MQTT/厂商协议适配；网络延迟按内网 50ms、互联网 200ms；支付/一卡通接口按沙箱 SLA 执行。</w:t>
            </w:r>
          </w:p>
        </w:tc>
      </w:tr>
      <w:tr w14:paraId="57C4DEC5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1B6FE578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设备上传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00B50A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称重台、消费机、膳食智能台、打印机任务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5536A25A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设备心跳、订单上传、离线补传稳定；重复消息幂等。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5C09D8E6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设备数量按消费机 10、称重台 5、膳食智能台 2、打印机 4；并发上传频率 50 TPS；传输模式 HTTPS/MQTT。</w:t>
            </w:r>
          </w:p>
        </w:tc>
      </w:tr>
      <w:tr w14:paraId="6BBEADBE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59174C3B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报表导出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DA54D10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消费订单、人员、补贴、库存等导出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2DC8B0BB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大数据量采用异步导出；导出任务可查状态、可重试、有权限和日志。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312917FE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单次导出上限 10 万行；格式 XLSX/CSV；任务超时 30 分钟；导出文件保留 7 天。</w:t>
            </w:r>
          </w:p>
        </w:tc>
      </w:tr>
      <w:tr w14:paraId="097F4F2D">
        <w:trPr>
          <w:cantSplit/>
          <w:jc w:val="center"/>
        </w:trPr>
        <w:tc>
          <w:tcPr>
            <w:tcW w:w="1984" w:type="dxa"/>
            <w:shd w:val="clear" w:color="auto" w:fill="FFFFFF"/>
            <w:vAlign w:val="center"/>
          </w:tcPr>
          <w:p w14:paraId="7E699BCE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AI/识别类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C167959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菜品识别、营养说明、报告生成</w:t>
            </w:r>
          </w:p>
        </w:tc>
        <w:tc>
          <w:tcPr>
            <w:tcW w:w="4649" w:type="dxa"/>
            <w:shd w:val="clear" w:color="auto" w:fill="FFFFFF"/>
            <w:vAlign w:val="center"/>
          </w:tcPr>
          <w:p w14:paraId="0FDF3FCD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AI 结果进入人工复核闭环；识别耗时 P95 5 秒内；测试不承诺医学诊断结论。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565D11A4">
            <w:pPr>
              <w:spacing w:before="0" w:after="0" w:line="240" w:lineRule="auto"/>
            </w:pPr>
            <w:r>
              <w:rPr>
                <w:rFonts w:ascii="宋体" w:hAnsi="宋体" w:eastAsia="宋体"/>
                <w:b w:val="0"/>
                <w:sz w:val="13"/>
              </w:rPr>
              <w:t>识别模型以送检版本内置模型为准；测试集使用脱敏菜品图片；准确率/召回率仅作为辅助记录，不作为合格判定唯一依据。</w:t>
            </w:r>
          </w:p>
        </w:tc>
      </w:tr>
    </w:tbl>
    <w:p w14:paraId="61C232B3">
      <w:pPr>
        <w:pStyle w:val="4"/>
        <w:spacing w:before="0" w:after="40" w:line="252" w:lineRule="auto"/>
      </w:pPr>
      <w:r>
        <w:rPr>
          <w:rFonts w:ascii="宋体" w:hAnsi="宋体" w:eastAsia="宋体"/>
          <w:b/>
          <w:sz w:val="22"/>
        </w:rPr>
        <w:t>可靠性</w:t>
      </w:r>
    </w:p>
    <w:p w14:paraId="485044DD">
      <w:pPr>
        <w:spacing w:before="0" w:after="40" w:line="252" w:lineRule="auto"/>
      </w:pPr>
      <w:r>
        <w:rPr>
          <w:rFonts w:ascii="宋体" w:hAnsi="宋体" w:eastAsia="宋体"/>
          <w:b w:val="0"/>
          <w:sz w:val="19"/>
        </w:rPr>
        <w:t>金额类业务必须防重复扣款、重复退款、重复补贴；第三方回调、设备上传、导出任务、定时任务需要幂等、重试和异常记录；数据库/缓存/文件异常应可定位。</w:t>
      </w:r>
    </w:p>
    <w:p w14:paraId="44141206">
      <w:pPr>
        <w:pStyle w:val="4"/>
        <w:spacing w:before="0" w:after="40" w:line="252" w:lineRule="auto"/>
      </w:pPr>
      <w:r>
        <w:rPr>
          <w:rFonts w:ascii="宋体" w:hAnsi="宋体" w:eastAsia="宋体"/>
          <w:b/>
          <w:sz w:val="22"/>
        </w:rPr>
        <w:t>易用性</w:t>
      </w:r>
    </w:p>
    <w:p w14:paraId="032BFF2F">
      <w:pPr>
        <w:spacing w:before="0" w:after="40" w:line="252" w:lineRule="auto"/>
      </w:pPr>
      <w:r>
        <w:rPr>
          <w:rFonts w:ascii="宋体" w:hAnsi="宋体" w:eastAsia="宋体"/>
          <w:b w:val="0"/>
          <w:sz w:val="19"/>
        </w:rPr>
        <w:t>后台菜单名称、表单字段、错误提示、导入模板、导出文件、移动端操作流程与用户文档一致；关键操作设置确认和可恢复路径。</w:t>
      </w:r>
    </w:p>
    <w:p w14:paraId="471387B0">
      <w:pPr>
        <w:pStyle w:val="4"/>
        <w:spacing w:before="0" w:after="40" w:line="252" w:lineRule="auto"/>
      </w:pPr>
      <w:r>
        <w:rPr>
          <w:rFonts w:ascii="宋体" w:hAnsi="宋体" w:eastAsia="宋体"/>
          <w:b/>
          <w:sz w:val="22"/>
        </w:rPr>
        <w:t>兼容性</w:t>
      </w:r>
    </w:p>
    <w:p w14:paraId="4E7CC79C">
      <w:pPr>
        <w:spacing w:before="0" w:after="40" w:line="252" w:lineRule="auto"/>
      </w:pPr>
      <w:r>
        <w:rPr>
          <w:rFonts w:ascii="宋体" w:hAnsi="宋体" w:eastAsia="宋体"/>
          <w:b w:val="0"/>
          <w:sz w:val="19"/>
        </w:rPr>
        <w:t>覆盖 Chrome/Edge 主流版本、微信内置浏览器/H5、小程序环境；国产化场景覆盖麒麟/统信、国产数据库、国产中间件和硬件设备型号。</w:t>
      </w:r>
    </w:p>
    <w:p w14:paraId="143AFF13">
      <w:pPr>
        <w:pStyle w:val="4"/>
        <w:spacing w:before="0" w:after="40" w:line="252" w:lineRule="auto"/>
      </w:pPr>
      <w:r>
        <w:rPr>
          <w:rFonts w:ascii="宋体" w:hAnsi="宋体" w:eastAsia="宋体"/>
          <w:b/>
          <w:sz w:val="22"/>
        </w:rPr>
        <w:t>维护性</w:t>
      </w:r>
    </w:p>
    <w:p w14:paraId="4F84294A">
      <w:pPr>
        <w:spacing w:before="0" w:after="40" w:line="252" w:lineRule="auto"/>
      </w:pPr>
      <w:r>
        <w:rPr>
          <w:rFonts w:ascii="宋体" w:hAnsi="宋体" w:eastAsia="宋体"/>
          <w:b w:val="0"/>
          <w:sz w:val="19"/>
        </w:rPr>
        <w:t>配置项、日志、接口文档、部署手册、数据库备份、任务调度、设备版本和异常排查均形成说明；运维账号权限最小化。</w:t>
      </w:r>
    </w:p>
    <w:p w14:paraId="33CFFE21">
      <w:pPr>
        <w:pStyle w:val="4"/>
        <w:spacing w:before="0" w:after="40" w:line="252" w:lineRule="auto"/>
      </w:pPr>
      <w:r>
        <w:rPr>
          <w:rFonts w:ascii="宋体" w:hAnsi="宋体" w:eastAsia="宋体"/>
          <w:b/>
          <w:sz w:val="22"/>
        </w:rPr>
        <w:t>可移植性</w:t>
      </w:r>
    </w:p>
    <w:p w14:paraId="06C2021A">
      <w:pPr>
        <w:spacing w:before="0" w:after="40" w:line="252" w:lineRule="auto"/>
      </w:pPr>
      <w:r>
        <w:rPr>
          <w:rFonts w:ascii="宋体" w:hAnsi="宋体" w:eastAsia="宋体"/>
          <w:b w:val="0"/>
          <w:sz w:val="19"/>
        </w:rPr>
        <w:t>产品适配客户私有化部署时，验证部署脚本、配置分离、数据库迁移、文件存储、缓存、队列和证书替换流程。</w:t>
      </w:r>
    </w:p>
    <w:p w14:paraId="5D17568D">
      <w:pPr>
        <w:pStyle w:val="4"/>
        <w:spacing w:before="0" w:after="40" w:line="252" w:lineRule="auto"/>
      </w:pPr>
      <w:r>
        <w:rPr>
          <w:rFonts w:ascii="宋体" w:hAnsi="宋体" w:eastAsia="宋体"/>
          <w:b/>
          <w:sz w:val="22"/>
        </w:rPr>
        <w:t>信息安全性</w:t>
      </w:r>
    </w:p>
    <w:p w14:paraId="7D7EB85F">
      <w:pPr>
        <w:spacing w:before="0" w:after="40" w:line="252" w:lineRule="auto"/>
      </w:pPr>
      <w:r>
        <w:rPr>
          <w:rFonts w:ascii="宋体" w:hAnsi="宋体" w:eastAsia="宋体"/>
          <w:b w:val="0"/>
          <w:sz w:val="19"/>
        </w:rPr>
        <w:t>覆盖身份鉴别、权限隔离、敏感数据脱敏、接口鉴权、参数校验、日志审计、导出控制、个人信息授权和数据删除/匿名化边界。</w:t>
      </w:r>
    </w:p>
    <w:p w14:paraId="11BB128A">
      <w:pPr>
        <w:pStyle w:val="3"/>
        <w:spacing w:before="0" w:after="80" w:line="252" w:lineRule="auto"/>
      </w:pPr>
      <w:r>
        <w:rPr>
          <w:rFonts w:ascii="宋体" w:hAnsi="宋体" w:eastAsia="宋体"/>
          <w:b/>
          <w:sz w:val="24"/>
        </w:rPr>
        <w:t>五、远程测试支持</w:t>
      </w:r>
    </w:p>
    <w:p w14:paraId="16C362C0">
      <w:pPr>
        <w:spacing w:before="0" w:after="40" w:line="252" w:lineRule="auto"/>
      </w:pPr>
      <w:r>
        <w:rPr>
          <w:rFonts w:ascii="宋体" w:hAnsi="宋体" w:eastAsia="宋体"/>
          <w:b w:val="0"/>
          <w:sz w:val="19"/>
        </w:rPr>
        <w:t>本次采用远程测试方式，提供独立测试环境或准生产环境、VPN/白名单/堡垒机、测试账号、脱敏数据、设备 Mock 或测试设备、第三方接口沙箱/Mock、测试窗口和数据恢复方案。</w:t>
      </w:r>
    </w:p>
    <w:p w14:paraId="5C7C5A3F">
      <w:pPr>
        <w:spacing w:before="0" w:after="40" w:line="252" w:lineRule="auto"/>
      </w:pPr>
      <w:r>
        <w:rPr>
          <w:rFonts w:ascii="宋体" w:hAnsi="宋体" w:eastAsia="宋体"/>
          <w:b w:val="0"/>
          <w:sz w:val="19"/>
        </w:rPr>
        <w:t>远程测试条件确定为：VPN/白名单已开放、测试账号已配置、脱敏数据已准备、设备 Mock/测试设备已提供、第三方接口使用沙箱或 Mock。</w:t>
      </w:r>
    </w:p>
    <w:p w14:paraId="7CC54A9B">
      <w:pPr>
        <w:pStyle w:val="3"/>
        <w:spacing w:before="0" w:after="80" w:line="252" w:lineRule="auto"/>
      </w:pPr>
      <w:r>
        <w:rPr>
          <w:rFonts w:ascii="宋体" w:hAnsi="宋体" w:eastAsia="宋体"/>
          <w:b/>
          <w:sz w:val="24"/>
        </w:rPr>
        <w:t>六、现有测试基线</w:t>
      </w:r>
    </w:p>
    <w:p w14:paraId="542B6EE8">
      <w:pPr>
        <w:spacing w:before="0" w:after="40" w:line="252" w:lineRule="auto"/>
      </w:pPr>
      <w:r>
        <w:rPr>
          <w:rFonts w:ascii="宋体" w:hAnsi="宋体" w:eastAsia="宋体"/>
          <w:b w:val="0"/>
          <w:sz w:val="19"/>
        </w:rPr>
        <w:t>项目内已有 Apifox 基线：551 个 OpenAPI paths、559 个 API operations、141 个 folders/tags、25 个 environments、44 个规划自动化场景、8 类测试套件（冒烟、角色主流程、模块回归、设备与外部集成、定时任务、异常边界、性能压测、发布前回归）。正式测试以本次送检版本 V1.0、测试环境、委托书和测试机构模板为准。</w:t>
      </w:r>
    </w:p>
    <w:sectPr>
      <w:pgSz w:w="16838" w:h="11906" w:orient="landscape"/>
      <w:pgMar w:top="624" w:right="624" w:bottom="624" w:left="62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FA6E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李曼</cp:lastModifiedBy>
  <dcterms:modified xsi:type="dcterms:W3CDTF">2026-06-24T17:08:23Z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11C9AD002FA2E7A1879E3B6A220D3019_42</vt:lpwstr>
  </property>
</Properties>
</file>