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998E0">
      <w:pPr>
        <w:spacing w:before="0" w:after="80" w:line="252" w:lineRule="auto"/>
        <w:jc w:val="center"/>
      </w:pPr>
      <w:r>
        <w:rPr>
          <w:rFonts w:ascii="宋体" w:hAnsi="宋体" w:eastAsia="宋体"/>
          <w:b/>
          <w:sz w:val="32"/>
        </w:rPr>
        <w:t>软件测试需求明细列表：智慧营养健康餐厅</w:t>
      </w:r>
      <w:bookmarkStart w:id="0" w:name="_GoBack"/>
      <w:bookmarkEnd w:id="0"/>
    </w:p>
    <w:p w14:paraId="6943D875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一、项目基本信息</w:t>
      </w:r>
    </w:p>
    <w:tbl>
      <w:tblPr>
        <w:tblStyle w:val="33"/>
        <w:tblW w:w="3332" w:type="pct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8239"/>
      </w:tblGrid>
      <w:tr w14:paraId="0C15ED08">
        <w:trPr>
          <w:cantSplit/>
          <w:tblHeader/>
          <w:jc w:val="center"/>
        </w:trPr>
        <w:tc>
          <w:tcPr>
            <w:tcW w:w="2295" w:type="dxa"/>
            <w:shd w:val="clear" w:color="auto" w:fill="DDEBE6"/>
            <w:vAlign w:val="center"/>
          </w:tcPr>
          <w:p w14:paraId="556D642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字段</w:t>
            </w:r>
          </w:p>
        </w:tc>
        <w:tc>
          <w:tcPr>
            <w:tcW w:w="8241" w:type="dxa"/>
            <w:shd w:val="clear" w:color="auto" w:fill="DDEBE6"/>
            <w:vAlign w:val="center"/>
          </w:tcPr>
          <w:p w14:paraId="1A1807A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填写内容</w:t>
            </w:r>
          </w:p>
        </w:tc>
      </w:tr>
      <w:tr w14:paraId="2357F72F">
        <w:trPr>
          <w:cantSplit/>
          <w:jc w:val="center"/>
        </w:trPr>
        <w:tc>
          <w:tcPr>
            <w:tcW w:w="2295" w:type="dxa"/>
            <w:shd w:val="clear" w:color="auto" w:fill="FFFFFF"/>
            <w:vAlign w:val="center"/>
          </w:tcPr>
          <w:p w14:paraId="0A0285A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项目名称</w:t>
            </w:r>
          </w:p>
        </w:tc>
        <w:tc>
          <w:tcPr>
            <w:tcW w:w="8241" w:type="dxa"/>
            <w:shd w:val="clear" w:color="auto" w:fill="FFFFFF"/>
            <w:vAlign w:val="center"/>
          </w:tcPr>
          <w:p w14:paraId="4D5181C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康比特智慧营养健康餐厅管理系统 V1.0 软件测试</w:t>
            </w:r>
          </w:p>
        </w:tc>
      </w:tr>
      <w:tr w14:paraId="4DB6A361">
        <w:trPr>
          <w:cantSplit/>
          <w:jc w:val="center"/>
        </w:trPr>
        <w:tc>
          <w:tcPr>
            <w:tcW w:w="2295" w:type="dxa"/>
            <w:shd w:val="clear" w:color="auto" w:fill="FFFFFF"/>
            <w:vAlign w:val="center"/>
          </w:tcPr>
          <w:p w14:paraId="49AB47A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委托单位</w:t>
            </w:r>
          </w:p>
        </w:tc>
        <w:tc>
          <w:tcPr>
            <w:tcW w:w="8241" w:type="dxa"/>
            <w:shd w:val="clear" w:color="auto" w:fill="FFFFFF"/>
            <w:vAlign w:val="center"/>
          </w:tcPr>
          <w:p w14:paraId="7ADAB7F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北京康比特体育科技股份有限公司</w:t>
            </w:r>
          </w:p>
        </w:tc>
      </w:tr>
      <w:tr w14:paraId="02A7431D">
        <w:trPr>
          <w:cantSplit/>
          <w:jc w:val="center"/>
        </w:trPr>
        <w:tc>
          <w:tcPr>
            <w:tcW w:w="2295" w:type="dxa"/>
            <w:shd w:val="clear" w:color="auto" w:fill="FFFFFF"/>
            <w:vAlign w:val="center"/>
          </w:tcPr>
          <w:p w14:paraId="4500F3F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生产单位</w:t>
            </w:r>
          </w:p>
        </w:tc>
        <w:tc>
          <w:tcPr>
            <w:tcW w:w="8241" w:type="dxa"/>
            <w:shd w:val="clear" w:color="auto" w:fill="FFFFFF"/>
            <w:vAlign w:val="center"/>
          </w:tcPr>
          <w:p w14:paraId="61C7FBA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北京康比特体育科技股份有限公司</w:t>
            </w:r>
          </w:p>
        </w:tc>
      </w:tr>
      <w:tr w14:paraId="1DD9F216">
        <w:trPr>
          <w:cantSplit/>
          <w:jc w:val="center"/>
        </w:trPr>
        <w:tc>
          <w:tcPr>
            <w:tcW w:w="2295" w:type="dxa"/>
            <w:shd w:val="clear" w:color="auto" w:fill="FFFFFF"/>
            <w:vAlign w:val="center"/>
          </w:tcPr>
          <w:p w14:paraId="35C7296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联系人/联系方式</w:t>
            </w:r>
          </w:p>
        </w:tc>
        <w:tc>
          <w:tcPr>
            <w:tcW w:w="8241" w:type="dxa"/>
            <w:shd w:val="clear" w:color="auto" w:fill="FFFFFF"/>
            <w:vAlign w:val="center"/>
          </w:tcPr>
          <w:p w14:paraId="7BEFA72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联系人：康比特项目负责人；电话：010-50949378；邮箱：lvlifu@chinacpt.com</w:t>
            </w:r>
          </w:p>
        </w:tc>
      </w:tr>
    </w:tbl>
    <w:p w14:paraId="269546D1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二、确定测试内容</w:t>
      </w:r>
    </w:p>
    <w:tbl>
      <w:tblPr>
        <w:tblStyle w:val="33"/>
        <w:tblW w:w="5000" w:type="pct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3952"/>
        <w:gridCol w:w="3952"/>
        <w:gridCol w:w="3952"/>
      </w:tblGrid>
      <w:tr w14:paraId="0C2A13B6">
        <w:trPr>
          <w:cantSplit/>
          <w:tblHeader/>
          <w:jc w:val="center"/>
        </w:trPr>
        <w:tc>
          <w:tcPr>
            <w:tcW w:w="1984" w:type="dxa"/>
            <w:shd w:val="clear" w:color="auto" w:fill="DDEBE6"/>
            <w:vAlign w:val="center"/>
          </w:tcPr>
          <w:p w14:paraId="37112BC6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测试项</w:t>
            </w:r>
          </w:p>
        </w:tc>
        <w:tc>
          <w:tcPr>
            <w:tcW w:w="1701" w:type="dxa"/>
            <w:shd w:val="clear" w:color="auto" w:fill="DDEBE6"/>
            <w:vAlign w:val="center"/>
          </w:tcPr>
          <w:p w14:paraId="1AE2649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确定选择</w:t>
            </w:r>
          </w:p>
        </w:tc>
        <w:tc>
          <w:tcPr>
            <w:tcW w:w="4819" w:type="dxa"/>
            <w:shd w:val="clear" w:color="auto" w:fill="DDEBE6"/>
            <w:vAlign w:val="center"/>
          </w:tcPr>
          <w:p w14:paraId="248BCC04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理由</w:t>
            </w:r>
          </w:p>
        </w:tc>
        <w:tc>
          <w:tcPr>
            <w:tcW w:w="6917" w:type="dxa"/>
            <w:shd w:val="clear" w:color="auto" w:fill="DDEBE6"/>
            <w:vAlign w:val="center"/>
          </w:tcPr>
          <w:p w14:paraId="4083F9BB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执行口径</w:t>
            </w:r>
          </w:p>
        </w:tc>
      </w:tr>
      <w:tr w14:paraId="692404B1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610E498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产品说明要求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ED913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59C49DA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需产品说明、功能说明、用户手册或需求说明作为测试依据。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66F9E92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测试依据固定为产品说明书、功能说明书、用户手册、部署手册、接口文档，版本 V1.0。</w:t>
            </w:r>
          </w:p>
        </w:tc>
      </w:tr>
      <w:tr w14:paraId="7800D3B8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35A97F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功能性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9CD41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144DBD2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系统模块多、角色多、接口多，功能性是核心。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013BE2E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测试范围覆盖平台基础、餐厅经营、账户卡务、消费策略、订单、硬件接入、AI 营养、食安进销存、报表看板、外部接口和数据安全。</w:t>
            </w:r>
          </w:p>
        </w:tc>
      </w:tr>
      <w:tr w14:paraId="3F0BEC51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47FA2E4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性能效率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23A65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4FD96EE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订单、设备、报表、AI、接口均有性能场景。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1572018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性能指标按第四部分表格执行。</w:t>
            </w:r>
          </w:p>
        </w:tc>
      </w:tr>
      <w:tr w14:paraId="730840E8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DADF00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兼容性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E8A3F2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60C8C07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PC、移动端、微信/H5、设备端、国产化环境均纳入。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7728C99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环境固定为 Chrome/Edge、微信/H5/小程序、Windows/国产操作系统、标准设备/Mock。</w:t>
            </w:r>
          </w:p>
        </w:tc>
      </w:tr>
      <w:tr w14:paraId="7EEDB422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7970D4D3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用户文档集要求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64F6A5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027A0DE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报告要求文档与功能一致。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01B4DE9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提交用户手册、部署手册、接口文档、测试环境说明和数据字典。</w:t>
            </w:r>
          </w:p>
        </w:tc>
      </w:tr>
      <w:tr w14:paraId="4B2DC29A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350DA8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易用性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A918E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6B9F923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后台表单、移动端、设备配置需要基础易用性。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3D84B0A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覆盖表单、菜单、错误提示、导入导出、移动端流程和设备配置。</w:t>
            </w:r>
          </w:p>
        </w:tc>
      </w:tr>
      <w:tr w14:paraId="5C02E25C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529A0A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可靠性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828EB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35AEBFE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金额、设备、回调、导出、定时任务需异常恢复。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2358B6D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覆盖异常恢复、幂等、重试、数据回滚、日志定位和定时任务。</w:t>
            </w:r>
          </w:p>
        </w:tc>
      </w:tr>
      <w:tr w14:paraId="4500170D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3A91F7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信息安全性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01CAB0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72DD504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涉及个人信息、健康、支付/补贴、接口权限。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18136E6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包含身份鉴别、权限隔离、接口鉴权、参数校验、敏感数据脱敏、导出控制、日志审计和黑盒漏洞扫描；不包含源码审计。</w:t>
            </w:r>
          </w:p>
        </w:tc>
      </w:tr>
      <w:tr w14:paraId="3A304D4F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69FD83B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可移植性/维护性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3FF4B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勾选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6ECE762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私有化、国产化、运维日志、配置、备份等均纳入。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4BE695F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覆盖私有化部署、配置分离、备份恢复、日志、任务调度和证书替换；国产化环境按兼容性场景验证。</w:t>
            </w:r>
          </w:p>
        </w:tc>
      </w:tr>
    </w:tbl>
    <w:p w14:paraId="703A53C0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三、功能需求明细</w:t>
      </w:r>
    </w:p>
    <w:tbl>
      <w:tblPr>
        <w:tblStyle w:val="33"/>
        <w:tblW w:w="5000" w:type="pct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3952"/>
        <w:gridCol w:w="3952"/>
        <w:gridCol w:w="3952"/>
      </w:tblGrid>
      <w:tr w14:paraId="246494BC">
        <w:trPr>
          <w:cantSplit/>
          <w:tblHeader/>
          <w:jc w:val="center"/>
        </w:trPr>
        <w:tc>
          <w:tcPr>
            <w:tcW w:w="1984" w:type="dxa"/>
            <w:shd w:val="clear" w:color="auto" w:fill="DDEBE6"/>
            <w:vAlign w:val="center"/>
          </w:tcPr>
          <w:p w14:paraId="312C73D6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一级功能</w:t>
            </w:r>
          </w:p>
        </w:tc>
        <w:tc>
          <w:tcPr>
            <w:tcW w:w="2268" w:type="dxa"/>
            <w:shd w:val="clear" w:color="auto" w:fill="DDEBE6"/>
            <w:vAlign w:val="center"/>
          </w:tcPr>
          <w:p w14:paraId="6EF60BD2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二级功能</w:t>
            </w:r>
          </w:p>
        </w:tc>
        <w:tc>
          <w:tcPr>
            <w:tcW w:w="6520" w:type="dxa"/>
            <w:shd w:val="clear" w:color="auto" w:fill="DDEBE6"/>
            <w:vAlign w:val="center"/>
          </w:tcPr>
          <w:p w14:paraId="4CCF316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三级功能/测试点</w:t>
            </w:r>
          </w:p>
        </w:tc>
        <w:tc>
          <w:tcPr>
            <w:tcW w:w="4649" w:type="dxa"/>
            <w:shd w:val="clear" w:color="auto" w:fill="DDEBE6"/>
            <w:vAlign w:val="center"/>
          </w:tcPr>
          <w:p w14:paraId="6F64E953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功能说明</w:t>
            </w:r>
          </w:p>
        </w:tc>
      </w:tr>
      <w:tr w14:paraId="62A7803F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24B185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3B49CD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登录与身份认证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7FD0BF0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账号密码登录、登录态保持、退出登录、密码策略、登录失败提示、验证码/短信验证码（启用）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733CB0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确保不同角色可安全登录，异常登录被阻断并有日志。</w:t>
            </w:r>
          </w:p>
        </w:tc>
      </w:tr>
      <w:tr w14:paraId="525F1374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41247C1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DA19F73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角色权限管理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8E3878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菜单权限、按钮权限、数据权限、角色分配、管理员分权、权限变更日志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03C536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验证跨角色、跨餐厅、跨门店、跨业务数据不能越权访问。</w:t>
            </w:r>
          </w:p>
        </w:tc>
      </w:tr>
      <w:tr w14:paraId="355F6409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42C8B8D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D01745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组织与基础资料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005225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单位、部门、人员、身份类别、餐厅、档口、餐线、餐次等基础资料维护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868E81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支撑人员账户、订单归属、消费策略和报表统计。</w:t>
            </w:r>
          </w:p>
        </w:tc>
      </w:tr>
      <w:tr w14:paraId="5D8679A5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7195D2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F147E7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菜品管理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482A28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菜品新增、编辑、上下架、分类、图片、价格、营养素、过敏原/标签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D155E0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功能名称与 PC 菜品管理、移动端展示、设备端同步保持一致。</w:t>
            </w:r>
          </w:p>
        </w:tc>
      </w:tr>
      <w:tr w14:paraId="66ACD170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170A028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10BFE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菜谱/排餐管理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223E8E4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周期菜谱、餐次菜谱、排餐、例外菜、称重台排菜、设备同步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F3DD39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验证菜谱在后台、移动端、电子菜牌/称重设备上的一致性。</w:t>
            </w:r>
          </w:p>
        </w:tc>
      </w:tr>
      <w:tr w14:paraId="06B2D2A8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92CE64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424A29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餐厅/档口设置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3D6803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餐厅信息、档口信息、营业时间、餐别、支付方式、配送/自取规则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271E60F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覆盖多餐厅、多档口、多企业场景。</w:t>
            </w:r>
          </w:p>
        </w:tc>
      </w:tr>
      <w:tr w14:paraId="31D47BCE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DDDCE8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8347A7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人员档案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2980196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员工/会员/学生等人员档案、部门、手机号、身份类别、状态、导入导出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B032D5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验证在职/离职、部门变更、历史订单归属等边界。</w:t>
            </w:r>
          </w:p>
        </w:tc>
      </w:tr>
      <w:tr w14:paraId="7CA8DF4C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3AC6E63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CF8FC0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卡/码/脸账户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4A06B9C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餐卡、二维码、人脸、账户绑定、解绑、挂失、补卡、设备识别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E0C441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涉及个人信息和人脸数据时需验证授权、权限和脱敏。</w:t>
            </w:r>
          </w:p>
        </w:tc>
      </w:tr>
      <w:tr w14:paraId="0EAFAA30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9E1617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C72030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现金账户与补贴账户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67813D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充值、退款、补贴发放、补贴使用、余额查询、流水、对账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4B2553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重点验证金额精度、重复提交、退款回滚、对账一致性。</w:t>
            </w:r>
          </w:p>
        </w:tc>
      </w:tr>
      <w:tr w14:paraId="323AD669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1F41930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营销与消费策略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7F8BF1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消费策略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D64964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优惠、折扣、补贴、计次、限额、消费限制、访客餐/加班餐等规则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4EE1B6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验证策略优先级、有效期、适用人群和异常边界。</w:t>
            </w:r>
          </w:p>
        </w:tc>
      </w:tr>
      <w:tr w14:paraId="0E652111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87DB25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E6ABB2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称重/刷卡/扫码/刷脸消费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069605F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设备上传订单、菜品重量/份数、价格、营养、支付、扣款、打印小票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48FCDD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重点验证不重复扣款、订单幂等、设备异常可追溯。</w:t>
            </w:r>
          </w:p>
        </w:tc>
      </w:tr>
      <w:tr w14:paraId="62FC0D40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90FBF3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3444C5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线上订餐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41764F7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菜谱展示、下单、支付、取消、取餐、评价、售后/退款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4BD92D5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验证移动端和 PC 订单状态一致。</w:t>
            </w:r>
          </w:p>
        </w:tc>
      </w:tr>
      <w:tr w14:paraId="693E9B54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7721F4D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71626D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订单退款与异常处理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C05453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退款申请、审核、原路退/账户退、异常订单补偿、冲正/补单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F9A5F4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金额类高风险，必须覆盖异常、重复、超时和权限。</w:t>
            </w:r>
          </w:p>
        </w:tc>
      </w:tr>
      <w:tr w14:paraId="685BF0B2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D578ED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46EAB5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消费订单查询与导出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7156635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订单筛选、详情、退款状态、支付状态、餐厅/档口/设备/人员筛选、异步导出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BAD607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验证大数据量导出、权限隔离、导出日志和字段口径。</w:t>
            </w:r>
          </w:p>
        </w:tc>
      </w:tr>
      <w:tr w14:paraId="2073E860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CAC22D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智能硬件接入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ED740D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消费机/称重台/膳食智能台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3EA05C4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设备注册、参数配置、菜品同步、订单上传、心跳、设备日志、离线补传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A9AF6B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验证设备协议、网络异常、重复上传、防重放和恢复。</w:t>
            </w:r>
          </w:p>
        </w:tc>
      </w:tr>
      <w:tr w14:paraId="09D1F967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A23BF6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智能硬件接入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C1EA2F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打印机/电子菜牌/取餐柜/售卖柜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319F00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打印任务、电子菜牌展示、取餐码/柜门控制、售卖柜出货结果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FF658E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验证下游失败可观测且不破坏主订单。</w:t>
            </w:r>
          </w:p>
        </w:tc>
      </w:tr>
      <w:tr w14:paraId="5205E0BD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E27EE7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6CDC7B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菜品营养标签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717FF0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热量、蛋白质、脂肪、碳水等营养信息维护和展示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F6E6DE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验证营养字段口径、展示端一致性和空值处理。</w:t>
            </w:r>
          </w:p>
        </w:tc>
      </w:tr>
      <w:tr w14:paraId="1CD45605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5E34034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FD7F63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菜品识别/智能排菜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774F8BF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菜品图片识别、识别结果维护、智能排菜确定、人工复核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2AE45C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输出纳入人工复核闭环，不作为无人工审核的绝对结论。</w:t>
            </w:r>
          </w:p>
        </w:tc>
      </w:tr>
      <w:tr w14:paraId="57086996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4CBD737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A4AB9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个体/团体膳食监控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03E38A5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个人饮食记录、目标体重、营养日报/周报、团体监控、阶段报告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41F40AA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涉及健康数据，验证授权、脱敏、非医疗声明。</w:t>
            </w:r>
          </w:p>
        </w:tc>
      </w:tr>
      <w:tr w14:paraId="02632CD8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50CB231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食安与进销存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ED5761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供应商与采购管理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4019F68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供应商、商品、采购计划、验收、入库、出库、库存、价格异常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2B8677D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验证单据流转、库存扣减、权限和报表一致性。</w:t>
            </w:r>
          </w:p>
        </w:tc>
      </w:tr>
      <w:tr w14:paraId="2EB7E744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7BB6A34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食安与进销存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DAEAE1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食安台账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31FC463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晨检、留样、消毒、农残、废弃物、陪餐、整改闭环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6FF6A0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验证责任人、发生时间、证据材料、处理状态四字段。</w:t>
            </w:r>
          </w:p>
        </w:tc>
      </w:tr>
      <w:tr w14:paraId="72E9564E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2167C2C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报表与看板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99B39A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经营报表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68ABAE8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营业额、客单价、就餐人次、菜品热度、时段流量、补贴、退款、设备在线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9F41F7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验证指标计算口径、刷新频率、导出权限和数据一致性。</w:t>
            </w:r>
          </w:p>
        </w:tc>
      </w:tr>
      <w:tr w14:paraId="71EACF3B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093F37A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报表与看板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FD4BD4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营养/食安/运营综合看板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0E16CE3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营养结构、食安预警、设备状态、库存预警、大屏展示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A26784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验证不同角色看到的数据范围和指标口径。</w:t>
            </w:r>
          </w:p>
        </w:tc>
      </w:tr>
      <w:tr w14:paraId="7163EB8E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D79568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外部接口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48CB6F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第三方支付/银行/一卡通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5EB4C62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充值、支付结果、订单查询、对账、异常订单、回调、签名验签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1A936C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验证超时、重复通知、金额不一致、回调幂等。</w:t>
            </w:r>
          </w:p>
        </w:tc>
      </w:tr>
      <w:tr w14:paraId="7E1C45DA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508B43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外部接口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25CAA73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企微/钉钉/客户中台/监管平台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112EE0C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人员同步、组织同步、消息通知、监管数据回流、接口日志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F13BFC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验证字段最小化、调用频控、认证、失败重试和日志。</w:t>
            </w:r>
          </w:p>
        </w:tc>
      </w:tr>
      <w:tr w14:paraId="2E7560AA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1748B10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接口与数据安全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13981E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接口鉴权与审计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4E1399D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Access-Token/cookie/签名、接口权限、参数校验、调用日志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29423F4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覆盖缺失鉴权、无效鉴权、越权访问、非法参数。</w:t>
            </w:r>
          </w:p>
        </w:tc>
      </w:tr>
    </w:tbl>
    <w:p w14:paraId="35A060A6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四、性能和质量特性补充</w:t>
      </w:r>
    </w:p>
    <w:tbl>
      <w:tblPr>
        <w:tblStyle w:val="33"/>
        <w:tblW w:w="5000" w:type="pct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3952"/>
        <w:gridCol w:w="3952"/>
        <w:gridCol w:w="3952"/>
      </w:tblGrid>
      <w:tr w14:paraId="003817DD">
        <w:trPr>
          <w:cantSplit/>
          <w:tblHeader/>
          <w:jc w:val="center"/>
        </w:trPr>
        <w:tc>
          <w:tcPr>
            <w:tcW w:w="1984" w:type="dxa"/>
            <w:shd w:val="clear" w:color="auto" w:fill="DDEBE6"/>
            <w:vAlign w:val="center"/>
          </w:tcPr>
          <w:p w14:paraId="0E0CF26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场景</w:t>
            </w:r>
          </w:p>
        </w:tc>
        <w:tc>
          <w:tcPr>
            <w:tcW w:w="2835" w:type="dxa"/>
            <w:shd w:val="clear" w:color="auto" w:fill="DDEBE6"/>
            <w:vAlign w:val="center"/>
          </w:tcPr>
          <w:p w14:paraId="736AD453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指标要求</w:t>
            </w:r>
          </w:p>
        </w:tc>
        <w:tc>
          <w:tcPr>
            <w:tcW w:w="4649" w:type="dxa"/>
            <w:shd w:val="clear" w:color="auto" w:fill="DDEBE6"/>
            <w:vAlign w:val="center"/>
          </w:tcPr>
          <w:p w14:paraId="5AB24B03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说明</w:t>
            </w:r>
          </w:p>
        </w:tc>
        <w:tc>
          <w:tcPr>
            <w:tcW w:w="5953" w:type="dxa"/>
            <w:shd w:val="clear" w:color="auto" w:fill="DDEBE6"/>
            <w:vAlign w:val="center"/>
          </w:tcPr>
          <w:p w14:paraId="272B9C2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确定参数</w:t>
            </w:r>
          </w:p>
        </w:tc>
      </w:tr>
      <w:tr w14:paraId="305A5CB9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3D159067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登录与首页加载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04DE53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普通用户/管理员登录、首页仪表盘加载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0D2B042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P95 响应 3 秒内；异常提示清晰；并发用户数按 100 人执行。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4142C0B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并发用户数 100；服务器配置按 8 台服务器/虚拟机；基础数据量：人员 10 万、订单 100 万。</w:t>
            </w:r>
          </w:p>
        </w:tc>
      </w:tr>
      <w:tr w14:paraId="6E4B9F77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1568412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PC 查询类接口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ED3A6FF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订单、人员、菜品、库存、报表查询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2AE3AF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常规查询 P95 3 秒内；复杂报表 P95 10 秒内；超大数据量使用异步导出。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34E47B7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数据量：人员 10 万、菜品 5,000、订单 100 万、库存流水 50 万；分页默认 20/50/100。</w:t>
            </w:r>
          </w:p>
        </w:tc>
      </w:tr>
      <w:tr w14:paraId="326F9CC6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79EF06B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消费/支付/设备订单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F71EB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刷卡/扫码/刷脸/称重消费、第三方回调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89EB7D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单笔交易 P95 2 秒内；重复提交不重复扣款；失败有日志和补偿记录。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2F7946E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设备协议按 HTTPS/MQTT/厂商协议适配；网络延迟按内网 50ms、互联网 200ms；支付/一卡通接口按沙箱 SLA 执行。</w:t>
            </w:r>
          </w:p>
        </w:tc>
      </w:tr>
      <w:tr w14:paraId="57C4DEC5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1B6FE578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设备上传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00B50A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称重台、消费机、膳食智能台、打印机任务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536A25A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设备心跳、订单上传、离线补传稳定；重复消息幂等。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C09D8E6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设备数量按消费机 10、称重台 5、膳食智能台 2、打印机 4；并发上传频率 50 TPS；传输模式 HTTPS/MQTT。</w:t>
            </w:r>
          </w:p>
        </w:tc>
      </w:tr>
      <w:tr w14:paraId="6BBEADBE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59174C3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报表导出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DA54D10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消费订单、人员、补贴、库存等导出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2DC8B0B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大数据量采用异步导出；导出任务可查状态、可重试、有权限和日志。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312917F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单次导出上限 10 万行；格式 XLSX/CSV；任务超时 30 分钟；导出文件保留 7 天。</w:t>
            </w:r>
          </w:p>
        </w:tc>
      </w:tr>
      <w:tr w14:paraId="097F4F2D">
        <w:trPr>
          <w:cantSplit/>
          <w:jc w:val="center"/>
        </w:trPr>
        <w:tc>
          <w:tcPr>
            <w:tcW w:w="1984" w:type="dxa"/>
            <w:shd w:val="clear" w:color="auto" w:fill="FFFFFF"/>
            <w:vAlign w:val="center"/>
          </w:tcPr>
          <w:p w14:paraId="7E699BC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AI/识别类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C16795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菜品识别、营养说明、报告生成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0FDF3FC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结果进入人工复核闭环；识别耗时 P95 5 秒内；测试不承诺医学诊断结论。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65D11A4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识别模型以送检版本内置模型为准；测试集使用脱敏菜品图片；准确率/召回率仅作为辅助记录，不作为合格判定唯一依据。</w:t>
            </w:r>
          </w:p>
        </w:tc>
      </w:tr>
    </w:tbl>
    <w:p w14:paraId="61C232B3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可靠性</w:t>
      </w:r>
    </w:p>
    <w:p w14:paraId="485044DD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金额类业务必须防重复扣款、重复退款、重复补贴；第三方回调、设备上传、导出任务、定时任务需要幂等、重试和异常记录；数据库/缓存/文件异常应可定位。</w:t>
      </w:r>
    </w:p>
    <w:p w14:paraId="44141206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易用性</w:t>
      </w:r>
    </w:p>
    <w:p w14:paraId="032BFF2F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后台菜单名称、表单字段、错误提示、导入模板、导出文件、移动端操作流程与用户文档一致；关键操作设置确认和可恢复路径。</w:t>
      </w:r>
    </w:p>
    <w:p w14:paraId="471387B0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兼容性</w:t>
      </w:r>
    </w:p>
    <w:p w14:paraId="4E7CC79C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覆盖 Chrome/Edge 主流版本、微信内置浏览器/H5、小程序环境；国产化场景覆盖麒麟/统信、国产数据库、国产中间件和硬件设备型号。</w:t>
      </w:r>
    </w:p>
    <w:p w14:paraId="143AFF13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维护性</w:t>
      </w:r>
    </w:p>
    <w:p w14:paraId="4F84294A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配置项、日志、接口文档、部署手册、数据库备份、任务调度、设备版本和异常排查均形成说明；运维账号权限最小化。</w:t>
      </w:r>
    </w:p>
    <w:p w14:paraId="33CFFE21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可移植性</w:t>
      </w:r>
    </w:p>
    <w:p w14:paraId="06C2021A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产品适配客户私有化部署时，验证部署脚本、配置分离、数据库迁移、文件存储、缓存、队列和证书替换流程。</w:t>
      </w:r>
    </w:p>
    <w:p w14:paraId="5D17568D">
      <w:pPr>
        <w:pStyle w:val="4"/>
        <w:spacing w:before="0" w:after="40" w:line="252" w:lineRule="auto"/>
      </w:pPr>
      <w:r>
        <w:rPr>
          <w:rFonts w:ascii="宋体" w:hAnsi="宋体" w:eastAsia="宋体"/>
          <w:b/>
          <w:sz w:val="22"/>
        </w:rPr>
        <w:t>信息安全性</w:t>
      </w:r>
    </w:p>
    <w:p w14:paraId="7D7EB85F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覆盖身份鉴别、权限隔离、敏感数据脱敏、接口鉴权、参数校验、日志审计、导出控制、个人信息授权和数据删除/匿名化边界。</w:t>
      </w:r>
    </w:p>
    <w:p w14:paraId="11BB128A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五、远程测试支持</w:t>
      </w:r>
    </w:p>
    <w:p w14:paraId="16C362C0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本次采用远程测试方式，提供独立测试环境或准生产环境、VPN/白名单/堡垒机、测试账号、脱敏数据、设备 Mock 或测试设备、第三方接口沙箱/Mock、测试窗口和数据恢复方案。</w:t>
      </w:r>
    </w:p>
    <w:p w14:paraId="5C7C5A3F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远程测试条件确定为：VPN/白名单已开放、测试账号已配置、脱敏数据已准备、设备 Mock/测试设备已提供、第三方接口使用沙箱或 Mock。</w:t>
      </w:r>
    </w:p>
    <w:p w14:paraId="7CC54A9B">
      <w:pPr>
        <w:pStyle w:val="3"/>
        <w:spacing w:before="0" w:after="80" w:line="252" w:lineRule="auto"/>
      </w:pPr>
      <w:r>
        <w:rPr>
          <w:rFonts w:ascii="宋体" w:hAnsi="宋体" w:eastAsia="宋体"/>
          <w:b/>
          <w:sz w:val="24"/>
        </w:rPr>
        <w:t>六、现有测试基线</w:t>
      </w:r>
    </w:p>
    <w:p w14:paraId="542B6EE8">
      <w:pPr>
        <w:spacing w:before="0" w:after="40" w:line="252" w:lineRule="auto"/>
      </w:pPr>
      <w:r>
        <w:rPr>
          <w:rFonts w:ascii="宋体" w:hAnsi="宋体" w:eastAsia="宋体"/>
          <w:b w:val="0"/>
          <w:sz w:val="19"/>
        </w:rPr>
        <w:t>项目内已有 Apifox 基线：551 个 OpenAPI paths、559 个 API operations、141 个 folders/tags、25 个 environments、44 个规划自动化场景、8 类测试套件（冒烟、角色主流程、模块回归、设备与外部集成、定时任务、异常边界、性能压测、发布前回归）。正式测试以本次送检版本 V1.0、测试环境、委托书和测试机构模板为准。</w:t>
      </w:r>
    </w:p>
    <w:sectPr>
      <w:pgSz w:w="16838" w:h="11906" w:orient="landscape"/>
      <w:pgMar w:top="624" w:right="624" w:bottom="624" w:left="62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A6E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李曼</cp:lastModifiedBy>
  <dcterms:modified xsi:type="dcterms:W3CDTF">2026-06-24T17:08:23Z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11C9AD002FA2E7A1879E3B6A220D3019_42</vt:lpwstr>
  </property>
</Properties>
</file>