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E81E">
      <w:pPr>
        <w:spacing w:line="220" w:lineRule="exact"/>
        <w:rPr>
          <w:rFonts w:hint="eastAsia"/>
          <w:sz w:val="18"/>
          <w:szCs w:val="18"/>
        </w:rPr>
      </w:pPr>
    </w:p>
    <w:p w14:paraId="664D4554">
      <w:pPr>
        <w:spacing w:before="0" w:after="160" w:line="252" w:lineRule="auto"/>
        <w:jc w:val="center"/>
        <w:rPr>
          <w:rFonts w:hint="eastAsia"/>
        </w:rPr>
      </w:pPr>
      <w:r>
        <w:rPr>
          <w:rFonts w:ascii="黑体" w:hAnsi="黑体" w:eastAsia="黑体"/>
          <w:b/>
          <w:sz w:val="32"/>
        </w:rPr>
        <w:t>软件测试需求明细列表</w:t>
      </w:r>
    </w:p>
    <w:p w14:paraId="01D9916A">
      <w:pPr>
        <w:spacing w:before="0" w:after="40" w:line="252" w:lineRule="auto"/>
        <w:rPr>
          <w:rFonts w:hint="eastAsia"/>
          <w:sz w:val="21"/>
          <w:szCs w:val="21"/>
          <w:lang w:val="en-US" w:eastAsia="zh-CN"/>
        </w:rPr>
      </w:pPr>
      <w:r>
        <w:rPr>
          <w:rFonts w:ascii="宋体" w:hAnsi="宋体" w:eastAsia="宋体"/>
          <w:b w:val="0"/>
          <w:sz w:val="21"/>
        </w:rPr>
        <w:t>项目名称：康比特智慧营养健康餐厅管理系统 V1.0 软件测试</w:t>
      </w:r>
    </w:p>
    <w:p w14:paraId="2D86ABA1">
      <w:pPr>
        <w:spacing w:before="0" w:after="40" w:line="252" w:lineRule="auto"/>
        <w:rPr>
          <w:rFonts w:hint="eastAsia"/>
          <w:sz w:val="21"/>
          <w:szCs w:val="21"/>
          <w:lang w:val="en-US" w:eastAsia="zh-CN"/>
        </w:rPr>
      </w:pPr>
      <w:r>
        <w:rPr>
          <w:rFonts w:ascii="宋体" w:hAnsi="宋体" w:eastAsia="宋体"/>
          <w:b w:val="0"/>
          <w:sz w:val="21"/>
        </w:rPr>
        <w:t>委托单位：北京康比特体育科技股份有限公司</w:t>
      </w:r>
    </w:p>
    <w:p w14:paraId="09285CEA">
      <w:pPr>
        <w:spacing w:before="0" w:after="40" w:line="252" w:lineRule="auto"/>
        <w:rPr>
          <w:rFonts w:hint="eastAsia"/>
          <w:sz w:val="21"/>
          <w:szCs w:val="21"/>
        </w:rPr>
      </w:pPr>
      <w:r>
        <w:rPr>
          <w:rFonts w:ascii="宋体" w:hAnsi="宋体" w:eastAsia="宋体"/>
          <w:b w:val="0"/>
          <w:sz w:val="21"/>
        </w:rPr>
        <w:t>生产单位：北京康比特体育科技股份有限公司</w:t>
      </w:r>
    </w:p>
    <w:p w14:paraId="6E906323">
      <w:pPr>
        <w:spacing w:before="0" w:after="40" w:line="252" w:lineRule="auto"/>
        <w:rPr>
          <w:rFonts w:hint="eastAsia"/>
          <w:sz w:val="21"/>
          <w:szCs w:val="21"/>
          <w:lang w:val="en-US" w:eastAsia="zh-CN"/>
        </w:rPr>
      </w:pPr>
      <w:r>
        <w:rPr>
          <w:rFonts w:ascii="宋体" w:hAnsi="宋体" w:eastAsia="宋体"/>
          <w:b w:val="0"/>
          <w:sz w:val="21"/>
        </w:rPr>
        <w:t>联 系 人：吕立甫</w:t>
      </w:r>
    </w:p>
    <w:p w14:paraId="0471ED58">
      <w:pPr>
        <w:spacing w:before="0" w:after="40" w:line="252" w:lineRule="auto"/>
      </w:pPr>
      <w:r>
        <w:rPr>
          <w:rFonts w:ascii="宋体" w:hAnsi="宋体" w:eastAsia="宋体"/>
          <w:b w:val="0"/>
          <w:sz w:val="21"/>
        </w:rPr>
        <w:t>联系方式：010-50949378；lvlifu@chinacpt.com</w:t>
      </w:r>
    </w:p>
    <w:p w14:paraId="09EB81D9">
      <w:pPr>
        <w:spacing w:before="0" w:after="0" w:line="252" w:lineRule="auto"/>
      </w:pPr>
      <w:r>
        <w:rPr>
          <w:rFonts w:ascii="宋体" w:hAnsi="宋体" w:eastAsia="宋体"/>
          <w:b w:val="0"/>
          <w:sz w:val="10"/>
        </w:rPr>
      </w:r>
    </w:p>
    <w:tbl>
      <w:tblPr>
        <w:tblStyle w:val="5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</w:tblPr>
      <w:tblGrid>
        <w:gridCol w:w="1242"/>
        <w:gridCol w:w="1467"/>
        <w:gridCol w:w="1794"/>
        <w:gridCol w:w="4200"/>
      </w:tblGrid>
      <w:tr w14:paraId="68854B58">
        <w:trPr>
          <w:trHeight w:val="435" w:hRule="atLeast"/>
          <w:cantSplit/>
          <w:tblHeader/>
        </w:trPr>
        <w:tc>
          <w:tcPr>
            <w:tcW w:w="5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shd w:fill="FFFFFF"/>
          </w:tcPr>
          <w:p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康比特智慧营养健康餐厅管理系统 V1.0</w:t>
            </w:r>
          </w:p>
        </w:tc>
      </w:tr>
      <w:tr w14:paraId="1092495F">
        <w:trPr>
          <w:trHeight w:val="435" w:hRule="atLeast"/>
          <w:cantSplit/>
          <w:tblHeader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shd w:fill="DDEBE6"/>
          </w:tcPr>
          <w:p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一级功能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shd w:fill="DDEBE6"/>
          </w:tcPr>
          <w:p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二级功能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shd w:fill="DDEBE6"/>
          </w:tcPr>
          <w:p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三级功能</w:t>
            </w:r>
          </w:p>
        </w:tc>
        <w:tc>
          <w:tcPr>
            <w:tcW w:w="5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shd w:fill="DDEBE6"/>
          </w:tcPr>
          <w:p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功能说明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平台基础与系统管理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登录与身份认证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账号密码登录、登录态保持、退出登录、密码策略、登录失败提示、验证码/短信验证码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确保不同角色可安全登录，异常登录被阻断并形成登录日志。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平台基础与系统管理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角色权限管理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菜单权限、按钮权限、数据权限、角色分配、管理员分权、权限变更日志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验证跨角色、跨餐厅、跨门店、跨业务数据不能越权访问。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平台基础与系统管理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组织与基础资料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单位、部门、人员、身份类别、餐厅、档口、餐线、餐次等基础资料维护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支撑人员账户、订单归属、消费策略和报表统计。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餐厅经营管理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菜品管理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菜品新增、编辑、上下架、分类、图片、价格、营养素、过敏原/标签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功能名称与 PC 菜品管理、移动端展示、设备端同步保持一致。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餐厅经营管理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菜谱/排餐管理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周期菜谱、餐次菜谱、排餐、例外菜、称重台排菜、设备同步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验证菜谱在后台、移动端、电子菜牌/称重设备上的一致性。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餐厅经营管理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餐厅/档口设置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餐厅信息、档口信息、营业时间、餐别、支付方式、配送/自取规则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覆盖多餐厅、多档口、多企业场景。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账户与卡务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人员档案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员工/会员/学生等人员档案、部门、手机号、身份类别、状态、导入导出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验证在职/离职、部门变更、历史订单归属等边界。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账户与卡务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卡/码/脸账户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餐卡、二维码、人脸、账户绑定、解绑、挂失、补卡、设备识别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涉及个人信息和人脸数据时，验证授权、权限和脱敏。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账户与卡务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现金账户与补贴账户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充值、退款、补贴发放、补贴使用、余额查询、流水、对账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重点验证金额精度、重复提交、退款回滚、对账一致性。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营销与消费策略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消费策略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优惠、折扣、补贴、计次、限额、消费限制、访客餐/加班餐等规则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验证策略优先级、有效期、适用人群和异常边界。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订单管理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称重/刷卡/扫码/刷脸消费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设备上传订单、菜品重量/份数、价格、营养、支付、扣款、打印小票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重点验证不重复扣款、订单幂等、设备异常可追溯。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订单管理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线上订餐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菜谱展示、下单、支付、取消、取餐、评价、售后/退款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验证移动端和 PC 订单状态一致。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订单管理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订单退款与异常处理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退款申请、审核、原路退/账户退、异常订单补偿、冲正/补单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金额类高风险，覆盖异常、重复、超时和权限。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订单管理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消费订单查询与导出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订单筛选、详情、退款状态、支付状态、餐厅/档口/设备/人员筛选、异步导出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验证大数据量导出、权限隔离、导出日志和字段口径。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智能硬件接入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消费机/称重台/膳食智能台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设备注册、参数配置、菜品同步、订单上传、心跳、设备日志、离线补传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验证设备协议、网络异常、重复上传、防重放和恢复。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智能硬件接入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打印机/电子菜牌/取餐柜/售卖柜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打印任务、电子菜牌展示、取餐码/柜门控制、售卖柜出货结果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验证下游失败可观测且不破坏主订单。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 与营养健康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菜品营养标签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热量、蛋白质、脂肪、碳水等营养信息维护和展示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验证营养字段口径、展示端一致性和空值处理。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 与营养健康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 菜品识别/智能排菜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菜品图片识别、识别结果维护、智能排菜、人工复核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 输出进入人工复核闭环，不作为无人工审核的绝对结论。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 与营养健康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个体/团体膳食监控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个人饮食记录、目标体重、营养日报/周报、团体监控、阶段报告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涉及健康数据，验证授权、脱敏、非医疗声明。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食安与进销存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供应商与采购管理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供应商、商品、采购计划、验收、入库、出库、库存、价格异常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验证单据流转、库存扣减、权限和报表一致性。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食安与进销存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食安台账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晨检、留样、消毒、农残、废弃物、陪餐、整改闭环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验证责任人、发生时间、证据材料、处理状态四字段。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报表与看板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经营报表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营业额、客单价、就餐人次、菜品热度、时段流量、补贴、退款、设备在线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验证指标计算口径、刷新频率、导出权限和数据一致性。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报表与看板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营养/食安/运营综合看板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营养结构、食安预警、设备状态、库存预警、大屏展示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验证不同角色看到的数据范围和指标口径。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外部接口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第三方支付/银行/一卡通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充值、支付结果、订单查询、对账、异常订单、回调、签名验签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验证超时、重复通知、金额不一致、回调幂等。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外部接口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企微/钉钉/客户中台/监管平台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人员同步、组织同步、消息通知、监管数据回流、接口日志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验证字段最小化、调用频控、认证、失败重试和日志。</w:t>
            </w:r>
          </w:p>
        </w:tc>
      </w:tr>
      <w:tr>
        <w:trPr>
          <w:cantSplit/>
        </w:trPr>
        <w:tc>
          <w:tcPr>
            <w:tcW w:type="dxa" w:w="204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接口与数据安全</w:t>
            </w:r>
          </w:p>
        </w:tc>
        <w:tc>
          <w:tcPr>
            <w:tcW w:type="dxa" w:w="243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接口鉴权与审计</w:t>
            </w:r>
          </w:p>
        </w:tc>
        <w:tc>
          <w:tcPr>
            <w:tcW w:type="dxa" w:w="5669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Access-Token/cookie/签名、接口权限、参数校验、调用日志</w:t>
            </w:r>
          </w:p>
        </w:tc>
        <w:tc>
          <w:tcPr>
            <w:tcW w:type="dxa" w:w="5272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覆盖缺失鉴权、无效鉴权、越权访问、非法参数。</w:t>
            </w:r>
          </w:p>
        </w:tc>
      </w:tr>
    </w:tbl>
    <w:p w14:paraId="2BC7D24B">
      <w:pPr>
        <w:pageBreakBefore/>
        <w:spacing w:before="0" w:after="40" w:line="252" w:lineRule="auto"/>
        <w:rPr>
          <w:rFonts w:hint="eastAsia"/>
          <w:sz w:val="21"/>
          <w:szCs w:val="21"/>
          <w:lang w:val="en-US" w:eastAsia="zh-CN"/>
        </w:rPr>
      </w:pPr>
      <w:r>
        <w:rPr>
          <w:rFonts w:ascii="宋体" w:hAnsi="宋体" w:eastAsia="宋体"/>
          <w:b w:val="0"/>
          <w:sz w:val="21"/>
        </w:rPr>
        <w:t>测试内容：</w:t>
      </w:r>
    </w:p>
    <w:tbl>
      <w:tblPr>
        <w:tblStyle w:val="5"/>
        <w:tblW w:w="5000" w:type="pct"/>
        <w:jc w:val="center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425"/>
        <w:gridCol w:w="1443"/>
        <w:gridCol w:w="1749"/>
        <w:gridCol w:w="1922"/>
      </w:tblGrid>
      <w:tr w14:paraId="0F289669">
        <w:trPr>
          <w:trHeight w:val="515" w:hRule="atLeast"/>
          <w:cantSplit/>
          <w:tblHeader/>
        </w:trPr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☑产品说明要求</w:t>
            </w:r>
          </w:p>
        </w:tc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☑漏洞扫描</w:t>
            </w:r>
          </w:p>
        </w:tc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☑功能性</w:t>
            </w:r>
          </w:p>
        </w:tc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☑性能效率</w:t>
            </w:r>
          </w:p>
        </w:tc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☑兼容性</w:t>
            </w:r>
          </w:p>
        </w:tc>
      </w:tr>
      <w:tr w14:paraId="5CF83915">
        <w:trPr>
          <w:trHeight w:val="568" w:hRule="atLeast"/>
          <w:cantSplit/>
        </w:trPr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☑用户文档集要求</w:t>
            </w:r>
          </w:p>
        </w:tc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☑易用性</w:t>
            </w:r>
          </w:p>
        </w:tc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☑可靠性</w:t>
            </w:r>
          </w:p>
        </w:tc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☑信息安全性</w:t>
            </w:r>
          </w:p>
        </w:tc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□登记测试</w:t>
            </w:r>
          </w:p>
        </w:tc>
      </w:tr>
      <w:tr w14:paraId="1E4CD7D9">
        <w:trPr>
          <w:trHeight w:val="542" w:hRule="atLeast"/>
          <w:cantSplit/>
        </w:trPr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☑可移植性</w:t>
            </w:r>
          </w:p>
        </w:tc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□渗透测试</w:t>
            </w:r>
          </w:p>
        </w:tc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□代码审计</w:t>
            </w:r>
          </w:p>
        </w:tc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☑维护性</w:t>
            </w:r>
          </w:p>
        </w:tc>
        <w:tc>
          <w:tcPr>
            <w:tcW w:w="3061" w:type="dxa"/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□造价评估</w:t>
            </w:r>
          </w:p>
        </w:tc>
      </w:tr>
    </w:tbl>
    <w:p w14:paraId="38627F9F"/>
    <w:tbl>
      <w:tblPr>
        <w:tblStyle w:val="5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</w:tblPr>
      <w:tblGrid>
        <w:gridCol w:w="1291"/>
        <w:gridCol w:w="7412"/>
      </w:tblGrid>
      <w:tr w14:paraId="4F69BD37">
        <w:trPr>
          <w:trHeight w:val="1185" w:hRule="atLeast"/>
          <w:cantSplit/>
          <w:tblHeader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/>
                <w:sz w:val="16"/>
              </w:rPr>
              <w:t>注意：</w:t>
            </w:r>
          </w:p>
        </w:tc>
        <w:tc>
          <w:tcPr>
            <w:tcW w:w="141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6"/>
              </w:rPr>
              <w:t>1. 本系统按 1 个综合应用系统填报。</w:t>
            </w:r>
            <w:r>
              <w:rPr>
                <w:rFonts w:ascii="宋体" w:hAnsi="宋体" w:eastAsia="宋体"/>
                <w:sz w:val="16"/>
              </w:rPr>
              <w:br/>
            </w:r>
            <w:r>
              <w:rPr>
                <w:rFonts w:ascii="宋体" w:hAnsi="宋体" w:eastAsia="宋体"/>
                <w:b w:val="0"/>
                <w:sz w:val="16"/>
              </w:rPr>
              <w:t>2. 功能明细已细化至可演示菜单和业务链路。</w:t>
            </w:r>
            <w:r>
              <w:rPr>
                <w:rFonts w:ascii="宋体" w:hAnsi="宋体" w:eastAsia="宋体"/>
                <w:sz w:val="16"/>
              </w:rPr>
              <w:br/>
            </w:r>
            <w:r>
              <w:rPr>
                <w:rFonts w:ascii="宋体" w:hAnsi="宋体" w:eastAsia="宋体"/>
                <w:b w:val="0"/>
                <w:sz w:val="16"/>
              </w:rPr>
              <w:t>3. 功能列表所列功能均可通过 PC 后台、移动端、接口、设备或 Mock 演示。</w:t>
            </w:r>
            <w:r>
              <w:rPr>
                <w:rFonts w:ascii="宋体" w:hAnsi="宋体" w:eastAsia="宋体"/>
                <w:sz w:val="16"/>
              </w:rPr>
              <w:br/>
            </w:r>
            <w:r>
              <w:rPr>
                <w:rFonts w:ascii="宋体" w:hAnsi="宋体" w:eastAsia="宋体"/>
                <w:b w:val="0"/>
                <w:sz w:val="16"/>
              </w:rPr>
              <w:t>4. 功能名称与软件界面、用户文档、接口文档保持一致。</w:t>
            </w:r>
            <w:r>
              <w:rPr>
                <w:rFonts w:ascii="宋体" w:hAnsi="宋体" w:eastAsia="宋体"/>
                <w:sz w:val="16"/>
              </w:rPr>
              <w:br/>
            </w:r>
            <w:r>
              <w:rPr>
                <w:rFonts w:ascii="宋体" w:hAnsi="宋体" w:eastAsia="宋体"/>
                <w:b w:val="0"/>
                <w:sz w:val="16"/>
              </w:rPr>
              <w:t>5. 测试依据为产品说明书、功能说明书、用户手册、部署手册、接口文档和送检版本 V1.0。</w:t>
            </w:r>
          </w:p>
        </w:tc>
      </w:tr>
    </w:tbl>
    <w:p w14:paraId="7705CE54"/>
    <w:p w14:paraId="49F92B0A">
      <w:pPr>
        <w:widowControl/>
        <w:spacing w:before="0" w:after="60" w:line="252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  <w:r>
        <w:rPr>
          <w:rFonts w:ascii="宋体" w:hAnsi="宋体" w:eastAsia="宋体"/>
          <w:b/>
          <w:sz w:val="21"/>
        </w:rPr>
        <w:t>确定补充事项：</w:t>
      </w:r>
    </w:p>
    <w:p w14:paraId="1C5A8894">
      <w:pPr>
        <w:widowControl/>
        <w:spacing w:before="0" w:after="40" w:line="252" w:lineRule="auto"/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 w:eastAsia="zh-CN"/>
        </w:rPr>
      </w:pPr>
      <w:r>
        <w:rPr>
          <w:rFonts w:ascii="宋体" w:hAnsi="宋体" w:eastAsia="宋体"/>
          <w:b w:val="0"/>
          <w:sz w:val="17"/>
        </w:rPr>
        <w:t>1. 性能指标测评要求：有明确指标。普通用户/管理员登录及首页加载 P95 不超过 3 秒；常规查询 P95 不超过 3 秒；复杂报表 P95 不超过 10 秒；消费/支付/设备订单单笔交易 P95 不超过 2 秒；设备上传并发 50 TPS；AI/识别类结果返回 P95 不超过 5 秒。</w:t>
      </w:r>
    </w:p>
    <w:p w14:paraId="6C1AE865">
      <w:pPr>
        <w:widowControl/>
        <w:spacing w:before="0" w:after="40" w:line="252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  <w:r>
        <w:rPr>
          <w:rFonts w:ascii="宋体" w:hAnsi="宋体" w:eastAsia="宋体"/>
          <w:b w:val="0"/>
          <w:sz w:val="17"/>
        </w:rPr>
        <w:t>2. 质量特性测评要求：覆盖可靠性、易用性、兼容性、维护性、可移植性和信息安全性。金额类业务必须防重复扣款、重复退款、重复补贴；关键操作有确认和可恢复路径；接口、日志、部署、备份、证书替换、敏感数据保护和权限隔离均纳入测试。</w:t>
      </w:r>
    </w:p>
    <w:p w14:paraId="5E41BB88">
      <w:pPr>
        <w:widowControl/>
        <w:spacing w:before="0" w:after="80" w:line="252" w:lineRule="auto"/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  <w:r>
        <w:rPr>
          <w:rFonts w:ascii="宋体" w:hAnsi="宋体" w:eastAsia="宋体"/>
          <w:b w:val="0"/>
          <w:sz w:val="17"/>
        </w:rPr>
        <w:t>3. 远程测试支持：支持远程测试。提供准生产/独立测试环境、VPN/白名单/堡垒机、测试账号、脱敏数据、设备 Mock 或测试设备、第三方接口沙箱/Mock、测试窗口和数据恢复方案。</w:t>
      </w:r>
    </w:p>
    <w:p w14:paraId="4C07666E">
      <w:pPr>
        <w:spacing w:before="0" w:after="0" w:line="252" w:lineRule="auto"/>
        <w:rPr>
          <w:rFonts w:hint="eastAsia"/>
          <w:b/>
          <w:bCs/>
          <w:sz w:val="24"/>
          <w:szCs w:val="24"/>
        </w:rPr>
      </w:pPr>
      <w:r>
        <w:rPr>
          <w:rFonts w:ascii="宋体" w:hAnsi="宋体" w:eastAsia="宋体"/>
          <w:b w:val="0"/>
          <w:sz w:val="2"/>
        </w:rPr>
      </w:r>
    </w:p>
    <w:p w14:paraId="7839DFD2">
      <w:pPr>
        <w:spacing w:before="0" w:after="0" w:line="252" w:lineRule="auto"/>
        <w:rPr>
          <w:rFonts w:hint="eastAsia"/>
          <w:lang w:val="en-US" w:eastAsia="zh-CN"/>
        </w:rPr>
      </w:pPr>
      <w:r>
        <w:rPr>
          <w:rFonts w:ascii="宋体" w:hAnsi="宋体" w:eastAsia="宋体"/>
          <w:b w:val="0"/>
          <w:sz w:val="2"/>
        </w:rPr>
      </w:r>
    </w:p>
    <w:p w14:paraId="1E890D88">
      <w:pPr>
        <w:spacing w:before="0" w:after="0" w:line="252" w:lineRule="auto"/>
        <w:rPr>
          <w:rFonts w:hint="eastAsia"/>
          <w:lang w:val="en-US" w:eastAsia="zh-CN"/>
        </w:rPr>
      </w:pPr>
      <w:r>
        <w:rPr>
          <w:rFonts w:ascii="宋体" w:hAnsi="宋体" w:eastAsia="宋体"/>
          <w:b w:val="0"/>
          <w:sz w:val="2"/>
        </w:rPr>
      </w:r>
    </w:p>
    <w:p w14:paraId="7B9972DB">
      <w:pPr>
        <w:spacing w:line="252" w:lineRule="auto" w:before="0" w:after="0"/>
        <w:rPr>
          <w:rFonts w:hint="eastAsia"/>
          <w:sz w:val="18"/>
          <w:szCs w:val="18"/>
        </w:rPr>
      </w:pPr>
      <w:r>
        <w:rPr>
          <w:rFonts w:ascii="宋体" w:hAnsi="宋体" w:eastAsia="宋体"/>
          <w:b w:val="0"/>
          <w:sz w:val="2"/>
        </w:rPr>
      </w:r>
    </w:p>
    <w:p w14:paraId="552576AD">
      <w:pPr>
        <w:spacing w:line="252" w:lineRule="auto" w:before="0" w:after="0"/>
        <w:rPr>
          <w:sz w:val="18"/>
          <w:szCs w:val="18"/>
        </w:rPr>
      </w:pPr>
      <w:r>
        <w:rPr>
          <w:rFonts w:ascii="宋体" w:hAnsi="宋体" w:eastAsia="宋体"/>
          <w:b w:val="0"/>
          <w:sz w:val="2"/>
        </w:rPr>
      </w:r>
    </w:p>
    <w:p>
      <w:pPr>
        <w:spacing w:before="0" w:after="60" w:line="252" w:lineRule="auto"/>
      </w:pPr>
      <w:r>
        <w:rPr>
          <w:rFonts w:ascii="宋体" w:hAnsi="宋体" w:eastAsia="宋体"/>
          <w:b/>
          <w:sz w:val="21"/>
        </w:rPr>
        <w:t>性能指标明细：</w:t>
      </w:r>
    </w:p>
    <w:tbl>
      <w:tblPr>
        <w:tblW w:type="pct" w:w="500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</w:tblPr>
      <w:tblGrid>
        <w:gridCol w:w="5235"/>
        <w:gridCol w:w="5235"/>
        <w:gridCol w:w="5235"/>
      </w:tblGrid>
      <w:tr>
        <w:trPr>
          <w:cantSplit/>
          <w:tblHeader/>
        </w:trPr>
        <w:tc>
          <w:tcPr>
            <w:tcW w:type="dxa" w:w="2381"/>
            <w:vAlign w:val="center"/>
            <w:shd w:fill="DDEBE6"/>
          </w:tcPr>
          <w:p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场景</w:t>
            </w:r>
          </w:p>
        </w:tc>
        <w:tc>
          <w:tcPr>
            <w:tcW w:type="dxa" w:w="6917"/>
            <w:vAlign w:val="center"/>
            <w:shd w:fill="DDEBE6"/>
          </w:tcPr>
          <w:p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指标要求</w:t>
            </w:r>
          </w:p>
        </w:tc>
        <w:tc>
          <w:tcPr>
            <w:tcW w:type="dxa" w:w="6123"/>
            <w:vAlign w:val="center"/>
            <w:shd w:fill="DDEBE6"/>
          </w:tcPr>
          <w:p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确定参数</w:t>
            </w:r>
          </w:p>
        </w:tc>
      </w:tr>
      <w:tr>
        <w:trPr>
          <w:cantSplit/>
        </w:trPr>
        <w:tc>
          <w:tcPr>
            <w:tcW w:type="dxa" w:w="238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登录与首页加载</w:t>
            </w:r>
          </w:p>
        </w:tc>
        <w:tc>
          <w:tcPr>
            <w:tcW w:type="dxa" w:w="6917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普通用户/管理员登录、首页仪表盘加载 P95 不超过 3 秒；异常提示清晰。</w:t>
            </w:r>
          </w:p>
        </w:tc>
        <w:tc>
          <w:tcPr>
            <w:tcW w:type="dxa" w:w="6123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并发用户数 100；服务器配置按 8 台服务器/虚拟机；基础数据量：人员 10 万、订单 100 万。</w:t>
            </w:r>
          </w:p>
        </w:tc>
      </w:tr>
      <w:tr>
        <w:trPr>
          <w:cantSplit/>
        </w:trPr>
        <w:tc>
          <w:tcPr>
            <w:tcW w:type="dxa" w:w="238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PC 查询类接口</w:t>
            </w:r>
          </w:p>
        </w:tc>
        <w:tc>
          <w:tcPr>
            <w:tcW w:type="dxa" w:w="6917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订单、人员、菜品、库存、报表常规查询 P95 不超过 3 秒；复杂报表 P95 不超过 10 秒。</w:t>
            </w:r>
          </w:p>
        </w:tc>
        <w:tc>
          <w:tcPr>
            <w:tcW w:type="dxa" w:w="6123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数据量：人员 10 万、菜品 5,000、订单 100 万、库存流水 50 万；分页默认 20/50/100。</w:t>
            </w:r>
          </w:p>
        </w:tc>
      </w:tr>
      <w:tr>
        <w:trPr>
          <w:cantSplit/>
        </w:trPr>
        <w:tc>
          <w:tcPr>
            <w:tcW w:type="dxa" w:w="238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消费/支付/设备订单</w:t>
            </w:r>
          </w:p>
        </w:tc>
        <w:tc>
          <w:tcPr>
            <w:tcW w:type="dxa" w:w="6917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刷卡、扫码、刷脸、称重消费及第三方回调，单笔交易 P95 不超过 2 秒；重复提交不重复扣款。</w:t>
            </w:r>
          </w:p>
        </w:tc>
        <w:tc>
          <w:tcPr>
            <w:tcW w:type="dxa" w:w="6123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设备协议按 HTTPS/MQTT/厂商协议适配；网络延迟按内网 50ms、互联网 200ms；支付/一卡通接口按沙箱 SLA 执行。</w:t>
            </w:r>
          </w:p>
        </w:tc>
      </w:tr>
      <w:tr>
        <w:trPr>
          <w:cantSplit/>
        </w:trPr>
        <w:tc>
          <w:tcPr>
            <w:tcW w:type="dxa" w:w="238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设备上传</w:t>
            </w:r>
          </w:p>
        </w:tc>
        <w:tc>
          <w:tcPr>
            <w:tcW w:type="dxa" w:w="6917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设备心跳、订单上传、离线补传稳定；重复消息幂等；设备上传并发 50 TPS。</w:t>
            </w:r>
          </w:p>
        </w:tc>
        <w:tc>
          <w:tcPr>
            <w:tcW w:type="dxa" w:w="6123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设备数量按消费机 10、称重台 5、膳食智能台 2、电子菜牌 4、打印机 4、取餐柜 1 组、售卖柜 1 台。</w:t>
            </w:r>
          </w:p>
        </w:tc>
      </w:tr>
      <w:tr>
        <w:trPr>
          <w:cantSplit/>
        </w:trPr>
        <w:tc>
          <w:tcPr>
            <w:tcW w:type="dxa" w:w="238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报表导出</w:t>
            </w:r>
          </w:p>
        </w:tc>
        <w:tc>
          <w:tcPr>
            <w:tcW w:type="dxa" w:w="6917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大数据量采用异步导出；任务状态可查询、失败可重试、有权限控制和导出日志。</w:t>
            </w:r>
          </w:p>
        </w:tc>
        <w:tc>
          <w:tcPr>
            <w:tcW w:type="dxa" w:w="6123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单次导出上限 10 万行；文件格式 XLSX/CSV；任务超时 30 分钟；导出文件保留 7 天。</w:t>
            </w:r>
          </w:p>
        </w:tc>
      </w:tr>
      <w:tr>
        <w:trPr>
          <w:cantSplit/>
        </w:trPr>
        <w:tc>
          <w:tcPr>
            <w:tcW w:type="dxa" w:w="2381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AI/识别类</w:t>
            </w:r>
          </w:p>
        </w:tc>
        <w:tc>
          <w:tcPr>
            <w:tcW w:type="dxa" w:w="6917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菜品识别、营养说明、报告生成 P95 不超过 5 秒；AI 结果进入人工复核闭环。</w:t>
            </w:r>
          </w:p>
        </w:tc>
        <w:tc>
          <w:tcPr>
            <w:tcW w:type="dxa" w:w="6123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测试集使用脱敏菜品图片；准确率/召回率作为辅助记录，不作为合格判定唯一依据。</w:t>
            </w:r>
          </w:p>
        </w:tc>
      </w:tr>
    </w:tbl>
    <w:p>
      <w:pPr>
        <w:spacing w:before="0" w:after="60" w:line="252" w:lineRule="auto"/>
      </w:pPr>
      <w:r>
        <w:rPr>
          <w:rFonts w:ascii="宋体" w:hAnsi="宋体" w:eastAsia="宋体"/>
          <w:b/>
          <w:sz w:val="21"/>
        </w:rPr>
        <w:t>质量特性明细：</w:t>
      </w:r>
    </w:p>
    <w:tbl>
      <w:tblPr>
        <w:tblW w:type="pct" w:w="500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</w:tblPr>
      <w:tblGrid>
        <w:gridCol w:w="7852"/>
        <w:gridCol w:w="7852"/>
      </w:tblGrid>
      <w:tr>
        <w:trPr>
          <w:cantSplit/>
          <w:tblHeader/>
        </w:trPr>
        <w:tc>
          <w:tcPr>
            <w:tcW w:type="dxa" w:w="2268"/>
            <w:vAlign w:val="center"/>
            <w:shd w:fill="DDEBE6"/>
          </w:tcPr>
          <w:p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4"/>
              </w:rPr>
              <w:t>质量特性</w:t>
            </w:r>
          </w:p>
        </w:tc>
        <w:tc>
          <w:tcPr>
            <w:tcW w:type="dxa" w:w="13153"/>
            <w:vAlign w:val="center"/>
            <w:shd w:fill="DDEBE6"/>
          </w:tcPr>
          <w:p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4"/>
              </w:rPr>
              <w:t>确定测评要求</w:t>
            </w:r>
          </w:p>
        </w:tc>
      </w:tr>
      <w:tr>
        <w:trPr>
          <w:cantSplit/>
        </w:trPr>
        <w:tc>
          <w:tcPr>
            <w:tcW w:type="dxa" w:w="226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可靠性</w:t>
            </w:r>
          </w:p>
        </w:tc>
        <w:tc>
          <w:tcPr>
            <w:tcW w:type="dxa" w:w="13153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金额类业务防重复扣款、重复退款、重复补贴；第三方回调、设备上传、导出任务、定时任务具备幂等、重试和异常记录；数据库、缓存、文件异常可定位。</w:t>
            </w:r>
          </w:p>
        </w:tc>
      </w:tr>
      <w:tr>
        <w:trPr>
          <w:cantSplit/>
        </w:trPr>
        <w:tc>
          <w:tcPr>
            <w:tcW w:type="dxa" w:w="226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易用性</w:t>
            </w:r>
          </w:p>
        </w:tc>
        <w:tc>
          <w:tcPr>
            <w:tcW w:type="dxa" w:w="13153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后台菜单名称、表单字段、错误提示、导入模板、导出文件、移动端操作流程与用户文档一致；关键操作设置二次确认和可恢复路径。</w:t>
            </w:r>
          </w:p>
        </w:tc>
      </w:tr>
      <w:tr>
        <w:trPr>
          <w:cantSplit/>
        </w:trPr>
        <w:tc>
          <w:tcPr>
            <w:tcW w:type="dxa" w:w="226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兼容性</w:t>
            </w:r>
          </w:p>
        </w:tc>
        <w:tc>
          <w:tcPr>
            <w:tcW w:type="dxa" w:w="13153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覆盖 Chrome/Edge 主流版本、微信内置浏览器/H5、小程序环境；国产化场景覆盖麒麟/统信、国产数据库、国产中间件和标准设备/Mock。</w:t>
            </w:r>
          </w:p>
        </w:tc>
      </w:tr>
      <w:tr>
        <w:trPr>
          <w:cantSplit/>
        </w:trPr>
        <w:tc>
          <w:tcPr>
            <w:tcW w:type="dxa" w:w="226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维护性</w:t>
            </w:r>
          </w:p>
        </w:tc>
        <w:tc>
          <w:tcPr>
            <w:tcW w:type="dxa" w:w="13153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配置项、日志、接口文档、部署手册、数据库备份、任务调度、设备版本和异常排查形成说明；运维账号权限最小化。</w:t>
            </w:r>
          </w:p>
        </w:tc>
      </w:tr>
      <w:tr>
        <w:trPr>
          <w:cantSplit/>
        </w:trPr>
        <w:tc>
          <w:tcPr>
            <w:tcW w:type="dxa" w:w="226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可移植性</w:t>
            </w:r>
          </w:p>
        </w:tc>
        <w:tc>
          <w:tcPr>
            <w:tcW w:type="dxa" w:w="13153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验证私有化部署所需的部署脚本、配置分离、数据库迁移、文件存储、缓存、队列、证书替换和环境变量迁移流程。</w:t>
            </w:r>
          </w:p>
        </w:tc>
      </w:tr>
      <w:tr>
        <w:trPr>
          <w:cantSplit/>
        </w:trPr>
        <w:tc>
          <w:tcPr>
            <w:tcW w:type="dxa" w:w="2268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信息安全性</w:t>
            </w:r>
          </w:p>
        </w:tc>
        <w:tc>
          <w:tcPr>
            <w:tcW w:type="dxa" w:w="13153"/>
            <w:vAlign w:val="center"/>
            <w:shd w:fill="FFFFFF"/>
          </w:tcPr>
          <w:p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覆盖身份鉴别、权限隔离、敏感数据脱敏、接口鉴权、参数校验、日志审计、导出控制、个人信息授权、数据删除/匿名化和黑盒漏洞扫描。</w:t>
            </w:r>
          </w:p>
        </w:tc>
      </w:tr>
    </w:tbl>
    <w:sectPr>
      <w:headerReference r:id="rId3" w:type="default"/>
      <w:footerReference r:id="rId4" w:type="default"/>
      <w:pgSz w:w="16838" w:h="11906" w:orient="landscape"/>
      <w:pgMar w:top="567" w:right="567" w:bottom="567" w:left="567" w:header="283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text" w:horzAnchor="page" w:tblpX="1875" w:tblpY="-202"/>
      <w:tblW w:w="15000" w:type="dxa"/>
      <w:tblInd w:w="0" w:type="dxa"/>
      <w:tblBorders>
        <w:top w:val="thinThickSmallGap" w:color="auto" w:sz="2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000"/>
    </w:tblGrid>
    <w:tr w14:paraId="7D900F1C">
      <w:trPr>
        <w:trHeight w:val="52" w:hRule="atLeast"/>
      </w:trPr>
      <w:tc>
        <w:tcPr>
          <w:tcW w:w="15000" w:type="dxa"/>
        </w:tcPr>
        <w:p w14:paraId="13A68133">
          <w:pPr>
            <w:pStyle w:val="3"/>
            <w:rPr>
              <w:rStyle w:val="8"/>
              <w:rFonts w:hint="eastAsia"/>
            </w:rPr>
          </w:pPr>
          <w:r>
            <w:rPr>
              <w:rStyle w:val="8"/>
              <w:rFonts w:hint="eastAsia"/>
            </w:rPr>
            <w:t xml:space="preserve">     </w:t>
          </w:r>
        </w:p>
        <w:p w14:paraId="5B2F87EB">
          <w:pPr>
            <w:pStyle w:val="3"/>
            <w:rPr>
              <w:rStyle w:val="8"/>
            </w:rPr>
          </w:pPr>
          <w:r>
            <w:rPr>
              <w:rStyle w:val="8"/>
              <w:rFonts w:hint="eastAsia"/>
            </w:rPr>
            <w:t xml:space="preserve">                              </w:t>
          </w:r>
          <w:r>
            <w:rPr>
              <w:rStyle w:val="8"/>
              <w:rFonts w:hint="eastAsia"/>
              <w:sz w:val="24"/>
              <w:szCs w:val="24"/>
            </w:rPr>
            <w:t xml:space="preserve"> 第</w:t>
          </w:r>
          <w:r>
            <w:rPr>
              <w:rStyle w:val="8"/>
              <w:sz w:val="24"/>
              <w:szCs w:val="24"/>
            </w:rPr>
            <w:fldChar w:fldCharType="begin"/>
          </w:r>
          <w:r>
            <w:rPr>
              <w:rStyle w:val="8"/>
              <w:sz w:val="24"/>
              <w:szCs w:val="24"/>
            </w:rPr>
            <w:instrText xml:space="preserve"> PAGE </w:instrText>
          </w:r>
          <w:r>
            <w:rPr>
              <w:rStyle w:val="8"/>
              <w:sz w:val="24"/>
              <w:szCs w:val="24"/>
            </w:rPr>
            <w:fldChar w:fldCharType="separate"/>
          </w:r>
          <w:r>
            <w:rPr>
              <w:rStyle w:val="8"/>
              <w:sz w:val="24"/>
              <w:szCs w:val="24"/>
            </w:rPr>
            <w:t>1</w:t>
          </w:r>
          <w:r>
            <w:rPr>
              <w:rStyle w:val="8"/>
              <w:sz w:val="24"/>
              <w:szCs w:val="24"/>
            </w:rPr>
            <w:fldChar w:fldCharType="end"/>
          </w:r>
          <w:r>
            <w:rPr>
              <w:rStyle w:val="8"/>
              <w:rFonts w:hint="eastAsia"/>
              <w:sz w:val="24"/>
              <w:szCs w:val="24"/>
            </w:rPr>
            <w:t>页共4页</w:t>
          </w:r>
        </w:p>
      </w:tc>
    </w:tr>
  </w:tbl>
  <w:p w14:paraId="400668B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E22E4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BA826"/>
    <w:multiLevelType w:val="singleLevel"/>
    <w:tmpl w:val="AC9BA826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19D28696"/>
    <w:multiLevelType w:val="singleLevel"/>
    <w:tmpl w:val="19D2869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17A1A32"/>
    <w:multiLevelType w:val="singleLevel"/>
    <w:tmpl w:val="217A1A3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zM2ZTlkYTAyYTg3NjUxMjU1ZmMyYzdkODRmZWUifQ=="/>
  </w:docVars>
  <w:rsids>
    <w:rsidRoot w:val="00A71F0A"/>
    <w:rsid w:val="00004E51"/>
    <w:rsid w:val="000066D9"/>
    <w:rsid w:val="00014DF7"/>
    <w:rsid w:val="00023EBD"/>
    <w:rsid w:val="00026959"/>
    <w:rsid w:val="00055DD7"/>
    <w:rsid w:val="0005789F"/>
    <w:rsid w:val="000E13DD"/>
    <w:rsid w:val="000F24CF"/>
    <w:rsid w:val="000F7982"/>
    <w:rsid w:val="001063C0"/>
    <w:rsid w:val="0012331C"/>
    <w:rsid w:val="0013335D"/>
    <w:rsid w:val="00194035"/>
    <w:rsid w:val="001A1E17"/>
    <w:rsid w:val="001A24EE"/>
    <w:rsid w:val="001A3968"/>
    <w:rsid w:val="001A4C2F"/>
    <w:rsid w:val="001B48CB"/>
    <w:rsid w:val="00221309"/>
    <w:rsid w:val="00250C2B"/>
    <w:rsid w:val="00251965"/>
    <w:rsid w:val="002F4C7F"/>
    <w:rsid w:val="00301CB7"/>
    <w:rsid w:val="00324593"/>
    <w:rsid w:val="003730CC"/>
    <w:rsid w:val="00375B64"/>
    <w:rsid w:val="003A04BA"/>
    <w:rsid w:val="003A5B4D"/>
    <w:rsid w:val="003B002E"/>
    <w:rsid w:val="003C4400"/>
    <w:rsid w:val="004227DB"/>
    <w:rsid w:val="00467EF0"/>
    <w:rsid w:val="004A0914"/>
    <w:rsid w:val="004A1158"/>
    <w:rsid w:val="004D3285"/>
    <w:rsid w:val="00502A58"/>
    <w:rsid w:val="00540176"/>
    <w:rsid w:val="00582B8D"/>
    <w:rsid w:val="00592BE0"/>
    <w:rsid w:val="005B56D3"/>
    <w:rsid w:val="005B7C1C"/>
    <w:rsid w:val="005F0EB1"/>
    <w:rsid w:val="00615A21"/>
    <w:rsid w:val="00627D80"/>
    <w:rsid w:val="006728A9"/>
    <w:rsid w:val="006A345A"/>
    <w:rsid w:val="006E0739"/>
    <w:rsid w:val="006E6D1B"/>
    <w:rsid w:val="00712413"/>
    <w:rsid w:val="00717946"/>
    <w:rsid w:val="00766649"/>
    <w:rsid w:val="0078326C"/>
    <w:rsid w:val="007C1B3B"/>
    <w:rsid w:val="007C2B96"/>
    <w:rsid w:val="007E7002"/>
    <w:rsid w:val="00851133"/>
    <w:rsid w:val="00864E09"/>
    <w:rsid w:val="008E4D1F"/>
    <w:rsid w:val="00914E1C"/>
    <w:rsid w:val="009475C8"/>
    <w:rsid w:val="00960783"/>
    <w:rsid w:val="00977823"/>
    <w:rsid w:val="009D24D1"/>
    <w:rsid w:val="009E6258"/>
    <w:rsid w:val="009F7E0D"/>
    <w:rsid w:val="00A259F0"/>
    <w:rsid w:val="00A71F0A"/>
    <w:rsid w:val="00A738C3"/>
    <w:rsid w:val="00AD4116"/>
    <w:rsid w:val="00AE74D6"/>
    <w:rsid w:val="00B400F1"/>
    <w:rsid w:val="00B43A69"/>
    <w:rsid w:val="00B56FED"/>
    <w:rsid w:val="00B75488"/>
    <w:rsid w:val="00B76236"/>
    <w:rsid w:val="00BA2D59"/>
    <w:rsid w:val="00BE5280"/>
    <w:rsid w:val="00CB5045"/>
    <w:rsid w:val="00CC45D0"/>
    <w:rsid w:val="00CE0A3D"/>
    <w:rsid w:val="00CF2668"/>
    <w:rsid w:val="00D51020"/>
    <w:rsid w:val="00D807F5"/>
    <w:rsid w:val="00D84C5C"/>
    <w:rsid w:val="00D900E7"/>
    <w:rsid w:val="00DC24EA"/>
    <w:rsid w:val="00DE3595"/>
    <w:rsid w:val="00E25C65"/>
    <w:rsid w:val="00E43545"/>
    <w:rsid w:val="00E713A3"/>
    <w:rsid w:val="00E84BDA"/>
    <w:rsid w:val="00E972AE"/>
    <w:rsid w:val="00EA6126"/>
    <w:rsid w:val="00ED5D41"/>
    <w:rsid w:val="00EE4372"/>
    <w:rsid w:val="00EE7DFA"/>
    <w:rsid w:val="00EF19AF"/>
    <w:rsid w:val="00F1734C"/>
    <w:rsid w:val="00F52E70"/>
    <w:rsid w:val="00F7233E"/>
    <w:rsid w:val="00F86FDC"/>
    <w:rsid w:val="00FC7F0C"/>
    <w:rsid w:val="06B43EBD"/>
    <w:rsid w:val="07E74448"/>
    <w:rsid w:val="44205471"/>
    <w:rsid w:val="53EE70A9"/>
    <w:rsid w:val="548230E7"/>
    <w:rsid w:val="6C0E1FF1"/>
    <w:rsid w:val="6D73F08B"/>
    <w:rsid w:val="741B5358"/>
    <w:rsid w:val="EF55D670"/>
    <w:rsid w:val="FFB7A1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semiHidden/>
    <w:unhideWhenUsed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北京精科评测技术有限公司</Company>
  <Pages>1</Pages>
  <Words>210</Words>
  <Characters>1200</Characters>
  <Lines>10</Lines>
  <Paragraphs>2</Paragraphs>
  <TotalTime>3</TotalTime>
  <ScaleCrop>false</ScaleCrop>
  <LinksUpToDate>false</LinksUpToDate>
  <CharactersWithSpaces>1408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测试需求</cp:category>
  <dcterms:created xsi:type="dcterms:W3CDTF">2014-09-04T05:40:00Z</dcterms:created>
  <dc:creator>王斌</dc:creator>
  <cp:lastModifiedBy>一直很安静</cp:lastModifiedBy>
  <cp:lastPrinted>2014-09-04T05:35:00Z</cp:lastPrinted>
  <dcterms:modified xsi:type="dcterms:W3CDTF">2025-03-10T16:30:02Z</dcterms:modified>
  <dc:title>测试需求明细列表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3951AE654F194DB18311F6225EC26B9A</vt:lpwstr>
  </property>
</Properties>
</file>