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E81E">
      <w:pPr>
        <w:spacing w:line="220" w:lineRule="exact"/>
        <w:rPr>
          <w:rFonts w:hint="eastAsia"/>
          <w:sz w:val="18"/>
          <w:szCs w:val="18"/>
        </w:rPr>
      </w:pPr>
    </w:p>
    <w:p w14:paraId="664D4554">
      <w:pPr>
        <w:rPr>
          <w:rFonts w:hint="eastAsia"/>
        </w:rPr>
      </w:pPr>
      <w:r>
        <w:rPr>
          <w:rFonts w:ascii="微软雅黑" w:hAnsi="微软雅黑"/>
          <w:sz w:val="21"/>
        </w:rPr>
        <w:t>软件测试需求明细列表</w:t>
      </w:r>
    </w:p>
    <w:p w14:paraId="01D9916A">
      <w:pPr>
        <w:rPr>
          <w:rFonts w:hint="eastAsia"/>
          <w:sz w:val="21"/>
          <w:szCs w:val="21"/>
          <w:lang w:val="en-US" w:eastAsia="zh-CN"/>
        </w:rPr>
      </w:pPr>
      <w:r>
        <w:rPr>
          <w:rFonts w:ascii="微软雅黑" w:hAnsi="微软雅黑"/>
          <w:sz w:val="21"/>
        </w:rPr>
        <w:t>项目名称：康比特智慧营养健康餐厅管理系统 V1.0 软件测试</w:t>
      </w:r>
    </w:p>
    <w:p w14:paraId="2D86ABA1">
      <w:pPr>
        <w:rPr>
          <w:rFonts w:hint="eastAsia"/>
          <w:sz w:val="21"/>
          <w:szCs w:val="21"/>
          <w:lang w:val="en-US" w:eastAsia="zh-CN"/>
        </w:rPr>
      </w:pPr>
      <w:r>
        <w:rPr>
          <w:rFonts w:ascii="微软雅黑" w:hAnsi="微软雅黑"/>
          <w:sz w:val="21"/>
        </w:rPr>
        <w:t>委托单位：北京康比特体育科技股份有限公司</w:t>
      </w:r>
    </w:p>
    <w:p w14:paraId="09285CEA">
      <w:pPr>
        <w:rPr>
          <w:rFonts w:hint="eastAsia"/>
          <w:sz w:val="21"/>
          <w:szCs w:val="21"/>
        </w:rPr>
      </w:pPr>
      <w:r>
        <w:rPr>
          <w:rFonts w:ascii="微软雅黑" w:hAnsi="微软雅黑"/>
          <w:sz w:val="21"/>
        </w:rPr>
        <w:t>生产单位：北京康比特体育科技股份有限公司</w:t>
      </w:r>
    </w:p>
    <w:p w14:paraId="6E906323">
      <w:pPr>
        <w:rPr>
          <w:rFonts w:hint="eastAsia"/>
          <w:sz w:val="21"/>
          <w:szCs w:val="21"/>
          <w:lang w:val="en-US" w:eastAsia="zh-CN"/>
        </w:rPr>
      </w:pPr>
      <w:r>
        <w:rPr>
          <w:rFonts w:ascii="微软雅黑" w:hAnsi="微软雅黑"/>
          <w:sz w:val="21"/>
        </w:rPr>
        <w:t>联 系 人：吕立甫</w:t>
      </w:r>
    </w:p>
    <w:p w14:paraId="0471ED58">
      <w:r>
        <w:rPr>
          <w:rFonts w:ascii="微软雅黑" w:hAnsi="微软雅黑"/>
          <w:sz w:val="21"/>
        </w:rPr>
        <w:t>联系方式：010-50949378；lvlifu@chinacpt.com</w:t>
      </w:r>
    </w:p>
    <w:p w14:paraId="09EB81D9">
      <w:r>
        <w:rPr>
          <w:rFonts w:hint="eastAsia" w:ascii="微软雅黑" w:hAnsi="微软雅黑"/>
          <w:sz w:val="21"/>
        </w:rPr>
        <w:t xml:space="preserve">                 </w:t>
      </w:r>
    </w:p>
    <w:tbl>
      <w:tblPr>
        <w:tblStyle w:val="5"/>
        <w:tblW w:w="87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67"/>
        <w:gridCol w:w="1794"/>
        <w:gridCol w:w="4200"/>
      </w:tblGrid>
      <w:tr w14:paraId="68854B58">
        <w:trPr>
          <w:trHeight w:val="435" w:hRule="atLeast"/>
        </w:trPr>
        <w:tc>
          <w:tcPr>
            <w:tcW w:w="8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康比特智慧营养健康餐厅管理系统 V1.0</w:t>
            </w:r>
          </w:p>
        </w:tc>
      </w:tr>
      <w:tr w14:paraId="1092495F">
        <w:trPr>
          <w:trHeight w:val="435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一级功能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二级功能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三级功能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功能说明</w:t>
            </w:r>
          </w:p>
        </w:tc>
      </w:tr>
      <w:tr w14:paraId="276DA49E">
        <w:trPr>
          <w:trHeight w:val="435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餐厅经营管理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登录与身份认证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账号密码登录、登录态保持、退出登录、密码策略、登录失败提示、验证码/短信验证码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确保不同角色可安全登录，异常登录被阻断并形成登录日志。</w:t>
            </w:r>
          </w:p>
        </w:tc>
      </w:tr>
      <w:tr w14:paraId="7F1A6729">
        <w:trPr>
          <w:trHeight w:val="435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F399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角色权限管理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菜单权限、按钮权限、数据权限、角色分配、管理员分权、权限变更日志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验证跨角色、跨餐厅、跨门店、跨业务数据不能越权访问。</w:t>
            </w:r>
          </w:p>
        </w:tc>
      </w:tr>
      <w:tr w14:paraId="577B6AC0">
        <w:trPr>
          <w:trHeight w:val="435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0D46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组织与基础资料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单位、部门、人员、身份类别、餐厅、档口、餐线、餐次等基础资料维护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支撑人员账户、订单归属、消费策略和报表统计。</w:t>
            </w:r>
          </w:p>
        </w:tc>
      </w:tr>
      <w:tr w14:paraId="19F37355">
        <w:trPr>
          <w:trHeight w:val="435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998E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菜品管理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菜品新增、编辑、上下架、分类、图片、价格、营养素、过敏原/标签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功能名称与 PC 菜品管理、移动端展示、设备端同步保持一致。</w:t>
            </w:r>
          </w:p>
        </w:tc>
      </w:tr>
      <w:tr w14:paraId="4C1E9713">
        <w:trPr>
          <w:trHeight w:val="435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07A1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菜谱/排餐管理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周期菜谱、餐次菜谱、排餐、例外菜、称重台排菜、设备同步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验证菜谱在后台、移动端、电子菜牌/称重设备上的一致性。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餐厅经营管理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餐厅/档口设置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餐厅信息、档口信息、营业时间、餐别、支付方式、配送/自取规则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覆盖多餐厅、多档口、多企业场景。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账户与卡务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人员档案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员工/会员/学生等人员档案、部门、手机号、身份类别、状态、导入导出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验证在职/离职、部门变更、历史订单归属等边界。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账户与卡务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卡/码/脸账户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餐卡、二维码、人脸、账户绑定、解绑、挂失、补卡、设备识别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涉及个人信息和人脸数据时，验证授权、权限和脱敏。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账户与卡务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现金账户与补贴账户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充值、退款、补贴发放、补贴使用、余额查询、流水、对账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重点验证金额精度、重复提交、退款回滚、对账一致性。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营销与消费策略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消费策略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优惠、折扣、补贴、计次、限额、消费限制、访客餐/加班餐等规则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验证策略优先级、有效期、适用人群和异常边界。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订单管理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称重/刷卡/扫码/刷脸消费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设备上传订单、菜品重量/份数、价格、营养、支付、扣款、打印小票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重点验证不重复扣款、订单幂等、设备异常可追溯。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订单管理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线上订餐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菜谱展示、下单、支付、取消、取餐、评价、售后/退款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验证移动端和 PC 订单状态一致。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订单管理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订单退款与异常处理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退款申请、审核、原路退/账户退、异常订单补偿、冲正/补单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金额类高风险，覆盖异常、重复、超时和权限。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订单管理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消费订单查询与导出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订单筛选、详情、退款状态、支付状态、餐厅/档口/设备/人员筛选、异步导出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验证大数据量导出、权限隔离、导出日志和字段口径。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智能硬件接入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消费机/称重台/膳食智能台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设备注册、参数配置、菜品同步、订单上传、心跳、设备日志、离线补传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验证设备协议、网络异常、重复上传、防重放和恢复。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智能硬件接入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打印机/电子菜牌/取餐柜/售卖柜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打印任务、电子菜牌展示、取餐码/柜门控制、售卖柜出货结果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验证下游失败可观测且不破坏主订单。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AI 与营养健康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菜品营养标签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热量、蛋白质、脂肪、碳水等营养信息维护和展示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验证营养字段口径、展示端一致性和空值处理。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AI 与营养健康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AI 菜品识别/智能排菜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菜品图片识别、识别结果维护、智能排菜建议、人工复核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AI 输出应可复核，不作为无人工审核的绝对结论。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AI 与营养健康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个体/团体膳食监控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个人饮食记录、目标体重、营养日报/周报、团体监控、阶段报告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涉及健康数据，验证授权、脱敏、非医疗声明。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食安与进销存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供应商与采购管理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供应商、商品、采购计划、验收、入库、出库、库存、价格异常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验证单据流转、库存扣减、权限和报表一致性。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食安与进销存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食安台账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晨检、留样、消毒、农残、废弃物、陪餐、整改闭环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验证责任人、发生时间、证据材料、处理状态。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报表与看板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经营报表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营业额、客单价、就餐人次、菜品热度、时段流量、补贴、退款、设备在线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验证指标计算口径、刷新频率、导出权限和数据一致性。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报表与看板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营养/食安/运营综合看板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营养结构、食安预警、设备状态、库存预警、大屏展示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验证不同角色看到的数据范围和指标口径。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外部接口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第三方支付/银行/一卡通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充值、支付结果、订单查询、对账、异常订单、回调、签名验签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验证超时、重复通知、金额不一致、回调幂等。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外部接口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企微/钉钉/客户中台/监管平台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人员同步、组织同步、消息通知、监管数据回流、接口日志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验证字段最小化、调用频控、认证、失败重试和日志。</w:t>
            </w:r>
          </w:p>
        </w:tc>
      </w:tr>
      <w:tr>
        <w:tc>
          <w:tcPr>
            <w:tcW w:type="dxa" w:w="1242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接口与数据安全</w:t>
            </w:r>
          </w:p>
        </w:tc>
        <w:tc>
          <w:tcPr>
            <w:tcW w:type="dxa" w:w="1467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接口鉴权与审计</w:t>
            </w:r>
          </w:p>
        </w:tc>
        <w:tc>
          <w:tcPr>
            <w:tcW w:type="dxa" w:w="1794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Access-Token/cookie/签名、接口权限、参数校验、调用日志</w:t>
            </w:r>
          </w:p>
        </w:tc>
        <w:tc>
          <w:tcPr>
            <w:tcW w:type="dxa" w:w="4200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覆盖缺失鉴权、无效鉴权、越权访问、非法参数。</w:t>
            </w:r>
          </w:p>
        </w:tc>
      </w:tr>
    </w:tbl>
    <w:p w14:paraId="2BC7D24B">
      <w:pPr>
        <w:rPr>
          <w:rFonts w:hint="eastAsia"/>
          <w:sz w:val="21"/>
          <w:szCs w:val="21"/>
          <w:lang w:val="en-US" w:eastAsia="zh-CN"/>
        </w:rPr>
      </w:pPr>
      <w:r>
        <w:rPr>
          <w:rFonts w:ascii="微软雅黑" w:hAnsi="微软雅黑"/>
          <w:sz w:val="21"/>
        </w:rPr>
        <w:t>测试内容：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425"/>
        <w:gridCol w:w="1443"/>
        <w:gridCol w:w="1749"/>
        <w:gridCol w:w="1922"/>
      </w:tblGrid>
      <w:tr w14:paraId="0F289669">
        <w:trPr>
          <w:trHeight w:val="515" w:hRule="atLeast"/>
        </w:trPr>
        <w:tc>
          <w:tcPr>
            <w:tcW w:w="1977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☑产品说明要求</w:t>
            </w:r>
          </w:p>
        </w:tc>
        <w:tc>
          <w:tcPr>
            <w:tcW w:w="1425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☑漏洞扫描</w:t>
            </w:r>
          </w:p>
        </w:tc>
        <w:tc>
          <w:tcPr>
            <w:tcW w:w="1443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☑功能性</w:t>
            </w:r>
          </w:p>
        </w:tc>
        <w:tc>
          <w:tcPr>
            <w:tcW w:w="1749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☑性能效率</w:t>
            </w:r>
          </w:p>
        </w:tc>
        <w:tc>
          <w:tcPr>
            <w:tcW w:w="1922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☑兼容性</w:t>
            </w:r>
          </w:p>
        </w:tc>
      </w:tr>
      <w:tr w14:paraId="5CF83915">
        <w:trPr>
          <w:trHeight w:val="568" w:hRule="atLeast"/>
        </w:trPr>
        <w:tc>
          <w:tcPr>
            <w:tcW w:w="1977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☑用户文档集要求</w:t>
            </w:r>
          </w:p>
        </w:tc>
        <w:tc>
          <w:tcPr>
            <w:tcW w:w="1425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☑易用性</w:t>
            </w:r>
          </w:p>
        </w:tc>
        <w:tc>
          <w:tcPr>
            <w:tcW w:w="1443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☑可靠性</w:t>
            </w:r>
          </w:p>
        </w:tc>
        <w:tc>
          <w:tcPr>
            <w:tcW w:w="1749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☑信息安全性</w:t>
            </w:r>
          </w:p>
        </w:tc>
        <w:tc>
          <w:tcPr>
            <w:tcW w:w="1922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□登记测试</w:t>
            </w:r>
          </w:p>
        </w:tc>
      </w:tr>
      <w:tr w14:paraId="1E4CD7D9">
        <w:trPr>
          <w:trHeight w:val="542" w:hRule="atLeast"/>
        </w:trPr>
        <w:tc>
          <w:tcPr>
            <w:tcW w:w="1977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☑可移植性</w:t>
            </w:r>
          </w:p>
        </w:tc>
        <w:tc>
          <w:tcPr>
            <w:tcW w:w="1425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□渗透测试</w:t>
            </w:r>
          </w:p>
        </w:tc>
        <w:tc>
          <w:tcPr>
            <w:tcW w:w="1443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□代码审计</w:t>
            </w:r>
          </w:p>
        </w:tc>
        <w:tc>
          <w:tcPr>
            <w:tcW w:w="1749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☑维护性</w:t>
            </w:r>
          </w:p>
        </w:tc>
        <w:tc>
          <w:tcPr>
            <w:tcW w:w="1922" w:type="dxa"/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□造价评估</w:t>
            </w:r>
          </w:p>
        </w:tc>
      </w:tr>
    </w:tbl>
    <w:p w14:paraId="38627F9F"/>
    <w:tbl>
      <w:tblPr>
        <w:tblStyle w:val="5"/>
        <w:tblW w:w="87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7412"/>
      </w:tblGrid>
      <w:tr w14:paraId="4F69BD37">
        <w:trPr>
          <w:trHeight w:val="1185" w:hRule="atLeast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</w:rPr>
              <w:t>注意：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r>
              <w:rPr>
                <w:rFonts w:ascii="微软雅黑" w:hAnsi="微软雅黑"/>
                <w:sz w:val="18"/>
              </w:rPr>
            </w:r>
            <w:r>
              <w:rPr>
                <w:rFonts w:ascii="微软雅黑" w:hAnsi="微软雅黑"/>
                <w:sz w:val="18"/>
                <w:highlight w:val="yellow"/>
              </w:rPr>
              <w:t>1. 本系统按 1 个综合应用系统填报。2. 功能明细已细化至可演示菜单和业务链路。3. 功能列表所列功能均可通过 PC 后台、移动端、接口、设备或 Mock 演示。4. 功能名称与软件界面、用户文档、接口文档保持一致。5. 测试依据建议包括产品说明书、用户手册、部署手册、接口文档、测试环境说明和数据字典。6. 黄色高亮内容表示提交前仍需项目负责人、测试机构或运维人员复核。</w:t>
            </w:r>
          </w:p>
        </w:tc>
      </w:tr>
    </w:tbl>
    <w:p w14:paraId="7705CE54"/>
    <w:p w14:paraId="49F92B0A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  <w:r>
        <w:rPr>
          <w:rFonts w:ascii="微软雅黑" w:hAnsi="微软雅黑"/>
          <w:sz w:val="21"/>
        </w:rPr>
        <w:t>还需要确认：</w:t>
      </w:r>
    </w:p>
    <w:p w14:paraId="1C5A8894">
      <w:pPr>
        <w:widowControl/>
        <w:numPr>
          <w:ilvl w:val="0"/>
          <w:numId w:val="3"/>
        </w:numPr>
        <w:jc w:val="left"/>
        <w:rPr>
          <w:rFonts w:hint="default" w:ascii="宋体" w:hAnsi="宋体" w:cs="宋体"/>
          <w:b/>
          <w:bCs/>
          <w:kern w:val="0"/>
          <w:sz w:val="20"/>
          <w:szCs w:val="20"/>
          <w:lang w:val="en-US" w:eastAsia="zh-CN"/>
        </w:rPr>
      </w:pPr>
      <w:r>
        <w:rPr>
          <w:rFonts w:ascii="微软雅黑" w:hAnsi="微软雅黑"/>
          <w:sz w:val="21"/>
          <w:highlight w:val="yellow"/>
        </w:rPr>
        <w:t>是否对系统有明确的性能指标测评要求？如有请附具体性能指标要求。答：有。登录与首页加载 P95 不超过 3 秒；PC 常规查询 P95 不超过 3 秒，复杂报表 P95 不超过 10 秒；刷卡、扫码、刷脸、称重消费及第三方回调单笔交易 P95 不超过 2 秒；设备上传并发 50 TPS；单次导出上限 10 万行；并发用户数按 100 人执行；服务器配置按 8 台服务器/虚拟机；基础数据量按人员 10 万、订单 100 万、菜品 5,000、库存流水 50 万准备。提交前需复核测试环境资源、造数方式和压测窗口。</w:t>
      </w:r>
    </w:p>
    <w:p w14:paraId="6C1AE865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  <w:r>
        <w:rPr>
          <w:rFonts w:ascii="微软雅黑" w:hAnsi="微软雅黑"/>
          <w:sz w:val="21"/>
          <w:highlight w:val="yellow"/>
        </w:rPr>
        <w:t>是否对软件可靠性、易用性、兼容性、维护性、可移植性和信息安全性等质量特性测评要求？如有请附具体要求的文字说明。答：有。可靠性要求金额类业务防重复扣款、重复退款、重复补贴，第三方回调、设备上传、导出任务、定时任务具备幂等、重试和异常记录；易用性要求后台菜单、表单字段、错误提示、导入模板、导出文件、移动端流程与用户文档一致；兼容性覆盖 Chrome/Edge、微信内置浏览器/H5、小程序环境，国产化场景覆盖麒麟/统信、国产数据库、国产中间件和标准设备/Mock；维护性要求配置项、日志、接口文档、部署手册、数据库备份、任务调度、设备版本和异常排查形成说明；可移植性验证私有化部署所需脚本、配置分离、数据库迁移、文件存储、缓存、队列、证书替换和环境变量迁移流程；信息安全性覆盖身份鉴别、权限隔离、敏感数据脱敏、接口鉴权、参数校验、日志审计、导出控制、个人信息授权和数据删除/匿名化边界。</w:t>
      </w:r>
    </w:p>
    <w:p w14:paraId="5E41BB88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b/>
          <w:bCs/>
          <w:kern w:val="0"/>
          <w:sz w:val="20"/>
          <w:szCs w:val="20"/>
        </w:rPr>
      </w:pPr>
      <w:r>
        <w:rPr>
          <w:rFonts w:ascii="微软雅黑" w:hAnsi="微软雅黑"/>
          <w:sz w:val="21"/>
          <w:highlight w:val="yellow"/>
        </w:rPr>
        <w:t>系统是否支持远程测试？答：支持。需提供独立测试环境或准生产环境、测试账号和角色权限矩阵、VPN/白名单/堡垒机/远程桌面等安全访问方式、脱敏测试数据、设备 Mock 或测试设备、第三方接口沙箱/Mock，并明确测试窗口、可执行操作、禁止操作、数据恢复方式和联系人。提交前需确认具体远程接入方式和账号清单。</w:t>
      </w:r>
    </w:p>
    <w:p w14:paraId="4C07666E">
      <w:pPr>
        <w:rPr>
          <w:rFonts w:hint="eastAsia"/>
          <w:b/>
          <w:bCs/>
          <w:sz w:val="24"/>
          <w:szCs w:val="24"/>
        </w:rPr>
      </w:pPr>
    </w:p>
    <w:p w14:paraId="7839DFD2">
      <w:pPr>
        <w:rPr>
          <w:rFonts w:hint="eastAsia"/>
          <w:lang w:val="en-US" w:eastAsia="zh-CN"/>
        </w:rPr>
      </w:pPr>
      <w:r>
        <w:rPr>
          <w:rFonts w:hint="eastAsia" w:ascii="微软雅黑" w:hAnsi="微软雅黑"/>
          <w:sz w:val="21"/>
          <w:lang w:val="en-US" w:eastAsia="zh-CN"/>
        </w:rPr>
        <w:t xml:space="preserve"> </w:t>
      </w:r>
    </w:p>
    <w:p w14:paraId="1E890D88">
      <w:pPr>
        <w:rPr>
          <w:rFonts w:hint="eastAsia"/>
          <w:lang w:val="en-US" w:eastAsia="zh-CN"/>
        </w:rPr>
      </w:pPr>
    </w:p>
    <w:p w14:paraId="7B9972DB">
      <w:pPr>
        <w:spacing w:line="220" w:lineRule="exact"/>
        <w:rPr>
          <w:rFonts w:hint="eastAsia"/>
          <w:sz w:val="18"/>
          <w:szCs w:val="18"/>
        </w:rPr>
      </w:pPr>
    </w:p>
    <w:p w14:paraId="552576AD">
      <w:pPr>
        <w:spacing w:line="220" w:lineRule="exact"/>
        <w:rPr>
          <w:sz w:val="18"/>
          <w:szCs w:val="18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text" w:horzAnchor="page" w:tblpX="1875" w:tblpY="-202"/>
      <w:tblW w:w="8322" w:type="dxa"/>
      <w:tblInd w:w="0" w:type="dxa"/>
      <w:tblBorders>
        <w:top w:val="thinThickSmallGap" w:color="auto" w:sz="2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322"/>
    </w:tblGrid>
    <w:tr w14:paraId="7D900F1C">
      <w:trPr>
        <w:trHeight w:val="52" w:hRule="atLeast"/>
      </w:trPr>
      <w:tc>
        <w:tcPr>
          <w:tcW w:w="8322" w:type="dxa"/>
        </w:tcPr>
        <w:p w14:paraId="13A68133">
          <w:pPr>
            <w:pStyle w:val="3"/>
            <w:rPr>
              <w:rStyle w:val="8"/>
              <w:rFonts w:hint="eastAsia"/>
            </w:rPr>
          </w:pPr>
          <w:r>
            <w:rPr>
              <w:rStyle w:val="8"/>
              <w:rFonts w:hint="eastAsia"/>
            </w:rPr>
            <w:t xml:space="preserve">     </w:t>
          </w:r>
        </w:p>
        <w:p w14:paraId="5B2F87EB">
          <w:pPr>
            <w:pStyle w:val="3"/>
            <w:rPr>
              <w:rStyle w:val="8"/>
            </w:rPr>
          </w:pPr>
          <w:r>
            <w:rPr>
              <w:rStyle w:val="8"/>
              <w:rFonts w:hint="eastAsia"/>
            </w:rPr>
            <w:t xml:space="preserve">                              </w:t>
          </w:r>
          <w:r>
            <w:rPr>
              <w:rStyle w:val="8"/>
              <w:rFonts w:hint="eastAsia"/>
              <w:sz w:val="24"/>
              <w:szCs w:val="24"/>
            </w:rPr>
            <w:t xml:space="preserve"> 第</w:t>
          </w:r>
          <w:r>
            <w:rPr>
              <w:rStyle w:val="8"/>
              <w:sz w:val="24"/>
              <w:szCs w:val="24"/>
            </w:rPr>
            <w:fldChar w:fldCharType="begin"/>
          </w:r>
          <w:r>
            <w:rPr>
              <w:rStyle w:val="8"/>
              <w:sz w:val="24"/>
              <w:szCs w:val="24"/>
            </w:rPr>
            <w:instrText xml:space="preserve"> PAGE </w:instrText>
          </w:r>
          <w:r>
            <w:rPr>
              <w:rStyle w:val="8"/>
              <w:sz w:val="24"/>
              <w:szCs w:val="24"/>
            </w:rPr>
            <w:fldChar w:fldCharType="separate"/>
          </w:r>
          <w:r>
            <w:rPr>
              <w:rStyle w:val="8"/>
              <w:sz w:val="24"/>
              <w:szCs w:val="24"/>
            </w:rPr>
            <w:t>1</w:t>
          </w:r>
          <w:r>
            <w:rPr>
              <w:rStyle w:val="8"/>
              <w:sz w:val="24"/>
              <w:szCs w:val="24"/>
            </w:rPr>
            <w:fldChar w:fldCharType="end"/>
          </w:r>
          <w:r>
            <w:rPr>
              <w:rStyle w:val="8"/>
              <w:rFonts w:hint="eastAsia"/>
              <w:sz w:val="24"/>
              <w:szCs w:val="24"/>
            </w:rPr>
            <w:t>页共1页</w:t>
          </w:r>
        </w:p>
      </w:tc>
    </w:tr>
  </w:tbl>
  <w:p w14:paraId="400668B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E22E4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BA826"/>
    <w:multiLevelType w:val="singleLevel"/>
    <w:tmpl w:val="AC9BA826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19D28696"/>
    <w:multiLevelType w:val="singleLevel"/>
    <w:tmpl w:val="19D2869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17A1A32"/>
    <w:multiLevelType w:val="singleLevel"/>
    <w:tmpl w:val="217A1A3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zM2ZTlkYTAyYTg3NjUxMjU1ZmMyYzdkODRmZWUifQ=="/>
  </w:docVars>
  <w:rsids>
    <w:rsidRoot w:val="00A71F0A"/>
    <w:rsid w:val="00004E51"/>
    <w:rsid w:val="000066D9"/>
    <w:rsid w:val="00014DF7"/>
    <w:rsid w:val="00023EBD"/>
    <w:rsid w:val="00026959"/>
    <w:rsid w:val="00055DD7"/>
    <w:rsid w:val="0005789F"/>
    <w:rsid w:val="000E13DD"/>
    <w:rsid w:val="000F24CF"/>
    <w:rsid w:val="000F7982"/>
    <w:rsid w:val="001063C0"/>
    <w:rsid w:val="0012331C"/>
    <w:rsid w:val="0013335D"/>
    <w:rsid w:val="00194035"/>
    <w:rsid w:val="001A1E17"/>
    <w:rsid w:val="001A24EE"/>
    <w:rsid w:val="001A3968"/>
    <w:rsid w:val="001A4C2F"/>
    <w:rsid w:val="001B48CB"/>
    <w:rsid w:val="00221309"/>
    <w:rsid w:val="00250C2B"/>
    <w:rsid w:val="00251965"/>
    <w:rsid w:val="002F4C7F"/>
    <w:rsid w:val="00301CB7"/>
    <w:rsid w:val="00324593"/>
    <w:rsid w:val="003730CC"/>
    <w:rsid w:val="00375B64"/>
    <w:rsid w:val="003A04BA"/>
    <w:rsid w:val="003A5B4D"/>
    <w:rsid w:val="003B002E"/>
    <w:rsid w:val="003C4400"/>
    <w:rsid w:val="004227DB"/>
    <w:rsid w:val="00467EF0"/>
    <w:rsid w:val="004A0914"/>
    <w:rsid w:val="004A1158"/>
    <w:rsid w:val="004D3285"/>
    <w:rsid w:val="00502A58"/>
    <w:rsid w:val="00540176"/>
    <w:rsid w:val="00582B8D"/>
    <w:rsid w:val="00592BE0"/>
    <w:rsid w:val="005B56D3"/>
    <w:rsid w:val="005B7C1C"/>
    <w:rsid w:val="005F0EB1"/>
    <w:rsid w:val="00615A21"/>
    <w:rsid w:val="00627D80"/>
    <w:rsid w:val="006728A9"/>
    <w:rsid w:val="006A345A"/>
    <w:rsid w:val="006E0739"/>
    <w:rsid w:val="006E6D1B"/>
    <w:rsid w:val="00712413"/>
    <w:rsid w:val="00717946"/>
    <w:rsid w:val="00766649"/>
    <w:rsid w:val="0078326C"/>
    <w:rsid w:val="007C1B3B"/>
    <w:rsid w:val="007C2B96"/>
    <w:rsid w:val="007E7002"/>
    <w:rsid w:val="00851133"/>
    <w:rsid w:val="00864E09"/>
    <w:rsid w:val="008E4D1F"/>
    <w:rsid w:val="00914E1C"/>
    <w:rsid w:val="009475C8"/>
    <w:rsid w:val="00960783"/>
    <w:rsid w:val="00977823"/>
    <w:rsid w:val="009D24D1"/>
    <w:rsid w:val="009E6258"/>
    <w:rsid w:val="009F7E0D"/>
    <w:rsid w:val="00A259F0"/>
    <w:rsid w:val="00A71F0A"/>
    <w:rsid w:val="00A738C3"/>
    <w:rsid w:val="00AD4116"/>
    <w:rsid w:val="00AE74D6"/>
    <w:rsid w:val="00B400F1"/>
    <w:rsid w:val="00B43A69"/>
    <w:rsid w:val="00B56FED"/>
    <w:rsid w:val="00B75488"/>
    <w:rsid w:val="00B76236"/>
    <w:rsid w:val="00BA2D59"/>
    <w:rsid w:val="00BE5280"/>
    <w:rsid w:val="00CB5045"/>
    <w:rsid w:val="00CC45D0"/>
    <w:rsid w:val="00CE0A3D"/>
    <w:rsid w:val="00CF2668"/>
    <w:rsid w:val="00D51020"/>
    <w:rsid w:val="00D807F5"/>
    <w:rsid w:val="00D84C5C"/>
    <w:rsid w:val="00D900E7"/>
    <w:rsid w:val="00DC24EA"/>
    <w:rsid w:val="00DE3595"/>
    <w:rsid w:val="00E25C65"/>
    <w:rsid w:val="00E43545"/>
    <w:rsid w:val="00E713A3"/>
    <w:rsid w:val="00E84BDA"/>
    <w:rsid w:val="00E972AE"/>
    <w:rsid w:val="00EA6126"/>
    <w:rsid w:val="00ED5D41"/>
    <w:rsid w:val="00EE4372"/>
    <w:rsid w:val="00EE7DFA"/>
    <w:rsid w:val="00EF19AF"/>
    <w:rsid w:val="00F1734C"/>
    <w:rsid w:val="00F52E70"/>
    <w:rsid w:val="00F7233E"/>
    <w:rsid w:val="00F86FDC"/>
    <w:rsid w:val="00FC7F0C"/>
    <w:rsid w:val="06B43EBD"/>
    <w:rsid w:val="07E74448"/>
    <w:rsid w:val="44205471"/>
    <w:rsid w:val="53EE70A9"/>
    <w:rsid w:val="548230E7"/>
    <w:rsid w:val="6C0E1FF1"/>
    <w:rsid w:val="6D73F08B"/>
    <w:rsid w:val="741B5358"/>
    <w:rsid w:val="EF55D670"/>
    <w:rsid w:val="FFB7A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semiHidden/>
    <w:unhideWhenUsed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北京精科评测技术有限公司</Company>
  <Pages>1</Pages>
  <Words>210</Words>
  <Characters>1200</Characters>
  <Lines>10</Lines>
  <Paragraphs>2</Paragraphs>
  <TotalTime>3</TotalTime>
  <ScaleCrop>false</ScaleCrop>
  <LinksUpToDate>false</LinksUpToDate>
  <CharactersWithSpaces>1408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测试需求</cp:category>
  <dcterms:created xsi:type="dcterms:W3CDTF">2014-09-04T05:40:00Z</dcterms:created>
  <dc:creator>王斌</dc:creator>
  <cp:lastModifiedBy>一直很安静</cp:lastModifiedBy>
  <cp:lastPrinted>2014-09-04T05:35:00Z</cp:lastPrinted>
  <dcterms:modified xsi:type="dcterms:W3CDTF">2025-03-10T16:30:02Z</dcterms:modified>
  <dc:title>测试需求明细列表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3951AE654F194DB18311F6225EC26B9A</vt:lpwstr>
  </property>
</Properties>
</file>